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682C" w14:textId="263E2F8C" w:rsidR="00FB67F9" w:rsidRDefault="00E839DF">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false--05-31Q220200000320187YesYes184000000P2Y50000000530000000.220.420.2450.465315000000125300000031500000012440000002700000000000.1000.10 0000320187 2019-06-01 2019-11-30 0000320187 us-gaap:CommonClassBMember 2020-01-02 0000320187 us-gaap:CommonClassAMem</w:t>
      </w:r>
      <w:r>
        <w:rPr>
          <w:rFonts w:ascii="Times New Roman" w:eastAsia="宋体" w:hAnsi="Times New Roman"/>
          <w:vanish/>
          <w:sz w:val="20"/>
          <w:szCs w:val="20"/>
        </w:rPr>
        <w:t xml:space="preserve">ber 2020-01-02 0000320187 2019-09-01 2019-11-30 0000320187 2018-09-01 2018-11-30 0000320187 2018-06-01 2018-11-30 0000320187 2019-11-30 0000320187 us-gaap:CommonClassBMember 2019-05-31 0000320187 2019-05-31 0000320187 us-gaap:CommonClassAMember 2019-05-31 </w:t>
      </w:r>
      <w:r>
        <w:rPr>
          <w:rFonts w:ascii="Times New Roman" w:eastAsia="宋体" w:hAnsi="Times New Roman"/>
          <w:vanish/>
          <w:sz w:val="20"/>
          <w:szCs w:val="20"/>
        </w:rPr>
        <w:t>0000320187 us-gaap:CommonClassAMember 2019-11-30 0000320187 us-gaap:CommonClassBMember 2019-11-30 0000320187 2018-11-30 0000320187 2018-05-31 0000320187 us-gaap:CommonClassAMember us-gaap:CommonStockMember 2019-11-30 0000320187 us-gaap:CommonClassBMember u</w:t>
      </w:r>
      <w:r>
        <w:rPr>
          <w:rFonts w:ascii="Times New Roman" w:eastAsia="宋体" w:hAnsi="Times New Roman"/>
          <w:vanish/>
          <w:sz w:val="20"/>
          <w:szCs w:val="20"/>
        </w:rPr>
        <w:t>s-gaap:CommonStockMember 2019-09-01 2019-11-30 0000320187 us-gaap:AdditionalPaidInCapitalMember 2019-09-01 2019-11-30 0000320187 2019-08-31 0000320187 us-gaap:AccumulatedOtherComprehensiveIncomeMember 2019-08-31 0000320187 us-gaap:CommonClassBMember us-gaa</w:t>
      </w:r>
      <w:r>
        <w:rPr>
          <w:rFonts w:ascii="Times New Roman" w:eastAsia="宋体" w:hAnsi="Times New Roman"/>
          <w:vanish/>
          <w:sz w:val="20"/>
          <w:szCs w:val="20"/>
        </w:rPr>
        <w:t>p:CommonStockMember 2019-08-31 0000320187 us-gaap:AccumulatedOtherComprehensiveIncomeMember 2019-11-30 0000320187 us-gaap:RetainedEarningsMember 2019-09-01 2019-11-30 0000320187 us-gaap:RetainedEarningsMember 2019-08-31 0000320187 us-gaap:CommonClassAMembe</w:t>
      </w:r>
      <w:r>
        <w:rPr>
          <w:rFonts w:ascii="Times New Roman" w:eastAsia="宋体" w:hAnsi="Times New Roman"/>
          <w:vanish/>
          <w:sz w:val="20"/>
          <w:szCs w:val="20"/>
        </w:rPr>
        <w:t>r us-gaap:CommonStockMember 2019-08-31 0000320187 us-gaap:CommonClassBMember us-gaap:CommonStockMember 2019-11-30 0000320187 us-gaap:AccumulatedOtherComprehensiveIncomeMember 2019-09-01 2019-11-30 0000320187 us-gaap:AdditionalPaidInCapitalMember 2019-08-31</w:t>
      </w:r>
      <w:r>
        <w:rPr>
          <w:rFonts w:ascii="Times New Roman" w:eastAsia="宋体" w:hAnsi="Times New Roman"/>
          <w:vanish/>
          <w:sz w:val="20"/>
          <w:szCs w:val="20"/>
        </w:rPr>
        <w:t xml:space="preserve"> 0000320187 us-gaap:RetainedEarningsMember 2019-11-30 0000320187 us-gaap:AdditionalPaidInCapitalMember 2019-11-30 0000320187 us-gaap:AdditionalPaidInCapitalMember 2018-08-31 0000320187 us-gaap:RetainedEarningsMember 2018-09-01 2018-11-30 0000320187 us-gaap</w:t>
      </w:r>
      <w:r>
        <w:rPr>
          <w:rFonts w:ascii="Times New Roman" w:eastAsia="宋体" w:hAnsi="Times New Roman"/>
          <w:vanish/>
          <w:sz w:val="20"/>
          <w:szCs w:val="20"/>
        </w:rPr>
        <w:t>:CommonClassBMember us-gaap:CommonStockMember 2018-08-31 0000320187 us-gaap:AdditionalPaidInCapitalMember 2018-11-30 0000320187 us-gaap:AdditionalPaidInCapitalMember 2018-09-01 2018-11-30 0000320187 us-gaap:CommonClassBMember us-gaap:CommonStockMember 2018</w:t>
      </w:r>
      <w:r>
        <w:rPr>
          <w:rFonts w:ascii="Times New Roman" w:eastAsia="宋体" w:hAnsi="Times New Roman"/>
          <w:vanish/>
          <w:sz w:val="20"/>
          <w:szCs w:val="20"/>
        </w:rPr>
        <w:t>-11-30 0000320187 us-gaap:AccumulatedOtherComprehensiveIncomeMember 2018-08-31 0000320187 us-gaap:CommonClassBMember us-gaap:CommonStockMember 2018-09-01 2018-11-30 0000320187 us-gaap:CommonClassAMember us-gaap:CommonStockMember 2018-09-01 2018-11-30 00003</w:t>
      </w:r>
      <w:r>
        <w:rPr>
          <w:rFonts w:ascii="Times New Roman" w:eastAsia="宋体" w:hAnsi="Times New Roman"/>
          <w:vanish/>
          <w:sz w:val="20"/>
          <w:szCs w:val="20"/>
        </w:rPr>
        <w:t>20187 us-gaap:CommonClassAMember us-gaap:CommonStockMember 2018-11-30 0000320187 us-gaap:CommonClassAMember us-gaap:CommonStockMember 2018-08-31 0000320187 us-gaap:RetainedEarningsMember 2018-08-31 0000320187 2018-08-31 0000320187 us-gaap:AccumulatedOtherC</w:t>
      </w:r>
      <w:r>
        <w:rPr>
          <w:rFonts w:ascii="Times New Roman" w:eastAsia="宋体" w:hAnsi="Times New Roman"/>
          <w:vanish/>
          <w:sz w:val="20"/>
          <w:szCs w:val="20"/>
        </w:rPr>
        <w:t>omprehensiveIncomeMember 2018-11-30 0000320187 us-gaap:AccumulatedOtherComprehensiveIncomeMember 2018-09-01 2018-11-30 0000320187 us-gaap:RetainedEarningsMember 2018-11-30 0000320187 us-gaap:CommonClassBMember us-gaap:CommonStockMember 2019-05-31 000032018</w:t>
      </w:r>
      <w:r>
        <w:rPr>
          <w:rFonts w:ascii="Times New Roman" w:eastAsia="宋体" w:hAnsi="Times New Roman"/>
          <w:vanish/>
          <w:sz w:val="20"/>
          <w:szCs w:val="20"/>
        </w:rPr>
        <w:t>7 us-gaap:AdditionalPaidInCapitalMember 2019-06-01 2019-11-30 0000320187 us-gaap:RetainedEarningsMember 2019-06-01 2019-11-30 0000320187 us-gaap:CommonClassBMember us-gaap:CommonStockMember 2019-06-01 2019-11-30 0000320187 us-gaap:AdditionalPaidInCapitalMe</w:t>
      </w:r>
      <w:r>
        <w:rPr>
          <w:rFonts w:ascii="Times New Roman" w:eastAsia="宋体" w:hAnsi="Times New Roman"/>
          <w:vanish/>
          <w:sz w:val="20"/>
          <w:szCs w:val="20"/>
        </w:rPr>
        <w:t>mber 2019-05-31 0000320187 us-gaap:CommonClassAMember us-gaap:CommonStockMember 2019-05-31 0000320187 us-gaap:AccountingStandardsUpdate201602Member us-gaap:RetainedEarningsMember 2019-06-01 0000320187 us-gaap:RetainedEarningsMember 2019-05-31 0000320187 us</w:t>
      </w:r>
      <w:r>
        <w:rPr>
          <w:rFonts w:ascii="Times New Roman" w:eastAsia="宋体" w:hAnsi="Times New Roman"/>
          <w:vanish/>
          <w:sz w:val="20"/>
          <w:szCs w:val="20"/>
        </w:rPr>
        <w:t>-gaap:AccountingStandardsUpdate201602Member 2019-06-01 0000320187 us-gaap:AccumulatedOtherComprehensiveIncomeMember 2019-05-31 0000320187 us-gaap:AccumulatedOtherComprehensiveIncomeMember 2019-06-01 2019-11-30 0000320187 us-gaap:CommonClassAMember us-gaap:</w:t>
      </w:r>
      <w:r>
        <w:rPr>
          <w:rFonts w:ascii="Times New Roman" w:eastAsia="宋体" w:hAnsi="Times New Roman"/>
          <w:vanish/>
          <w:sz w:val="20"/>
          <w:szCs w:val="20"/>
        </w:rPr>
        <w:t>CommonStockMember 2018-05-31 0000320187 us-gaap:AdditionalPaidInCapitalMember 2018-06-01 2018-11-30 0000320187 us-gaap:RetainedEarningsMember 2018-06-01 2018-11-30 0000320187 us-gaap:CommonClassBMember us-gaap:CommonStockMember 2018-06-01 2018-11-30 000032</w:t>
      </w:r>
      <w:r>
        <w:rPr>
          <w:rFonts w:ascii="Times New Roman" w:eastAsia="宋体" w:hAnsi="Times New Roman"/>
          <w:vanish/>
          <w:sz w:val="20"/>
          <w:szCs w:val="20"/>
        </w:rPr>
        <w:t>0187 us-gaap:CommonClassBMember us-gaap:CommonStockMember 2018-05-31 0000320187 us-gaap:CommonClassAMember us-gaap:CommonStockMember 2018-06-01 2018-11-30 0000320187 us-gaap:AccountingStandardsUpdate201616Member 2018-06-01 0000320187 us-gaap:AccountingStan</w:t>
      </w:r>
      <w:r>
        <w:rPr>
          <w:rFonts w:ascii="Times New Roman" w:eastAsia="宋体" w:hAnsi="Times New Roman"/>
          <w:vanish/>
          <w:sz w:val="20"/>
          <w:szCs w:val="20"/>
        </w:rPr>
        <w:t>dardsUpdate201409Member 2018-06-01 0000320187 us-gaap:AccumulatedOtherComprehensiveIncomeMember 2018-05-31 0000320187 us-gaap:AdditionalPaidInCapitalMember 2018-05-31 0000320187 us-gaap:AccountingStandardsUpdate201616Member us-gaap:RetainedEarningsMember 2</w:t>
      </w:r>
      <w:r>
        <w:rPr>
          <w:rFonts w:ascii="Times New Roman" w:eastAsia="宋体" w:hAnsi="Times New Roman"/>
          <w:vanish/>
          <w:sz w:val="20"/>
          <w:szCs w:val="20"/>
        </w:rPr>
        <w:t xml:space="preserve">018-06-01 0000320187 us-gaap:AccountingStandardsUpdate201409Member us-gaap:RetainedEarningsMember 2018-06-01 0000320187 us-gaap:AccumulatedOtherComprehensiveIncomeMember 2018-06-01 2018-11-30 0000320187 us-gaap:RetainedEarningsMember 2018-05-31 0000320187 </w:t>
      </w:r>
      <w:r>
        <w:rPr>
          <w:rFonts w:ascii="Times New Roman" w:eastAsia="宋体" w:hAnsi="Times New Roman"/>
          <w:vanish/>
          <w:sz w:val="20"/>
          <w:szCs w:val="20"/>
        </w:rPr>
        <w:t>nke:InterestIncomeExpenseNetMember 2018-06-01 2018-11-30 0000320187 us-gaap:CashAndCashEquivalentsMember us-gaap:ForeignExchangeContractMember 2019-05-31 0000320187 us-gaap:AvailableforsaleSecuritiesMember 2019-11-30 0000320187 nke:InterestIncomeExpenseNet</w:t>
      </w:r>
      <w:r>
        <w:rPr>
          <w:rFonts w:ascii="Times New Roman" w:eastAsia="宋体" w:hAnsi="Times New Roman"/>
          <w:vanish/>
          <w:sz w:val="20"/>
          <w:szCs w:val="20"/>
        </w:rPr>
        <w:t>Member 2019-09-01 2019-11-30 0000320187 us-gaap:ForeignExchangeContractMember us-gaap:FairValueMeasurementsRecurringMember 2019-05-31 0000320187 us-gaap:ForeignExchangeContractMember us-gaap:FairValueMeasurementsRecurringMember 2019-11-30 0000320187 nke:In</w:t>
      </w:r>
      <w:r>
        <w:rPr>
          <w:rFonts w:ascii="Times New Roman" w:eastAsia="宋体" w:hAnsi="Times New Roman"/>
          <w:vanish/>
          <w:sz w:val="20"/>
          <w:szCs w:val="20"/>
        </w:rPr>
        <w:t>terestIncomeExpenseNetMember 2019-06-01 2019-11-30 0000320187 us-gaap:CashAndCashEquivalentsMember us-gaap:ForeignExchangeContractMember 2019-11-30 0000320187 nke:InterestIncomeExpenseNetMember 2018-09-01 2018-11-30 0000320187 us-gaap:FairValueInputsLevel2</w:t>
      </w:r>
      <w:r>
        <w:rPr>
          <w:rFonts w:ascii="Times New Roman" w:eastAsia="宋体" w:hAnsi="Times New Roman"/>
          <w:vanish/>
          <w:sz w:val="20"/>
          <w:szCs w:val="20"/>
        </w:rPr>
        <w:t>Member us-gaap:FairValueMeasurementsRecurringMember us-gaap:BankTimeDepositsMember 2019-11-30 0000320187 us-gaap:FairValueInputsLevel2Member us-gaap:FairValueMeasurementsRecurringMember nke:CommercialPaperandBondsMember 2019-11-30 0000320187 us-gaap:FairVa</w:t>
      </w:r>
      <w:r>
        <w:rPr>
          <w:rFonts w:ascii="Times New Roman" w:eastAsia="宋体" w:hAnsi="Times New Roman"/>
          <w:vanish/>
          <w:sz w:val="20"/>
          <w:szCs w:val="20"/>
        </w:rPr>
        <w:t>lueInputsLevel1Member us-gaap:FairValueMeasurementsRecurringMember us-gaap:USTreasurySecuritiesMember 2019-11-30 0000320187 us-gaap:FairValueInputsLevel2Member us-gaap:FairValueMeasurementsRecurringMember us-gaap:MoneyMarketFundsMember 2019-11-30 000032018</w:t>
      </w:r>
      <w:r>
        <w:rPr>
          <w:rFonts w:ascii="Times New Roman" w:eastAsia="宋体" w:hAnsi="Times New Roman"/>
          <w:vanish/>
          <w:sz w:val="20"/>
          <w:szCs w:val="20"/>
        </w:rPr>
        <w:t>7 us-gaap:FairValueInputsLevel2Member us-gaap:FairValueMeasurementsRecurringMember 2019-11-30 0000320187 us-gaap:FairValueInputsLevel2Member us-gaap:FairValueMeasurementsRecurringMember us-gaap:USGovernmentAgenciesDebtSecuritiesMember 2019-11-30 0000320187</w:t>
      </w:r>
      <w:r>
        <w:rPr>
          <w:rFonts w:ascii="Times New Roman" w:eastAsia="宋体" w:hAnsi="Times New Roman"/>
          <w:vanish/>
          <w:sz w:val="20"/>
          <w:szCs w:val="20"/>
        </w:rPr>
        <w:t xml:space="preserve"> us-gaap:FairValueMeasurementsRecurringMember 2019-11-30 0000320187 us-gaap:FairValueInputsLevel1Member us-gaap:FairValueMeasurementsRecurringMember us-gaap:USTreasurySecuritiesMember 2019-05-31 0000320187 us-gaap:FairValueInputsLevel2Member us-gaap:FairVa</w:t>
      </w:r>
      <w:r>
        <w:rPr>
          <w:rFonts w:ascii="Times New Roman" w:eastAsia="宋体" w:hAnsi="Times New Roman"/>
          <w:vanish/>
          <w:sz w:val="20"/>
          <w:szCs w:val="20"/>
        </w:rPr>
        <w:t>lueMeasurementsRecurringMember us-gaap:MoneyMarketFundsMember 2019-05-31 0000320187 us-gaap:FairValueMeasurementsRecurringMember 2019-05-31 0000320187 us-gaap:FairValueInputsLevel2Member us-gaap:FairValueMeasurementsRecurringMember us-gaap:BankTimeDeposits</w:t>
      </w:r>
      <w:r>
        <w:rPr>
          <w:rFonts w:ascii="Times New Roman" w:eastAsia="宋体" w:hAnsi="Times New Roman"/>
          <w:vanish/>
          <w:sz w:val="20"/>
          <w:szCs w:val="20"/>
        </w:rPr>
        <w:t>Member 2019-05-31 0000320187 us-gaap:FairValueInputsLevel2Member us-gaap:FairValueMeasurementsRecurringMember nke:CommercialPaperandBondsMember 2019-05-31 0000320187 us-gaap:FairValueInputsLevel2Member us-gaap:FairValueMeasurementsRecurringMember us-gaap:U</w:t>
      </w:r>
      <w:r>
        <w:rPr>
          <w:rFonts w:ascii="Times New Roman" w:eastAsia="宋体" w:hAnsi="Times New Roman"/>
          <w:vanish/>
          <w:sz w:val="20"/>
          <w:szCs w:val="20"/>
        </w:rPr>
        <w:t>SGovernmentAgenciesDebtSecuritiesMember 2019-05-31 0000320187 us-gaap:FairValueInputsLevel2Member us-gaap:FairValueMeasurementsRecurringMember 2019-05-31 0000320187 us-gaap:EmbeddedDerivativeFinancialInstrumentsMember us-gaap:FairValueInputsLevel2Member us</w:t>
      </w:r>
      <w:r>
        <w:rPr>
          <w:rFonts w:ascii="Times New Roman" w:eastAsia="宋体" w:hAnsi="Times New Roman"/>
          <w:vanish/>
          <w:sz w:val="20"/>
          <w:szCs w:val="20"/>
        </w:rPr>
        <w:t>-gaap:FairValueMeasurementsRecurringMember 2019-05-31 0000320187 us-gaap:ForeignExchangeContractMember us-gaap:FairValueInputsLevel2Member us-gaap:FairValueMeasurementsRecurringMember 2019-05-31 0000320187 us-gaap:EmbeddedDerivativeFinancialInstrumentsMemb</w:t>
      </w:r>
      <w:r>
        <w:rPr>
          <w:rFonts w:ascii="Times New Roman" w:eastAsia="宋体" w:hAnsi="Times New Roman"/>
          <w:vanish/>
          <w:sz w:val="20"/>
          <w:szCs w:val="20"/>
        </w:rPr>
        <w:t>er us-gaap:FairValueInputsLevel2Member us-gaap:FairValueMeasurementsRecurringMember 2019-11-30 0000320187 us-gaap:ForeignExchangeContractMember us-gaap:FairValueInputsLevel2Member us-gaap:FairValueMeasurementsRecurringMember 2019-11-30 0000320187 us-gaap:R</w:t>
      </w:r>
      <w:r>
        <w:rPr>
          <w:rFonts w:ascii="Times New Roman" w:eastAsia="宋体" w:hAnsi="Times New Roman"/>
          <w:vanish/>
          <w:sz w:val="20"/>
          <w:szCs w:val="20"/>
        </w:rPr>
        <w:t>evolvingCreditFacilityMember 2019-08-16 0000320187 us-gaap:RevolvingCreditFacilityMember 2019-08-16 2019-08-16 0000320187 us-gaap:CommercialPaperMember 2019-11-30 0000320187 us-gaap:RevolvingCreditFacilityMember 2015-08-25 0000320187 us-gaap:RevolvingCredi</w:t>
      </w:r>
      <w:r>
        <w:rPr>
          <w:rFonts w:ascii="Times New Roman" w:eastAsia="宋体" w:hAnsi="Times New Roman"/>
          <w:vanish/>
          <w:sz w:val="20"/>
          <w:szCs w:val="20"/>
        </w:rPr>
        <w:t xml:space="preserve">tFacilityMember 2019-11-30 0000320187 us-gaap:CommercialPaperMember 2019-05-31 0000320187 us-gaap:RevolvingCreditFacilityMember us-gaap:LondonInterbankOfferedRateLIBORMember 2019-08-16 2019-08-16 0000320187 us-gaap:RevolvingCreditFacilityMember 2019-05-31 </w:t>
      </w:r>
      <w:r>
        <w:rPr>
          <w:rFonts w:ascii="Times New Roman" w:eastAsia="宋体" w:hAnsi="Times New Roman"/>
          <w:vanish/>
          <w:sz w:val="20"/>
          <w:szCs w:val="20"/>
        </w:rPr>
        <w:t>0000320187 nke:RestrictedStockAndRestrictedStockUnitsMember 2019-06-01 2019-11-30 0000320187 nke:StockIncentivePlanMember us-gaap:CommonClassBMember 2019-11-30 0000320187 us-gaap:EmployeeStockOptionMember 2018-06-01 2018-11-30 0000320187 nke:StockIncentive</w:t>
      </w:r>
      <w:r>
        <w:rPr>
          <w:rFonts w:ascii="Times New Roman" w:eastAsia="宋体" w:hAnsi="Times New Roman"/>
          <w:vanish/>
          <w:sz w:val="20"/>
          <w:szCs w:val="20"/>
        </w:rPr>
        <w:t>PlanMember us-gaap:CommonClassBMember 2019-06-01 2019-11-30 0000320187 nke:RestrictedStockAndRestrictedStockUnitsMember 2019-11-30 0000320187 us-gaap:EmployeeStockOptionMember 2019-06-01 2019-11-30 0000320187 nke:RestrictedStockAndRestrictedStockUnitsMembe</w:t>
      </w:r>
      <w:r>
        <w:rPr>
          <w:rFonts w:ascii="Times New Roman" w:eastAsia="宋体" w:hAnsi="Times New Roman"/>
          <w:vanish/>
          <w:sz w:val="20"/>
          <w:szCs w:val="20"/>
        </w:rPr>
        <w:t>r 2018-06-01 2018-11-30 0000320187 us-gaap:EmployeeStockOptionMember nke:StockIncentivePlanMember 2019-11-30 0000320187 us-gaap:EmployeeStockOptionMember nke:StockIncentivePlanMember 2019-06-01 2019-11-30 0000320187 us-gaap:EmployeeStockMember us-gaap:Comm</w:t>
      </w:r>
      <w:r>
        <w:rPr>
          <w:rFonts w:ascii="Times New Roman" w:eastAsia="宋体" w:hAnsi="Times New Roman"/>
          <w:vanish/>
          <w:sz w:val="20"/>
          <w:szCs w:val="20"/>
        </w:rPr>
        <w:t>onClassBMember 2018-09-01 2018-11-30 0000320187 us-gaap:EmployeeStockOptionMember us-gaap:CommonClassBMember 2018-06-01 2018-11-30 0000320187 us-gaap:EmployeeStockMember us-gaap:CommonClassBMember 2019-09-01 2019-11-30 0000320187 us-gaap:EmployeeStockOptio</w:t>
      </w:r>
      <w:r>
        <w:rPr>
          <w:rFonts w:ascii="Times New Roman" w:eastAsia="宋体" w:hAnsi="Times New Roman"/>
          <w:vanish/>
          <w:sz w:val="20"/>
          <w:szCs w:val="20"/>
        </w:rPr>
        <w:t>nMember us-gaap:CommonClassBMember 2019-09-01 2019-11-30 0000320187 us-gaap:EmployeeStockMember us-gaap:CommonClassBMember 2019-06-01 2019-11-30 0000320187 us-gaap:EmployeeStockOptionMember us-gaap:CommonClassBMember 2019-06-01 2019-11-30 0000320187 us-gaa</w:t>
      </w:r>
      <w:r>
        <w:rPr>
          <w:rFonts w:ascii="Times New Roman" w:eastAsia="宋体" w:hAnsi="Times New Roman"/>
          <w:vanish/>
          <w:sz w:val="20"/>
          <w:szCs w:val="20"/>
        </w:rPr>
        <w:t>p:RestrictedStockMember us-gaap:CommonClassBMember 2018-06-01 2018-11-30 0000320187 us-gaap:CommonClassBMember 2018-09-01 2018-11-30 0000320187 us-gaap:RestrictedStockMember us-gaap:CommonClassBMember 2019-09-01 2019-11-30 0000320187 us-gaap:RestrictedStoc</w:t>
      </w:r>
      <w:r>
        <w:rPr>
          <w:rFonts w:ascii="Times New Roman" w:eastAsia="宋体" w:hAnsi="Times New Roman"/>
          <w:vanish/>
          <w:sz w:val="20"/>
          <w:szCs w:val="20"/>
        </w:rPr>
        <w:t xml:space="preserve">kMember us-gaap:CommonClassBMember 2018-09-01 2018-11-30 0000320187 us-gaap:CommonClassBMember 2019-06-01 2019-11-30 0000320187 us-gaap:CommonClassBMember 2019-09-01 2019-11-30 0000320187 us-gaap:RestrictedStockMember us-gaap:CommonClassBMember 2019-06-01 </w:t>
      </w:r>
      <w:r>
        <w:rPr>
          <w:rFonts w:ascii="Times New Roman" w:eastAsia="宋体" w:hAnsi="Times New Roman"/>
          <w:vanish/>
          <w:sz w:val="20"/>
          <w:szCs w:val="20"/>
        </w:rPr>
        <w:t>2019-11-30 0000320187 us-gaap:EmployeeStockMember us-gaap:CommonClassBMember 2018-06-01 2018-11-30 0000320187 us-gaap:EmployeeStockOptionMember us-gaap:CommonClassBMember 2018-09-01 2018-11-30 0000320187 us-gaap:CommonClassBMember 2018-06-01 2018-11-30 000</w:t>
      </w:r>
      <w:r>
        <w:rPr>
          <w:rFonts w:ascii="Times New Roman" w:eastAsia="宋体" w:hAnsi="Times New Roman"/>
          <w:vanish/>
          <w:sz w:val="20"/>
          <w:szCs w:val="20"/>
        </w:rPr>
        <w:t>0320187 us-gaap:EmployeeStockOptionMember 2018-06-01 2018-11-30 0000320187 us-gaap:EmployeeStockOptionMember 2019-09-01 2019-11-30 0000320187 us-gaap:EmployeeStockOptionMember 2019-06-01 2019-11-30 0000320187 us-gaap:EmployeeStockOptionMember 2018-09-01 20</w:t>
      </w:r>
      <w:r>
        <w:rPr>
          <w:rFonts w:ascii="Times New Roman" w:eastAsia="宋体" w:hAnsi="Times New Roman"/>
          <w:vanish/>
          <w:sz w:val="20"/>
          <w:szCs w:val="20"/>
        </w:rPr>
        <w:t>18-11-30 0000320187 us-gaap:ForeignExchangeContractMember us-gaap:NondesignatedMember nke:OtherIncomeAndExpenseMember 2018-09-01 2018-11-30 0000320187 us-gaap:EmbeddedDerivativeFinancialInstrumentsMember us-gaap:NondesignatedMember nke:OtherIncomeAndExpens</w:t>
      </w:r>
      <w:r>
        <w:rPr>
          <w:rFonts w:ascii="Times New Roman" w:eastAsia="宋体" w:hAnsi="Times New Roman"/>
          <w:vanish/>
          <w:sz w:val="20"/>
          <w:szCs w:val="20"/>
        </w:rPr>
        <w:t>eMember 2018-09-01 2018-11-30 0000320187 us-gaap:ForeignExchangeContractMember us-gaap:NondesignatedMember nke:OtherIncomeAndExpenseMember 2019-09-01 2019-11-30 0000320187 us-gaap:EmbeddedDerivativeFinancialInstrumentsMember us-gaap:NondesignatedMember nke</w:t>
      </w:r>
      <w:r>
        <w:rPr>
          <w:rFonts w:ascii="Times New Roman" w:eastAsia="宋体" w:hAnsi="Times New Roman"/>
          <w:vanish/>
          <w:sz w:val="20"/>
          <w:szCs w:val="20"/>
        </w:rPr>
        <w:t>:OtherIncomeAndExpenseMember 2019-09-01 2019-11-30 0000320187 us-gaap:ForeignExchangeContractMember us-gaap:NondesignatedMember nke:OtherIncomeAndExpenseMember 2018-06-01 2018-11-30 0000320187 us-gaap:EmbeddedDerivativeFinancialInstrumentsMember us-gaap:No</w:t>
      </w:r>
      <w:r>
        <w:rPr>
          <w:rFonts w:ascii="Times New Roman" w:eastAsia="宋体" w:hAnsi="Times New Roman"/>
          <w:vanish/>
          <w:sz w:val="20"/>
          <w:szCs w:val="20"/>
        </w:rPr>
        <w:t>ndesignatedMember nke:OtherIncomeAndExpenseMember 2018-06-01 2018-11-30 0000320187 us-gaap:EmbeddedDerivativeFinancialInstrumentsMember us-gaap:NondesignatedMember nke:OtherIncomeAndExpenseMember 2019-06-01 2019-11-30 0000320187 us-gaap:ForeignExchangeCont</w:t>
      </w:r>
      <w:r>
        <w:rPr>
          <w:rFonts w:ascii="Times New Roman" w:eastAsia="宋体" w:hAnsi="Times New Roman"/>
          <w:vanish/>
          <w:sz w:val="20"/>
          <w:szCs w:val="20"/>
        </w:rPr>
        <w:t>ractMember us-gaap:NondesignatedMember nke:OtherIncomeAndExpenseMember 2019-06-01 2019-11-30 0000320187 us-gaap:ForeignExchangeContractMember us-gaap:CashFlowHedgingMember nke:DemandCreationExpenseMember 2019-06-01 2019-11-30 0000320187 us-gaap:ForeignExch</w:t>
      </w:r>
      <w:r>
        <w:rPr>
          <w:rFonts w:ascii="Times New Roman" w:eastAsia="宋体" w:hAnsi="Times New Roman"/>
          <w:vanish/>
          <w:sz w:val="20"/>
          <w:szCs w:val="20"/>
        </w:rPr>
        <w:t>angeContractMember us-gaap:CashFlowHedgingMember us-gaap:SalesMember 2019-06-01 2019-11-30 0000320187 us-gaap:ForeignExchangeContractMember us-gaap:CashFlowHedgingMember nke:OtherIncomeAndExpenseMember 2018-06-01 2018-11-30 0000320187 us-gaap:CashFlowHedgi</w:t>
      </w:r>
      <w:r>
        <w:rPr>
          <w:rFonts w:ascii="Times New Roman" w:eastAsia="宋体" w:hAnsi="Times New Roman"/>
          <w:vanish/>
          <w:sz w:val="20"/>
          <w:szCs w:val="20"/>
        </w:rPr>
        <w:t>ngMember 2019-06-01 2019-11-30 0000320187 us-gaap:ForeignExchangeContractMember us-gaap:CashFlowHedgingMember us-gaap:CostOfGoodsTotalMember 2019-06-01 2019-11-30 0000320187 us-gaap:ForeignExchangeContractMember us-gaap:CashFlowHedgingMember nke:OtherIncom</w:t>
      </w:r>
      <w:r>
        <w:rPr>
          <w:rFonts w:ascii="Times New Roman" w:eastAsia="宋体" w:hAnsi="Times New Roman"/>
          <w:vanish/>
          <w:sz w:val="20"/>
          <w:szCs w:val="20"/>
        </w:rPr>
        <w:t>eAndExpenseMember 2019-06-01 2019-11-30 0000320187 us-gaap:InterestRateSwapMember us-gaap:CashFlowHedgingMember nke:InterestIncomeExpenseNetMember 2019-06-01 2019-11-30 0000320187 us-gaap:InterestRateSwapMember us-gaap:CashFlowHedgingMember nke:InterestInc</w:t>
      </w:r>
      <w:r>
        <w:rPr>
          <w:rFonts w:ascii="Times New Roman" w:eastAsia="宋体" w:hAnsi="Times New Roman"/>
          <w:vanish/>
          <w:sz w:val="20"/>
          <w:szCs w:val="20"/>
        </w:rPr>
        <w:t>omeExpenseNetMember 2018-06-01 2018-11-30 0000320187 us-gaap:CashFlowHedgingMember 2018-06-01 2018-11-30 0000320187 us-gaap:ForeignExchangeContractMember us-gaap:CashFlowHedgingMember us-gaap:CostOfGoodsTotalMember 2018-06-01 2018-11-30 0000320187 us-gaap:</w:t>
      </w:r>
      <w:r>
        <w:rPr>
          <w:rFonts w:ascii="Times New Roman" w:eastAsia="宋体" w:hAnsi="Times New Roman"/>
          <w:vanish/>
          <w:sz w:val="20"/>
          <w:szCs w:val="20"/>
        </w:rPr>
        <w:t>ForeignExchangeContractMember us-gaap:CashFlowHedgingMember nke:DemandCreationExpenseMember 2018-06-01 2018-11-30 0000320187 us-gaap:ForeignExchangeContractMember us-gaap:CashFlowHedgingMember us-gaap:SalesMember 2018-06-01 2018-11-30 0000320187 nke:NotDes</w:t>
      </w:r>
      <w:r>
        <w:rPr>
          <w:rFonts w:ascii="Times New Roman" w:eastAsia="宋体" w:hAnsi="Times New Roman"/>
          <w:vanish/>
          <w:sz w:val="20"/>
          <w:szCs w:val="20"/>
        </w:rPr>
        <w:t>ignatedasDerivativeInstrumentMember 2019-11-30 0000320187 us-gaap:CashFlowHedgingMember 2019-11-30 0000320187 us-gaap:EmbeddedDerivativeFinancialInstrumentsMember 2019-11-30 0000320187 us-gaap:CashAndCashEquivalentsMember 2019-11-30 0000320187 us-gaap:Prep</w:t>
      </w:r>
      <w:r>
        <w:rPr>
          <w:rFonts w:ascii="Times New Roman" w:eastAsia="宋体" w:hAnsi="Times New Roman"/>
          <w:vanish/>
          <w:sz w:val="20"/>
          <w:szCs w:val="20"/>
        </w:rPr>
        <w:t>aidExpensesAndOtherCurrentAssetsMember us-gaap:ForeignExchangeContractMember us-gaap:DesignatedAsHedgingInstrumentMember 2019-05-31 0000320187 us-gaap:NondesignatedMember 2019-05-31 0000320187 us-gaap:DesignatedAsHedgingInstrumentMember 2019-11-30 00003201</w:t>
      </w:r>
      <w:r>
        <w:rPr>
          <w:rFonts w:ascii="Times New Roman" w:eastAsia="宋体" w:hAnsi="Times New Roman"/>
          <w:vanish/>
          <w:sz w:val="20"/>
          <w:szCs w:val="20"/>
        </w:rPr>
        <w:t>87 us-gaap:PrepaidExpensesAndOtherCurrentAssetsMember us-gaap:ForeignExchangeContractMember us-gaap:NondesignatedMember 2019-05-31 0000320187 nke:DeferredIncomeTaxesAndOtherLongTermLiabilitiesMember us-gaap:EmbeddedDerivativeFinancialInstrumentsMember us-g</w:t>
      </w:r>
      <w:r>
        <w:rPr>
          <w:rFonts w:ascii="Times New Roman" w:eastAsia="宋体" w:hAnsi="Times New Roman"/>
          <w:vanish/>
          <w:sz w:val="20"/>
          <w:szCs w:val="20"/>
        </w:rPr>
        <w:t>aap:NondesignatedMember 2019-05-31 0000320187 nke:DeferredIncomeTaxesAndOtherLongTermLiabilitiesMember us-gaap:ForeignExchangeContractMember us-gaap:DesignatedAsHedgingInstrumentMember 2019-11-30 0000320187 us-gaap:DesignatedAsHedgingInstrumentMember 2019-</w:t>
      </w:r>
      <w:r>
        <w:rPr>
          <w:rFonts w:ascii="Times New Roman" w:eastAsia="宋体" w:hAnsi="Times New Roman"/>
          <w:vanish/>
          <w:sz w:val="20"/>
          <w:szCs w:val="20"/>
        </w:rPr>
        <w:t>05-31 0000320187 us-gaap:PrepaidExpensesAndOtherCurrentAssetsMember us-gaap:EmbeddedDerivativeFinancialInstrumentsMember us-gaap:NondesignatedMember 2019-11-30 0000320187 us-gaap:PrepaidExpensesAndOtherCurrentAssetsMember us-gaap:ForeignExchangeContractMem</w:t>
      </w:r>
      <w:r>
        <w:rPr>
          <w:rFonts w:ascii="Times New Roman" w:eastAsia="宋体" w:hAnsi="Times New Roman"/>
          <w:vanish/>
          <w:sz w:val="20"/>
          <w:szCs w:val="20"/>
        </w:rPr>
        <w:t>ber us-gaap:NondesignatedMember 2019-11-30 0000320187 us-gaap:AccruedLiabilitiesMember us-gaap:EmbeddedDerivativeFinancialInstrumentsMember us-gaap:NondesignatedMember 2019-05-31 0000320187 us-gaap:PrepaidExpensesAndOtherCurrentAssetsMember us-gaap:Foreign</w:t>
      </w:r>
      <w:r>
        <w:rPr>
          <w:rFonts w:ascii="Times New Roman" w:eastAsia="宋体" w:hAnsi="Times New Roman"/>
          <w:vanish/>
          <w:sz w:val="20"/>
          <w:szCs w:val="20"/>
        </w:rPr>
        <w:t>ExchangeContractMember us-gaap:DesignatedAsHedgingInstrumentMember 2019-11-30 0000320187 us-gaap:AccruedLiabilitiesMember us-gaap:EmbeddedDerivativeFinancialInstrumentsMember us-gaap:NondesignatedMember 2019-11-30 0000320187 nke:DeferredIncomeTaxesAndOther</w:t>
      </w:r>
      <w:r>
        <w:rPr>
          <w:rFonts w:ascii="Times New Roman" w:eastAsia="宋体" w:hAnsi="Times New Roman"/>
          <w:vanish/>
          <w:sz w:val="20"/>
          <w:szCs w:val="20"/>
        </w:rPr>
        <w:t>LongTermAssetsMember us-gaap:EmbeddedDerivativeFinancialInstrumentsMember us-gaap:NondesignatedMember 2019-11-30 0000320187 nke:DeferredIncomeTaxesAndOtherLongTermAssetsMember us-gaap:EmbeddedDerivativeFinancialInstrumentsMember us-gaap:NondesignatedMember</w:t>
      </w:r>
      <w:r>
        <w:rPr>
          <w:rFonts w:ascii="Times New Roman" w:eastAsia="宋体" w:hAnsi="Times New Roman"/>
          <w:vanish/>
          <w:sz w:val="20"/>
          <w:szCs w:val="20"/>
        </w:rPr>
        <w:t xml:space="preserve"> 2019-05-31 0000320187 nke:DeferredIncomeTaxesAndOtherLongTermAssetsMember us-gaap:ForeignExchangeContractMember us-gaap:DesignatedAsHedgingInstrumentMember 2019-05-31 0000320187 nke:DeferredIncomeTaxesAndOtherLongTermAssetsMember us-gaap:ForeignExchangeCo</w:t>
      </w:r>
      <w:r>
        <w:rPr>
          <w:rFonts w:ascii="Times New Roman" w:eastAsia="宋体" w:hAnsi="Times New Roman"/>
          <w:vanish/>
          <w:sz w:val="20"/>
          <w:szCs w:val="20"/>
        </w:rPr>
        <w:t>ntractMember us-gaap:DesignatedAsHedgingInstrumentMember 2019-11-30 0000320187 us-gaap:AccruedLiabilitiesMember us-gaap:ForeignExchangeContractMember us-gaap:DesignatedAsHedgingInstrumentMember 2019-11-30 0000320187 us-gaap:AccruedLiabilitiesMember us-gaap</w:t>
      </w:r>
      <w:r>
        <w:rPr>
          <w:rFonts w:ascii="Times New Roman" w:eastAsia="宋体" w:hAnsi="Times New Roman"/>
          <w:vanish/>
          <w:sz w:val="20"/>
          <w:szCs w:val="20"/>
        </w:rPr>
        <w:t>:ForeignExchangeContractMember us-gaap:NondesignatedMember 2019-11-30 0000320187 nke:DeferredIncomeTaxesAndOtherLongTermLiabilitiesMember us-gaap:ForeignExchangeContractMember us-gaap:DesignatedAsHedgingInstrumentMember 2019-05-31 0000320187 us-gaap:Prepai</w:t>
      </w:r>
      <w:r>
        <w:rPr>
          <w:rFonts w:ascii="Times New Roman" w:eastAsia="宋体" w:hAnsi="Times New Roman"/>
          <w:vanish/>
          <w:sz w:val="20"/>
          <w:szCs w:val="20"/>
        </w:rPr>
        <w:t>dExpensesAndOtherCurrentAssetsMember us-gaap:EmbeddedDerivativeFinancialInstrumentsMember us-gaap:NondesignatedMember 2019-05-31 0000320187 nke:DeferredIncomeTaxesAndOtherLongTermLiabilitiesMember us-gaap:EmbeddedDerivativeFinancialInstrumentsMember us-gaa</w:t>
      </w:r>
      <w:r>
        <w:rPr>
          <w:rFonts w:ascii="Times New Roman" w:eastAsia="宋体" w:hAnsi="Times New Roman"/>
          <w:vanish/>
          <w:sz w:val="20"/>
          <w:szCs w:val="20"/>
        </w:rPr>
        <w:t>p:NondesignatedMember 2019-11-30 0000320187 us-gaap:AccruedLiabilitiesMember us-gaap:ForeignExchangeContractMember us-gaap:NondesignatedMember 2019-05-31 0000320187 us-gaap:NondesignatedMember 2019-11-30 0000320187 us-gaap:AccruedLiabilitiesMember us-gaap:</w:t>
      </w:r>
      <w:r>
        <w:rPr>
          <w:rFonts w:ascii="Times New Roman" w:eastAsia="宋体" w:hAnsi="Times New Roman"/>
          <w:vanish/>
          <w:sz w:val="20"/>
          <w:szCs w:val="20"/>
        </w:rPr>
        <w:t>ForeignExchangeContractMember us-gaap:DesignatedAsHedgingInstrumentMember 2019-05-31 0000320187 us-gaap:ForeignExchangeContractMember us-gaap:CashFlowHedgingMember us-gaap:CostOfGoodsTotalMember 2018-09-01 2018-11-30 0000320187 us-gaap:ForeignExchangeContr</w:t>
      </w:r>
      <w:r>
        <w:rPr>
          <w:rFonts w:ascii="Times New Roman" w:eastAsia="宋体" w:hAnsi="Times New Roman"/>
          <w:vanish/>
          <w:sz w:val="20"/>
          <w:szCs w:val="20"/>
        </w:rPr>
        <w:t>actMember us-gaap:CashFlowHedgingMember nke:DemandCreationExpenseMember 2019-09-01 2019-11-30 0000320187 us-gaap:InterestRateSwapMember us-gaap:CashFlowHedgingMember nke:InterestIncomeExpenseNetMember 2019-09-01 2019-11-30 0000320187 us-gaap:ForeignExchang</w:t>
      </w:r>
      <w:r>
        <w:rPr>
          <w:rFonts w:ascii="Times New Roman" w:eastAsia="宋体" w:hAnsi="Times New Roman"/>
          <w:vanish/>
          <w:sz w:val="20"/>
          <w:szCs w:val="20"/>
        </w:rPr>
        <w:t>eContractMember us-gaap:CashFlowHedgingMember nke:OtherIncomeAndExpenseMember 2019-09-01 2019-11-30 0000320187 us-gaap:InterestRateSwapMember us-gaap:CashFlowHedgingMember nke:InterestIncomeExpenseNetMember 2018-09-01 2018-11-30 0000320187 us-gaap:ForeignE</w:t>
      </w:r>
      <w:r>
        <w:rPr>
          <w:rFonts w:ascii="Times New Roman" w:eastAsia="宋体" w:hAnsi="Times New Roman"/>
          <w:vanish/>
          <w:sz w:val="20"/>
          <w:szCs w:val="20"/>
        </w:rPr>
        <w:t>xchangeContractMember us-gaap:CashFlowHedgingMember us-gaap:SalesMember 2018-09-01 2018-11-30 0000320187 us-gaap:ForeignExchangeContractMember us-gaap:CashFlowHedgingMember us-gaap:CostOfGoodsTotalMember 2019-09-01 2019-11-30 0000320187 us-gaap:ForeignExch</w:t>
      </w:r>
      <w:r>
        <w:rPr>
          <w:rFonts w:ascii="Times New Roman" w:eastAsia="宋体" w:hAnsi="Times New Roman"/>
          <w:vanish/>
          <w:sz w:val="20"/>
          <w:szCs w:val="20"/>
        </w:rPr>
        <w:t>angeContractMember us-gaap:CashFlowHedgingMember nke:DemandCreationExpenseMember 2018-09-01 2018-11-30 0000320187 us-gaap:ForeignExchangeContractMember us-gaap:CashFlowHedgingMember us-gaap:SalesMember 2019-09-01 2019-11-30 0000320187 us-gaap:ForeignExchan</w:t>
      </w:r>
      <w:r>
        <w:rPr>
          <w:rFonts w:ascii="Times New Roman" w:eastAsia="宋体" w:hAnsi="Times New Roman"/>
          <w:vanish/>
          <w:sz w:val="20"/>
          <w:szCs w:val="20"/>
        </w:rPr>
        <w:t>geContractMember us-gaap:CashFlowHedgingMember nke:OtherIncomeAndExpenseMember 2018-09-01 2018-11-30 0000320187 us-gaap:CashFlowHedgingMember 2019-09-01 2019-11-30 0000320187 us-gaap:CashFlowHedgingMember 2018-09-01 2018-11-30 0000320187 us-gaap:ParentMemb</w:t>
      </w:r>
      <w:r>
        <w:rPr>
          <w:rFonts w:ascii="Times New Roman" w:eastAsia="宋体" w:hAnsi="Times New Roman"/>
          <w:vanish/>
          <w:sz w:val="20"/>
          <w:szCs w:val="20"/>
        </w:rPr>
        <w:t>er 2019-11-30 0000320187 nke:AccumulatedOtherAdjustmentsMember 2019-11-30 0000320187 us-gaap:AccumulatedTranslationAdjustmentMember 2019-08-31 0000320187 nke:AccumulatedOtherAdjustmentsMember 2019-09-01 2019-11-30 0000320187 us-gaap:AccumulatedNetGainLossF</w:t>
      </w:r>
      <w:r>
        <w:rPr>
          <w:rFonts w:ascii="Times New Roman" w:eastAsia="宋体" w:hAnsi="Times New Roman"/>
          <w:vanish/>
          <w:sz w:val="20"/>
          <w:szCs w:val="20"/>
        </w:rPr>
        <w:t>romDesignatedOrQualifyingCashFlowHedgesMember 2019-09-01 2019-11-30 0000320187 us-gaap:AccumulatedTranslationAdjustmentMember 2019-09-01 2019-11-30 0000320187 us-gaap:AccumulatedNetUnrealizedInvestmentGainLossMember 2019-09-01 2019-11-30 0000320187 us-gaap</w:t>
      </w:r>
      <w:r>
        <w:rPr>
          <w:rFonts w:ascii="Times New Roman" w:eastAsia="宋体" w:hAnsi="Times New Roman"/>
          <w:vanish/>
          <w:sz w:val="20"/>
          <w:szCs w:val="20"/>
        </w:rPr>
        <w:t>:AccumulatedNetGainLossFromDesignatedOrQualifyingCashFlowHedgesMember 2019-11-30 0000320187 us-gaap:AccumulatedNetGainLossFromDesignatedOrQualifyingCashFlowHedgesMember 2019-08-31 0000320187 us-gaap:AccumulatedNetUnrealizedInvestmentGainLossMember 2019-08-</w:t>
      </w:r>
      <w:r>
        <w:rPr>
          <w:rFonts w:ascii="Times New Roman" w:eastAsia="宋体" w:hAnsi="Times New Roman"/>
          <w:vanish/>
          <w:sz w:val="20"/>
          <w:szCs w:val="20"/>
        </w:rPr>
        <w:t>31 0000320187 us-gaap:ParentMember 2019-08-31 0000320187 us-gaap:AccumulatedNetUnrealizedInvestmentGainLossMember 2019-11-30 0000320187 us-gaap:AccumulatedTranslationAdjustmentMember 2019-11-30 0000320187 nke:AccumulatedOtherAdjustmentsMember 2019-08-31 00</w:t>
      </w:r>
      <w:r>
        <w:rPr>
          <w:rFonts w:ascii="Times New Roman" w:eastAsia="宋体" w:hAnsi="Times New Roman"/>
          <w:vanish/>
          <w:sz w:val="20"/>
          <w:szCs w:val="20"/>
        </w:rPr>
        <w:t>00320187 nke:ForeignExchangeForwardandOptionMember us-gaap:ReclassificationOutOfAccumulatedOtherComprehensiveIncomeMember us-gaap:AccumulatedNetGainLossFromDesignatedOrQualifyingCashFlowHedgesMember 2019-09-01 2019-11-30 0000320187 us-gaap:Reclassification</w:t>
      </w:r>
      <w:r>
        <w:rPr>
          <w:rFonts w:ascii="Times New Roman" w:eastAsia="宋体" w:hAnsi="Times New Roman"/>
          <w:vanish/>
          <w:sz w:val="20"/>
          <w:szCs w:val="20"/>
        </w:rPr>
        <w:t>OutOfAccumulatedOtherComprehensiveIncomeMember nke:AccumulatedOtherAdjustmentsMember 2018-06-01 2018-11-30 0000320187 us-gaap:ReclassificationOutOfAccumulatedOtherComprehensiveIncomeMember nke:AccumulatedOtherAdjustmentsMember 2018-09-01 2018-11-30 0000320</w:t>
      </w:r>
      <w:r>
        <w:rPr>
          <w:rFonts w:ascii="Times New Roman" w:eastAsia="宋体" w:hAnsi="Times New Roman"/>
          <w:vanish/>
          <w:sz w:val="20"/>
          <w:szCs w:val="20"/>
        </w:rPr>
        <w:t>187 nke:ForeignExchangeForwardandOptionMember us-gaap:ReclassificationOutOfAccumulatedOtherComprehensiveIncomeMember us-gaap:AccumulatedNetGainLossFromDesignatedOrQualifyingCashFlowHedgesMember 2018-09-01 2018-11-30 0000320187 nke:ForeignExchangeForwardand</w:t>
      </w:r>
      <w:r>
        <w:rPr>
          <w:rFonts w:ascii="Times New Roman" w:eastAsia="宋体" w:hAnsi="Times New Roman"/>
          <w:vanish/>
          <w:sz w:val="20"/>
          <w:szCs w:val="20"/>
        </w:rPr>
        <w:t>OptionMember us-gaap:ReclassificationOutOfAccumulatedOtherComprehensiveIncomeMember us-gaap:AccumulatedNetGainLossFromDesignatedOrQualifyingCashFlowHedgesMember 2019-06-01 2019-11-30 0000320187 us-gaap:ReclassificationOutOfAccumulatedOtherComprehensiveInco</w:t>
      </w:r>
      <w:r>
        <w:rPr>
          <w:rFonts w:ascii="Times New Roman" w:eastAsia="宋体" w:hAnsi="Times New Roman"/>
          <w:vanish/>
          <w:sz w:val="20"/>
          <w:szCs w:val="20"/>
        </w:rPr>
        <w:t>meMember us-gaap:AccumulatedNetGainLossFromDesignatedOrQualifyingCashFlowHedgesMember 2018-09-01 2018-11-30 0000320187 us-gaap:ReclassificationOutOfAccumulatedOtherComprehensiveIncomeMember nke:AccumulatedOtherAdjustmentsMember 2019-09-01 2019-11-30 000032</w:t>
      </w:r>
      <w:r>
        <w:rPr>
          <w:rFonts w:ascii="Times New Roman" w:eastAsia="宋体" w:hAnsi="Times New Roman"/>
          <w:vanish/>
          <w:sz w:val="20"/>
          <w:szCs w:val="20"/>
        </w:rPr>
        <w:t>0187 us-gaap:ReclassificationOutOfAccumulatedOtherComprehensiveIncomeMember nke:AccumulatedOtherAdjustmentsMember 2019-06-01 2019-11-30 0000320187 us-gaap:InterestRateSwapMember us-gaap:ReclassificationOutOfAccumulatedOtherComprehensiveIncomeMember us-gaap</w:t>
      </w:r>
      <w:r>
        <w:rPr>
          <w:rFonts w:ascii="Times New Roman" w:eastAsia="宋体" w:hAnsi="Times New Roman"/>
          <w:vanish/>
          <w:sz w:val="20"/>
          <w:szCs w:val="20"/>
        </w:rPr>
        <w:t>:AccumulatedNetGainLossFromDesignatedOrQualifyingCashFlowHedgesMember 2018-06-01 2018-11-30 0000320187 us-gaap:InterestRateSwapMember us-gaap:ReclassificationOutOfAccumulatedOtherComprehensiveIncomeMember us-gaap:AccumulatedNetGainLossFromDesignatedOrQuali</w:t>
      </w:r>
      <w:r>
        <w:rPr>
          <w:rFonts w:ascii="Times New Roman" w:eastAsia="宋体" w:hAnsi="Times New Roman"/>
          <w:vanish/>
          <w:sz w:val="20"/>
          <w:szCs w:val="20"/>
        </w:rPr>
        <w:t>fyingCashFlowHedgesMember 2019-06-01 2019-11-30 0000320187 us-gaap:ReclassificationOutOfAccumulatedOtherComprehensiveIncomeMember us-gaap:AccumulatedNetGainLossFromDesignatedOrQualifyingCashFlowHedgesMember 2019-09-01 2019-11-30 0000320187 nke:ForeignExcha</w:t>
      </w:r>
      <w:r>
        <w:rPr>
          <w:rFonts w:ascii="Times New Roman" w:eastAsia="宋体" w:hAnsi="Times New Roman"/>
          <w:vanish/>
          <w:sz w:val="20"/>
          <w:szCs w:val="20"/>
        </w:rPr>
        <w:t>ngeForwardandOptionMember us-gaap:ReclassificationOutOfAccumulatedOtherComprehensiveIncomeMember us-gaap:AccumulatedNetGainLossFromDesignatedOrQualifyingCashFlowHedgesMember 2018-06-01 2018-11-30 0000320187 us-gaap:ReclassificationOutOfAccumulatedOtherComp</w:t>
      </w:r>
      <w:r>
        <w:rPr>
          <w:rFonts w:ascii="Times New Roman" w:eastAsia="宋体" w:hAnsi="Times New Roman"/>
          <w:vanish/>
          <w:sz w:val="20"/>
          <w:szCs w:val="20"/>
        </w:rPr>
        <w:t>rehensiveIncomeMember us-gaap:AccumulatedNetGainLossFromDesignatedOrQualifyingCashFlowHedgesMember 2018-06-01 2018-11-30 0000320187 us-gaap:ReclassificationOutOfAccumulatedOtherComprehensiveIncomeMember us-gaap:AccumulatedNetGainLossFromDesignatedOrQualify</w:t>
      </w:r>
      <w:r>
        <w:rPr>
          <w:rFonts w:ascii="Times New Roman" w:eastAsia="宋体" w:hAnsi="Times New Roman"/>
          <w:vanish/>
          <w:sz w:val="20"/>
          <w:szCs w:val="20"/>
        </w:rPr>
        <w:t>ingCashFlowHedgesMember 2019-06-01 2019-11-30 0000320187 us-gaap:InterestRateSwapMember us-gaap:ReclassificationOutOfAccumulatedOtherComprehensiveIncomeMember us-gaap:AccumulatedNetGainLossFromDesignatedOrQualifyingCashFlowHedgesMember 2018-09-01 2018-11-3</w:t>
      </w:r>
      <w:r>
        <w:rPr>
          <w:rFonts w:ascii="Times New Roman" w:eastAsia="宋体" w:hAnsi="Times New Roman"/>
          <w:vanish/>
          <w:sz w:val="20"/>
          <w:szCs w:val="20"/>
        </w:rPr>
        <w:t>0 0000320187 us-gaap:ReclassificationOutOfAccumulatedOtherComprehensiveIncomeMember 2019-06-01 2019-11-30 0000320187 us-gaap:ReclassificationOutOfAccumulatedOtherComprehensiveIncomeMember 2018-06-01 2018-11-30 0000320187 us-gaap:InterestRateSwapMember us-g</w:t>
      </w:r>
      <w:r>
        <w:rPr>
          <w:rFonts w:ascii="Times New Roman" w:eastAsia="宋体" w:hAnsi="Times New Roman"/>
          <w:vanish/>
          <w:sz w:val="20"/>
          <w:szCs w:val="20"/>
        </w:rPr>
        <w:t>aap:ReclassificationOutOfAccumulatedOtherComprehensiveIncomeMember us-gaap:AccumulatedNetGainLossFromDesignatedOrQualifyingCashFlowHedgesMember 2019-09-01 2019-11-30 0000320187 us-gaap:ReclassificationOutOfAccumulatedOtherComprehensiveIncomeMember 2019-09-</w:t>
      </w:r>
      <w:r>
        <w:rPr>
          <w:rFonts w:ascii="Times New Roman" w:eastAsia="宋体" w:hAnsi="Times New Roman"/>
          <w:vanish/>
          <w:sz w:val="20"/>
          <w:szCs w:val="20"/>
        </w:rPr>
        <w:t>01 2019-11-30 0000320187 us-gaap:ReclassificationOutOfAccumulatedOtherComprehensiveIncomeMember 2018-09-01 2018-11-30 0000320187 us-gaap:AccumulatedNetUnrealizedInvestmentGainLossMember 2019-06-01 2019-11-30 0000320187 us-gaap:ParentMember 2019-05-31 00003</w:t>
      </w:r>
      <w:r>
        <w:rPr>
          <w:rFonts w:ascii="Times New Roman" w:eastAsia="宋体" w:hAnsi="Times New Roman"/>
          <w:vanish/>
          <w:sz w:val="20"/>
          <w:szCs w:val="20"/>
        </w:rPr>
        <w:t>20187 nke:AccumulatedOtherAdjustmentsMember 2019-06-01 2019-11-30 0000320187 us-gaap:AccumulatedNetGainLossFromDesignatedOrQualifyingCashFlowHedgesMember 2019-06-01 2019-11-30 0000320187 us-gaap:AccumulatedNetGainLossFromDesignatedOrQualifyingCashFlowHedge</w:t>
      </w:r>
      <w:r>
        <w:rPr>
          <w:rFonts w:ascii="Times New Roman" w:eastAsia="宋体" w:hAnsi="Times New Roman"/>
          <w:vanish/>
          <w:sz w:val="20"/>
          <w:szCs w:val="20"/>
        </w:rPr>
        <w:t>sMember 2019-05-31 0000320187 us-gaap:AccumulatedTranslationAdjustmentMember 2019-06-01 2019-11-30 0000320187 nke:AccumulatedOtherAdjustmentsMember 2019-05-31 0000320187 us-gaap:AccumulatedTranslationAdjustmentMember 2019-05-31 0000320187 us-gaap:Accumulat</w:t>
      </w:r>
      <w:r>
        <w:rPr>
          <w:rFonts w:ascii="Times New Roman" w:eastAsia="宋体" w:hAnsi="Times New Roman"/>
          <w:vanish/>
          <w:sz w:val="20"/>
          <w:szCs w:val="20"/>
        </w:rPr>
        <w:t>edNetUnrealizedInvestmentGainLossMember 2019-05-31 0000320187 us-gaap:AccumulatedTranslationAdjustmentMember 2018-09-01 2018-11-30 0000320187 us-gaap:AccumulatedNetUnrealizedInvestmentGainLossMember 2018-08-31 0000320187 us-gaap:AccumulatedNetUnrealizedInv</w:t>
      </w:r>
      <w:r>
        <w:rPr>
          <w:rFonts w:ascii="Times New Roman" w:eastAsia="宋体" w:hAnsi="Times New Roman"/>
          <w:vanish/>
          <w:sz w:val="20"/>
          <w:szCs w:val="20"/>
        </w:rPr>
        <w:t>estmentGainLossMember 2018-09-01 2018-11-30 0000320187 nke:AccumulatedOtherAdjustmentsMember 2018-11-30 0000320187 us-gaap:ParentMember 2018-11-30 0000320187 nke:AccumulatedOtherAdjustmentsMember 2018-09-01 2018-11-30 0000320187 us-gaap:AccumulatedNetUnrea</w:t>
      </w:r>
      <w:r>
        <w:rPr>
          <w:rFonts w:ascii="Times New Roman" w:eastAsia="宋体" w:hAnsi="Times New Roman"/>
          <w:vanish/>
          <w:sz w:val="20"/>
          <w:szCs w:val="20"/>
        </w:rPr>
        <w:t>lizedInvestmentGainLossMember 2018-11-30 0000320187 us-gaap:ParentMember 2018-08-31 0000320187 us-gaap:AccumulatedNetGainLossFromDesignatedOrQualifyingCashFlowHedgesMember 2018-08-31 0000320187 us-gaap:AccumulatedNetGainLossFromDesignatedOrQualifyingCashFl</w:t>
      </w:r>
      <w:r>
        <w:rPr>
          <w:rFonts w:ascii="Times New Roman" w:eastAsia="宋体" w:hAnsi="Times New Roman"/>
          <w:vanish/>
          <w:sz w:val="20"/>
          <w:szCs w:val="20"/>
        </w:rPr>
        <w:t>owHedgesMember 2018-09-01 2018-11-30 0000320187 us-gaap:AccumulatedTranslationAdjustmentMember 2018-08-31 0000320187 us-gaap:AccumulatedNetGainLossFromDesignatedOrQualifyingCashFlowHedgesMember 2018-11-30 0000320187 nke:AccumulatedOtherAdjustmentsMember 20</w:t>
      </w:r>
      <w:r>
        <w:rPr>
          <w:rFonts w:ascii="Times New Roman" w:eastAsia="宋体" w:hAnsi="Times New Roman"/>
          <w:vanish/>
          <w:sz w:val="20"/>
          <w:szCs w:val="20"/>
        </w:rPr>
        <w:t>18-08-31 0000320187 us-gaap:AccumulatedTranslationAdjustmentMember 2018-11-30 0000320187 us-gaap:AccumulatedTranslationAdjustmentMember 2018-06-01 2018-11-30 0000320187 nke:AccumulatedOtherAdjustmentsMember 2018-06-01 2018-11-30 0000320187 us-gaap:Accumula</w:t>
      </w:r>
      <w:r>
        <w:rPr>
          <w:rFonts w:ascii="Times New Roman" w:eastAsia="宋体" w:hAnsi="Times New Roman"/>
          <w:vanish/>
          <w:sz w:val="20"/>
          <w:szCs w:val="20"/>
        </w:rPr>
        <w:t>tedNetUnrealizedInvestmentGainLossMember 2018-06-01 2018-11-30 0000320187 us-gaap:AccumulatedNetGainLossFromDesignatedOrQualifyingCashFlowHedgesMember 2018-06-01 2018-11-30 0000320187 nke:AccumulatedOtherAdjustmentsMember 2018-05-31 0000320187 us-gaap:Accu</w:t>
      </w:r>
      <w:r>
        <w:rPr>
          <w:rFonts w:ascii="Times New Roman" w:eastAsia="宋体" w:hAnsi="Times New Roman"/>
          <w:vanish/>
          <w:sz w:val="20"/>
          <w:szCs w:val="20"/>
        </w:rPr>
        <w:t xml:space="preserve">mulatedNetGainLossFromDesignatedOrQualifyingCashFlowHedgesMember 2018-05-31 0000320187 us-gaap:ParentMember 2018-05-31 0000320187 us-gaap:AccumulatedTranslationAdjustmentMember 2018-05-31 0000320187 us-gaap:AccumulatedNetUnrealizedInvestmentGainLossMember </w:t>
      </w:r>
      <w:r>
        <w:rPr>
          <w:rFonts w:ascii="Times New Roman" w:eastAsia="宋体" w:hAnsi="Times New Roman"/>
          <w:vanish/>
          <w:sz w:val="20"/>
          <w:szCs w:val="20"/>
        </w:rPr>
        <w:t>2018-05-31 0000320187 us-gaap:OperatingSegmentsMember nke:SalesChannelWholesaleMember nke:NIKEBrandMember nke:EuropeMiddleEastAndAfricaSegmentMember 2019-06-01 2019-11-30 0000320187 us-gaap:OperatingSegmentsMember nke:ApparelMember nke:NIKEBrandMember nke:</w:t>
      </w:r>
      <w:r>
        <w:rPr>
          <w:rFonts w:ascii="Times New Roman" w:eastAsia="宋体" w:hAnsi="Times New Roman"/>
          <w:vanish/>
          <w:sz w:val="20"/>
          <w:szCs w:val="20"/>
        </w:rPr>
        <w:t>NorthAmericaSegmentMember 2019-06-01 2019-11-30 0000320187 us-gaap:OperatingSegmentsMember us-gaap:SalesChannelDirectlyToConsumerMember nke:NIKEBrandMember nke:EuropeMiddleEastAndAfricaSegmentMember 2019-06-01 2019-11-30 0000320187 us-gaap:OperatingSegment</w:t>
      </w:r>
      <w:r>
        <w:rPr>
          <w:rFonts w:ascii="Times New Roman" w:eastAsia="宋体" w:hAnsi="Times New Roman"/>
          <w:vanish/>
          <w:sz w:val="20"/>
          <w:szCs w:val="20"/>
        </w:rPr>
        <w:t>sMember nke:OtherProductLinesMember nke:NIKEBrandMember nke:EuropeMiddleEastAndAfricaSegmentMember 2019-06-01 2019-11-30 0000320187 us-gaap:OperatingSegmentsMember us-gaap:SalesChannelDirectlyToConsumerMember nke:NIKEBrandMember nke:GreaterChinaSegmentMemb</w:t>
      </w:r>
      <w:r>
        <w:rPr>
          <w:rFonts w:ascii="Times New Roman" w:eastAsia="宋体" w:hAnsi="Times New Roman"/>
          <w:vanish/>
          <w:sz w:val="20"/>
          <w:szCs w:val="20"/>
        </w:rPr>
        <w:t>er 2019-06-01 2019-11-30 0000320187 us-gaap:OperatingSegmentsMember nke:OtherProductLinesMember nke:NIKEBrandMember nke:AsiaPacificAndLatinAmericaSegmentMember 2019-06-01 2019-11-30 0000320187 us-gaap:OperatingSegmentsMember nke:FootwearMember nke:Converse</w:t>
      </w:r>
      <w:r>
        <w:rPr>
          <w:rFonts w:ascii="Times New Roman" w:eastAsia="宋体" w:hAnsi="Times New Roman"/>
          <w:vanish/>
          <w:sz w:val="20"/>
          <w:szCs w:val="20"/>
        </w:rPr>
        <w:t>SegmentMember 2019-06-01 2019-11-30 0000320187 us-gaap:OperatingSegmentsMember nke:ApparelMember nke:ConverseSegmentMember 2019-06-01 2019-11-30 0000320187 nke:FootwearMember 2019-06-01 2019-11-30 0000320187 us-gaap:OperatingSegmentsMember nke:NIKEBrandMem</w:t>
      </w:r>
      <w:r>
        <w:rPr>
          <w:rFonts w:ascii="Times New Roman" w:eastAsia="宋体" w:hAnsi="Times New Roman"/>
          <w:vanish/>
          <w:sz w:val="20"/>
          <w:szCs w:val="20"/>
        </w:rPr>
        <w:t>ber 2019-06-01 2019-11-30 0000320187 us-gaap:MaterialReconcilingItemsMember nke:FootwearMember 2019-06-01 2019-11-30 0000320187 us-gaap:OperatingSegmentsMember nke:NIKEBrandMember nke:GreaterChinaSegmentMember 2019-06-01 2019-11-30 0000320187 us-gaap:Opera</w:t>
      </w:r>
      <w:r>
        <w:rPr>
          <w:rFonts w:ascii="Times New Roman" w:eastAsia="宋体" w:hAnsi="Times New Roman"/>
          <w:vanish/>
          <w:sz w:val="20"/>
          <w:szCs w:val="20"/>
        </w:rPr>
        <w:t>tingSegmentsMember nke:NIKEBrandMember nke:EuropeMiddleEastAndAfricaSegmentMember 2019-06-01 2019-11-30 0000320187 us-gaap:OperatingSegmentsMember nke:SalesChannelWholesaleMember nke:NIKEBrandMember nke:GreaterChinaSegmentMember 2019-06-01 2019-11-30 00003</w:t>
      </w:r>
      <w:r>
        <w:rPr>
          <w:rFonts w:ascii="Times New Roman" w:eastAsia="宋体" w:hAnsi="Times New Roman"/>
          <w:vanish/>
          <w:sz w:val="20"/>
          <w:szCs w:val="20"/>
        </w:rPr>
        <w:t>20187 us-gaap:MaterialReconcilingItemsMember 2019-06-01 2019-11-30 0000320187 us-gaap:OperatingSegmentsMember nke:SportingEquipmentMember nke:NIKEBrandMember nke:EuropeMiddleEastAndAfricaSegmentMember 2019-06-01 2019-11-30 0000320187 nke:ApparelMember 2019</w:t>
      </w:r>
      <w:r>
        <w:rPr>
          <w:rFonts w:ascii="Times New Roman" w:eastAsia="宋体" w:hAnsi="Times New Roman"/>
          <w:vanish/>
          <w:sz w:val="20"/>
          <w:szCs w:val="20"/>
        </w:rPr>
        <w:t>-06-01 2019-11-30 0000320187 us-gaap:OperatingSegmentsMember nke:SalesChannelWholesaleMember nke:ConverseSegmentMember 2019-06-01 2019-11-30 0000320187 us-gaap:OperatingSegmentsMember nke:OtherProductLinesMember nke:ConverseSegmentMember 2019-06-01 2019-11</w:t>
      </w:r>
      <w:r>
        <w:rPr>
          <w:rFonts w:ascii="Times New Roman" w:eastAsia="宋体" w:hAnsi="Times New Roman"/>
          <w:vanish/>
          <w:sz w:val="20"/>
          <w:szCs w:val="20"/>
        </w:rPr>
        <w:t xml:space="preserve">-30 0000320187 us-gaap:OperatingSegmentsMember nke:NIKEBrandMember nke:AsiaPacificAndLatinAmericaSegmentMember 2019-06-01 2019-11-30 0000320187 us-gaap:CorporateNonSegmentMember us-gaap:SalesChannelDirectlyToConsumerMember 2019-06-01 2019-11-30 0000320187 </w:t>
      </w:r>
      <w:r>
        <w:rPr>
          <w:rFonts w:ascii="Times New Roman" w:eastAsia="宋体" w:hAnsi="Times New Roman"/>
          <w:vanish/>
          <w:sz w:val="20"/>
          <w:szCs w:val="20"/>
        </w:rPr>
        <w:t>us-gaap:CorporateNonSegmentMember nke:FootwearMember 2019-06-01 2019-11-30 0000320187 us-gaap:OperatingSegmentsMember nke:OtherProductLinesMember nke:NIKEBrandMember nke:NorthAmericaSegmentMember 2019-06-01 2019-11-30 0000320187 us-gaap:OperatingSegmentsMe</w:t>
      </w:r>
      <w:r>
        <w:rPr>
          <w:rFonts w:ascii="Times New Roman" w:eastAsia="宋体" w:hAnsi="Times New Roman"/>
          <w:vanish/>
          <w:sz w:val="20"/>
          <w:szCs w:val="20"/>
        </w:rPr>
        <w:t>mber nke:NIKEBrandMember nke:NorthAmericaSegmentMember 2019-06-01 2019-11-30 0000320187 us-gaap:OperatingSegmentsMember nke:ApparelMember nke:NIKEBrandMember nke:EuropeMiddleEastAndAfricaSegmentMember 2019-06-01 2019-11-30 0000320187 us-gaap:OperatingSegme</w:t>
      </w:r>
      <w:r>
        <w:rPr>
          <w:rFonts w:ascii="Times New Roman" w:eastAsia="宋体" w:hAnsi="Times New Roman"/>
          <w:vanish/>
          <w:sz w:val="20"/>
          <w:szCs w:val="20"/>
        </w:rPr>
        <w:t>ntsMember nke:SportingEquipmentMember nke:NIKEBrandMember 2019-06-01 2019-11-30 0000320187 us-gaap:OperatingSegmentsMember us-gaap:SalesChannelDirectlyToConsumerMember nke:NIKEBrandMember nke:NorthAmericaSegmentMember 2019-06-01 2019-11-30 0000320187 us-ga</w:t>
      </w:r>
      <w:r>
        <w:rPr>
          <w:rFonts w:ascii="Times New Roman" w:eastAsia="宋体" w:hAnsi="Times New Roman"/>
          <w:vanish/>
          <w:sz w:val="20"/>
          <w:szCs w:val="20"/>
        </w:rPr>
        <w:t>ap:OperatingSegmentsMember nke:ApparelMember nke:NIKEBrandMember nke:GreaterChinaSegmentMember 2019-06-01 2019-11-30 0000320187 us-gaap:OperatingSegmentsMember nke:SalesChannelOtherMember nke:NIKEBrandMember 2019-06-01 2019-11-30 0000320187 us-gaap:Operati</w:t>
      </w:r>
      <w:r>
        <w:rPr>
          <w:rFonts w:ascii="Times New Roman" w:eastAsia="宋体" w:hAnsi="Times New Roman"/>
          <w:vanish/>
          <w:sz w:val="20"/>
          <w:szCs w:val="20"/>
        </w:rPr>
        <w:t>ngSegmentsMember us-gaap:SalesChannelDirectlyToConsumerMember nke:NIKEBrandMember nke:AsiaPacificAndLatinAmericaSegmentMember 2019-06-01 2019-11-30 0000320187 us-gaap:OperatingSegmentsMember nke:ConverseSegmentMember 2019-06-01 2019-11-30 0000320187 us-gaa</w:t>
      </w:r>
      <w:r>
        <w:rPr>
          <w:rFonts w:ascii="Times New Roman" w:eastAsia="宋体" w:hAnsi="Times New Roman"/>
          <w:vanish/>
          <w:sz w:val="20"/>
          <w:szCs w:val="20"/>
        </w:rPr>
        <w:t>p:OperatingSegmentsMember nke:SalesChannelWholesaleMember nke:NIKEBrandMember nke:AsiaPacificAndLatinAmericaSegmentMember 2019-06-01 2019-11-30 0000320187 us-gaap:CorporateNonSegmentMember nke:SalesChannelOtherMember 2019-06-01 2019-11-30 0000320187 us-gaa</w:t>
      </w:r>
      <w:r>
        <w:rPr>
          <w:rFonts w:ascii="Times New Roman" w:eastAsia="宋体" w:hAnsi="Times New Roman"/>
          <w:vanish/>
          <w:sz w:val="20"/>
          <w:szCs w:val="20"/>
        </w:rPr>
        <w:t>p:CorporateNonSegmentMember nke:SportingEquipmentMember 2019-06-01 2019-11-30 0000320187 us-gaap:OperatingSegmentsMember nke:FootwearMember nke:NIKEBrandMember 2019-06-01 2019-11-30 0000320187 us-gaap:CorporateNonSegmentMember 2019-06-01 2019-11-30 0000320</w:t>
      </w:r>
      <w:r>
        <w:rPr>
          <w:rFonts w:ascii="Times New Roman" w:eastAsia="宋体" w:hAnsi="Times New Roman"/>
          <w:vanish/>
          <w:sz w:val="20"/>
          <w:szCs w:val="20"/>
        </w:rPr>
        <w:t>187 nke:SportingEquipmentMember 2019-06-01 2019-11-30 0000320187 us-gaap:MaterialReconcilingItemsMember nke:SportingEquipmentMember 2019-06-01 2019-11-30 0000320187 us-gaap:OperatingSegmentsMember nke:SalesChannelWholesaleMember nke:NIKEBrandMember nke:Nor</w:t>
      </w:r>
      <w:r>
        <w:rPr>
          <w:rFonts w:ascii="Times New Roman" w:eastAsia="宋体" w:hAnsi="Times New Roman"/>
          <w:vanish/>
          <w:sz w:val="20"/>
          <w:szCs w:val="20"/>
        </w:rPr>
        <w:t>thAmericaSegmentMember 2019-06-01 2019-11-30 0000320187 nke:OtherProductLinesMember 2019-06-01 2019-11-30 0000320187 us-gaap:CorporateNonSegmentMember nke:ApparelMember 2019-06-01 2019-11-30 0000320187 us-gaap:OperatingSegmentsMember nke:OtherProductLinesM</w:t>
      </w:r>
      <w:r>
        <w:rPr>
          <w:rFonts w:ascii="Times New Roman" w:eastAsia="宋体" w:hAnsi="Times New Roman"/>
          <w:vanish/>
          <w:sz w:val="20"/>
          <w:szCs w:val="20"/>
        </w:rPr>
        <w:t>ember nke:NIKEBrandMember nke:GreaterChinaSegmentMember 2019-06-01 2019-11-30 0000320187 us-gaap:MaterialReconcilingItemsMember nke:ApparelMember 2019-06-01 2019-11-30 0000320187 us-gaap:MaterialReconcilingItemsMember nke:OtherProductLinesMember 2019-06-01</w:t>
      </w:r>
      <w:r>
        <w:rPr>
          <w:rFonts w:ascii="Times New Roman" w:eastAsia="宋体" w:hAnsi="Times New Roman"/>
          <w:vanish/>
          <w:sz w:val="20"/>
          <w:szCs w:val="20"/>
        </w:rPr>
        <w:t xml:space="preserve"> 2019-11-30 0000320187 us-gaap:MaterialReconcilingItemsMember nke:SalesChannelOtherMember 2019-06-01 2019-11-30 0000320187 us-gaap:OperatingSegmentsMember us-gaap:SalesChannelDirectlyToConsumerMember nke:ConverseSegmentMember 2019-06-01 2019-11-30 00003201</w:t>
      </w:r>
      <w:r>
        <w:rPr>
          <w:rFonts w:ascii="Times New Roman" w:eastAsia="宋体" w:hAnsi="Times New Roman"/>
          <w:vanish/>
          <w:sz w:val="20"/>
          <w:szCs w:val="20"/>
        </w:rPr>
        <w:t>87 us-gaap:OperatingSegmentsMember us-gaap:SalesChannelDirectlyToConsumerMember nke:NIKEBrandMember 2019-06-01 2019-11-30 0000320187 us-gaap:MaterialReconcilingItemsMember us-gaap:SalesChannelDirectlyToConsumerMember 2019-06-01 2019-11-30 0000320187 us-gaa</w:t>
      </w:r>
      <w:r>
        <w:rPr>
          <w:rFonts w:ascii="Times New Roman" w:eastAsia="宋体" w:hAnsi="Times New Roman"/>
          <w:vanish/>
          <w:sz w:val="20"/>
          <w:szCs w:val="20"/>
        </w:rPr>
        <w:t>p:OperatingSegmentsMember nke:SportingEquipmentMember nke:NIKEBrandMember nke:GreaterChinaSegmentMember 2019-06-01 2019-11-30 0000320187 us-gaap:MaterialReconcilingItemsMember nke:SalesChannelWholesaleMember 2019-06-01 2019-11-30 0000320187 us-gaap:Operati</w:t>
      </w:r>
      <w:r>
        <w:rPr>
          <w:rFonts w:ascii="Times New Roman" w:eastAsia="宋体" w:hAnsi="Times New Roman"/>
          <w:vanish/>
          <w:sz w:val="20"/>
          <w:szCs w:val="20"/>
        </w:rPr>
        <w:t>ngSegmentsMember nke:SalesChannelOtherMember nke:NIKEBrandMember nke:NorthAmericaSegmentMember 2019-06-01 2019-11-30 0000320187 us-gaap:OperatingSegmentsMember nke:ApparelMember nke:NIKEBrandMember 2019-06-01 2019-11-30 0000320187 us-gaap:OperatingSegments</w:t>
      </w:r>
      <w:r>
        <w:rPr>
          <w:rFonts w:ascii="Times New Roman" w:eastAsia="宋体" w:hAnsi="Times New Roman"/>
          <w:vanish/>
          <w:sz w:val="20"/>
          <w:szCs w:val="20"/>
        </w:rPr>
        <w:t>Member nke:SalesChannelOtherMember nke:NIKEBrandMember nke:EuropeMiddleEastAndAfricaSegmentMember 2019-06-01 2019-11-30 0000320187 us-gaap:OperatingSegmentsMember nke:FootwearMember nke:NIKEBrandMember nke:AsiaPacificAndLatinAmericaSegmentMember 2019-06-01</w:t>
      </w:r>
      <w:r>
        <w:rPr>
          <w:rFonts w:ascii="Times New Roman" w:eastAsia="宋体" w:hAnsi="Times New Roman"/>
          <w:vanish/>
          <w:sz w:val="20"/>
          <w:szCs w:val="20"/>
        </w:rPr>
        <w:t xml:space="preserve"> 2019-11-30 0000320187 us-gaap:CorporateNonSegmentMember nke:OtherProductLinesMember 2019-06-01 2019-11-30 0000320187 us-gaap:OperatingSegmentsMember nke:SalesChannelOtherMember nke:NIKEBrandMember nke:AsiaPacificAndLatinAmericaSegmentMember 2019-06-01 201</w:t>
      </w:r>
      <w:r>
        <w:rPr>
          <w:rFonts w:ascii="Times New Roman" w:eastAsia="宋体" w:hAnsi="Times New Roman"/>
          <w:vanish/>
          <w:sz w:val="20"/>
          <w:szCs w:val="20"/>
        </w:rPr>
        <w:t>9-11-30 0000320187 us-gaap:OperatingSegmentsMember nke:FootwearMember nke:NIKEBrandMember nke:EuropeMiddleEastAndAfricaSegmentMember 2019-06-01 2019-11-30 0000320187 us-gaap:OperatingSegmentsMember nke:SportingEquipmentMember nke:NIKEBrandMember nke:AsiaPa</w:t>
      </w:r>
      <w:r>
        <w:rPr>
          <w:rFonts w:ascii="Times New Roman" w:eastAsia="宋体" w:hAnsi="Times New Roman"/>
          <w:vanish/>
          <w:sz w:val="20"/>
          <w:szCs w:val="20"/>
        </w:rPr>
        <w:t>cificAndLatinAmericaSegmentMember 2019-06-01 2019-11-30 0000320187 us-gaap:OperatingSegmentsMember nke:FootwearMember nke:NIKEBrandMember nke:NorthAmericaSegmentMember 2019-06-01 2019-11-30 0000320187 us-gaap:OperatingSegmentsMember nke:SalesChannelOtherMe</w:t>
      </w:r>
      <w:r>
        <w:rPr>
          <w:rFonts w:ascii="Times New Roman" w:eastAsia="宋体" w:hAnsi="Times New Roman"/>
          <w:vanish/>
          <w:sz w:val="20"/>
          <w:szCs w:val="20"/>
        </w:rPr>
        <w:t>mber nke:ConverseSegmentMember 2019-06-01 2019-11-30 0000320187 us-gaap:OperatingSegmentsMember nke:SportingEquipmentMember nke:NIKEBrandMember nke:NorthAmericaSegmentMember 2019-06-01 2019-11-30 0000320187 nke:SalesChannelWholesaleMember 2019-06-01 2019-1</w:t>
      </w:r>
      <w:r>
        <w:rPr>
          <w:rFonts w:ascii="Times New Roman" w:eastAsia="宋体" w:hAnsi="Times New Roman"/>
          <w:vanish/>
          <w:sz w:val="20"/>
          <w:szCs w:val="20"/>
        </w:rPr>
        <w:t>1-30 0000320187 us-gaap:OperatingSegmentsMember nke:SalesChannelOtherMember nke:NIKEBrandMember nke:GreaterChinaSegmentMember 2019-06-01 2019-11-30 0000320187 us-gaap:SalesChannelDirectlyToConsumerMember 2019-06-01 2019-11-30 0000320187 us-gaap:OperatingSe</w:t>
      </w:r>
      <w:r>
        <w:rPr>
          <w:rFonts w:ascii="Times New Roman" w:eastAsia="宋体" w:hAnsi="Times New Roman"/>
          <w:vanish/>
          <w:sz w:val="20"/>
          <w:szCs w:val="20"/>
        </w:rPr>
        <w:t>gmentsMember nke:SalesChannelWholesaleMember nke:NIKEBrandMember 2019-06-01 2019-11-30 0000320187 us-gaap:OperatingSegmentsMember nke:OtherProductLinesMember nke:NIKEBrandMember 2019-06-01 2019-11-30 0000320187 us-gaap:OperatingSegmentsMember nke:ApparelMe</w:t>
      </w:r>
      <w:r>
        <w:rPr>
          <w:rFonts w:ascii="Times New Roman" w:eastAsia="宋体" w:hAnsi="Times New Roman"/>
          <w:vanish/>
          <w:sz w:val="20"/>
          <w:szCs w:val="20"/>
        </w:rPr>
        <w:t>mber nke:NIKEBrandMember nke:AsiaPacificAndLatinAmericaSegmentMember 2019-06-01 2019-11-30 0000320187 us-gaap:OperatingSegmentsMember nke:SportingEquipmentMember nke:ConverseSegmentMember 2019-06-01 2019-11-30 0000320187 us-gaap:CorporateNonSegmentMember n</w:t>
      </w:r>
      <w:r>
        <w:rPr>
          <w:rFonts w:ascii="Times New Roman" w:eastAsia="宋体" w:hAnsi="Times New Roman"/>
          <w:vanish/>
          <w:sz w:val="20"/>
          <w:szCs w:val="20"/>
        </w:rPr>
        <w:t>ke:SalesChannelWholesaleMember 2019-06-01 2019-11-30 0000320187 nke:SalesChannelOtherMember 2019-06-01 2019-11-30 0000320187 us-gaap:OperatingSegmentsMember nke:FootwearMember nke:NIKEBrandMember nke:GreaterChinaSegmentMember 2019-06-01 2019-11-30 00003201</w:t>
      </w:r>
      <w:r>
        <w:rPr>
          <w:rFonts w:ascii="Times New Roman" w:eastAsia="宋体" w:hAnsi="Times New Roman"/>
          <w:vanish/>
          <w:sz w:val="20"/>
          <w:szCs w:val="20"/>
        </w:rPr>
        <w:t>87 us-gaap:OperatingSegmentsMember nke:NIKEBrandMember nke:EuropeMiddleEastAndAfricaSegmentMember 2018-06-01 2018-11-30 0000320187 us-gaap:MaterialReconcilingItemsMember 2018-06-01 2018-11-30 0000320187 us-gaap:OperatingSegmentsMember nke:SalesChannelWhole</w:t>
      </w:r>
      <w:r>
        <w:rPr>
          <w:rFonts w:ascii="Times New Roman" w:eastAsia="宋体" w:hAnsi="Times New Roman"/>
          <w:vanish/>
          <w:sz w:val="20"/>
          <w:szCs w:val="20"/>
        </w:rPr>
        <w:t>saleMember nke:NIKEBrandMember nke:GreaterChinaSegmentMember 2018-06-01 2018-11-30 0000320187 nke:SalesChannelWholesaleMember 2018-06-01 2018-11-30 0000320187 us-gaap:OperatingSegmentsMember nke:SalesChannelOtherMember nke:NIKEBrandMember 2018-06-01 2018-1</w:t>
      </w:r>
      <w:r>
        <w:rPr>
          <w:rFonts w:ascii="Times New Roman" w:eastAsia="宋体" w:hAnsi="Times New Roman"/>
          <w:vanish/>
          <w:sz w:val="20"/>
          <w:szCs w:val="20"/>
        </w:rPr>
        <w:t>1-30 0000320187 us-gaap:OperatingSegmentsMember nke:SalesChannelOtherMember nke:ConverseSegmentMember 2018-06-01 2018-11-30 0000320187 us-gaap:OperatingSegmentsMember nke:OtherProductLinesMember nke:NIKEBrandMember nke:EuropeMiddleEastAndAfricaSegmentMembe</w:t>
      </w:r>
      <w:r>
        <w:rPr>
          <w:rFonts w:ascii="Times New Roman" w:eastAsia="宋体" w:hAnsi="Times New Roman"/>
          <w:vanish/>
          <w:sz w:val="20"/>
          <w:szCs w:val="20"/>
        </w:rPr>
        <w:t>r 2018-06-01 2018-11-30 0000320187 us-gaap:OperatingSegmentsMember nke:SportingEquipmentMember nke:NIKEBrandMember 2018-06-01 2018-11-30 0000320187 us-gaap:OperatingSegmentsMember us-gaap:SalesChannelDirectlyToConsumerMember nke:NIKEBrandMember nke:AsiaPac</w:t>
      </w:r>
      <w:r>
        <w:rPr>
          <w:rFonts w:ascii="Times New Roman" w:eastAsia="宋体" w:hAnsi="Times New Roman"/>
          <w:vanish/>
          <w:sz w:val="20"/>
          <w:szCs w:val="20"/>
        </w:rPr>
        <w:t>ificAndLatinAmericaSegmentMember 2018-06-01 2018-11-30 0000320187 us-gaap:OperatingSegmentsMember nke:ApparelMember nke:NIKEBrandMember nke:NorthAmericaSegmentMember 2018-06-01 2018-11-30 0000320187 us-gaap:CorporateNonSegmentMember 2018-06-01 2018-11-30 0</w:t>
      </w:r>
      <w:r>
        <w:rPr>
          <w:rFonts w:ascii="Times New Roman" w:eastAsia="宋体" w:hAnsi="Times New Roman"/>
          <w:vanish/>
          <w:sz w:val="20"/>
          <w:szCs w:val="20"/>
        </w:rPr>
        <w:t>000320187 us-gaap:OperatingSegmentsMember us-gaap:SalesChannelDirectlyToConsumerMember nke:NIKEBrandMember nke:EuropeMiddleEastAndAfricaSegmentMember 2018-06-01 2018-11-30 0000320187 us-gaap:OperatingSegmentsMember nke:ApparelMember nke:NIKEBrandMember nke</w:t>
      </w:r>
      <w:r>
        <w:rPr>
          <w:rFonts w:ascii="Times New Roman" w:eastAsia="宋体" w:hAnsi="Times New Roman"/>
          <w:vanish/>
          <w:sz w:val="20"/>
          <w:szCs w:val="20"/>
        </w:rPr>
        <w:t>:AsiaPacificAndLatinAmericaSegmentMember 2018-06-01 2018-11-30 0000320187 us-gaap:OperatingSegmentsMember nke:ApparelMember nke:ConverseSegmentMember 2018-06-01 2018-11-30 0000320187 us-gaap:OperatingSegmentsMember nke:NIKEBrandMember nke:NorthAmericaSegme</w:t>
      </w:r>
      <w:r>
        <w:rPr>
          <w:rFonts w:ascii="Times New Roman" w:eastAsia="宋体" w:hAnsi="Times New Roman"/>
          <w:vanish/>
          <w:sz w:val="20"/>
          <w:szCs w:val="20"/>
        </w:rPr>
        <w:t>ntMember 2018-06-01 2018-11-30 0000320187 nke:SportingEquipmentMember 2018-06-01 2018-11-30 0000320187 us-gaap:OperatingSegmentsMember nke:FootwearMember nke:NIKEBrandMember nke:NorthAmericaSegmentMember 2018-06-01 2018-11-30 0000320187 us-gaap:OperatingSe</w:t>
      </w:r>
      <w:r>
        <w:rPr>
          <w:rFonts w:ascii="Times New Roman" w:eastAsia="宋体" w:hAnsi="Times New Roman"/>
          <w:vanish/>
          <w:sz w:val="20"/>
          <w:szCs w:val="20"/>
        </w:rPr>
        <w:t xml:space="preserve">gmentsMember nke:NIKEBrandMember nke:GreaterChinaSegmentMember 2018-06-01 2018-11-30 0000320187 us-gaap:OperatingSegmentsMember nke:NIKEBrandMember 2018-06-01 2018-11-30 0000320187 us-gaap:CorporateNonSegmentMember nke:FootwearMember 2018-06-01 2018-11-30 </w:t>
      </w:r>
      <w:r>
        <w:rPr>
          <w:rFonts w:ascii="Times New Roman" w:eastAsia="宋体" w:hAnsi="Times New Roman"/>
          <w:vanish/>
          <w:sz w:val="20"/>
          <w:szCs w:val="20"/>
        </w:rPr>
        <w:t>0000320187 us-gaap:OperatingSegmentsMember us-gaap:SalesChannelDirectlyToConsumerMember nke:ConverseSegmentMember 2018-06-01 2018-11-30 0000320187 nke:FootwearMember 2018-06-01 2018-11-30 0000320187 us-gaap:OperatingSegmentsMember nke:ConverseSegmentMember</w:t>
      </w:r>
      <w:r>
        <w:rPr>
          <w:rFonts w:ascii="Times New Roman" w:eastAsia="宋体" w:hAnsi="Times New Roman"/>
          <w:vanish/>
          <w:sz w:val="20"/>
          <w:szCs w:val="20"/>
        </w:rPr>
        <w:t xml:space="preserve"> 2018-06-01 2018-11-30 0000320187 us-gaap:OperatingSegmentsMember nke:FootwearMember nke:NIKEBrandMember nke:AsiaPacificAndLatinAmericaSegmentMember 2018-06-01 2018-11-30 0000320187 us-gaap:OperatingSegmentsMember nke:SalesChannelOtherMember nke:NIKEBrandM</w:t>
      </w:r>
      <w:r>
        <w:rPr>
          <w:rFonts w:ascii="Times New Roman" w:eastAsia="宋体" w:hAnsi="Times New Roman"/>
          <w:vanish/>
          <w:sz w:val="20"/>
          <w:szCs w:val="20"/>
        </w:rPr>
        <w:t>ember nke:AsiaPacificAndLatinAmericaSegmentMember 2018-06-01 2018-11-30 0000320187 us-gaap:OperatingSegmentsMember us-gaap:SalesChannelDirectlyToConsumerMember nke:NIKEBrandMember nke:NorthAmericaSegmentMember 2018-06-01 2018-11-30 0000320187 us-gaap:Opera</w:t>
      </w:r>
      <w:r>
        <w:rPr>
          <w:rFonts w:ascii="Times New Roman" w:eastAsia="宋体" w:hAnsi="Times New Roman"/>
          <w:vanish/>
          <w:sz w:val="20"/>
          <w:szCs w:val="20"/>
        </w:rPr>
        <w:t>tingSegmentsMember nke:NIKEBrandMember nke:AsiaPacificAndLatinAmericaSegmentMember 2018-06-01 2018-11-30 0000320187 us-gaap:OperatingSegmentsMember nke:SportingEquipmentMember nke:ConverseSegmentMember 2018-06-01 2018-11-30 0000320187 us-gaap:OperatingSegm</w:t>
      </w:r>
      <w:r>
        <w:rPr>
          <w:rFonts w:ascii="Times New Roman" w:eastAsia="宋体" w:hAnsi="Times New Roman"/>
          <w:vanish/>
          <w:sz w:val="20"/>
          <w:szCs w:val="20"/>
        </w:rPr>
        <w:t>entsMember nke:SalesChannelWholesaleMember nke:ConverseSegmentMember 2018-06-01 2018-11-30 0000320187 us-gaap:CorporateNonSegmentMember nke:OtherProductLinesMember 2018-06-01 2018-11-30 0000320187 us-gaap:OperatingSegmentsMember nke:SportingEquipmentMember</w:t>
      </w:r>
      <w:r>
        <w:rPr>
          <w:rFonts w:ascii="Times New Roman" w:eastAsia="宋体" w:hAnsi="Times New Roman"/>
          <w:vanish/>
          <w:sz w:val="20"/>
          <w:szCs w:val="20"/>
        </w:rPr>
        <w:t xml:space="preserve"> nke:NIKEBrandMember nke:NorthAmericaSegmentMember 2018-06-01 2018-11-30 0000320187 us-gaap:OperatingSegmentsMember nke:SportingEquipmentMember nke:NIKEBrandMember nke:EuropeMiddleEastAndAfricaSegmentMember 2018-06-01 2018-11-30 0000320187 us-gaap:Operatin</w:t>
      </w:r>
      <w:r>
        <w:rPr>
          <w:rFonts w:ascii="Times New Roman" w:eastAsia="宋体" w:hAnsi="Times New Roman"/>
          <w:vanish/>
          <w:sz w:val="20"/>
          <w:szCs w:val="20"/>
        </w:rPr>
        <w:t>gSegmentsMember nke:OtherProductLinesMember nke:NIKEBrandMember 2018-06-01 2018-11-30 0000320187 us-gaap:OperatingSegmentsMember nke:ApparelMember nke:NIKEBrandMember 2018-06-01 2018-11-30 0000320187 us-gaap:CorporateNonSegmentMember nke:ApparelMember 2018</w:t>
      </w:r>
      <w:r>
        <w:rPr>
          <w:rFonts w:ascii="Times New Roman" w:eastAsia="宋体" w:hAnsi="Times New Roman"/>
          <w:vanish/>
          <w:sz w:val="20"/>
          <w:szCs w:val="20"/>
        </w:rPr>
        <w:t>-06-01 2018-11-30 0000320187 us-gaap:MaterialReconcilingItemsMember nke:ApparelMember 2018-06-01 2018-11-30 0000320187 us-gaap:OperatingSegmentsMember nke:SalesChannelWholesaleMember nke:NIKEBrandMember nke:EuropeMiddleEastAndAfricaSegmentMember 2018-06-01</w:t>
      </w:r>
      <w:r>
        <w:rPr>
          <w:rFonts w:ascii="Times New Roman" w:eastAsia="宋体" w:hAnsi="Times New Roman"/>
          <w:vanish/>
          <w:sz w:val="20"/>
          <w:szCs w:val="20"/>
        </w:rPr>
        <w:t xml:space="preserve"> 2018-11-30 0000320187 nke:SalesChannelOtherMember 2018-06-01 2018-11-30 0000320187 us-gaap:OperatingSegmentsMember us-gaap:SalesChannelDirectlyToConsumerMember nke:NIKEBrandMember 2018-06-01 2018-11-30 0000320187 us-gaap:OperatingSegmentsMember nke:Footwe</w:t>
      </w:r>
      <w:r>
        <w:rPr>
          <w:rFonts w:ascii="Times New Roman" w:eastAsia="宋体" w:hAnsi="Times New Roman"/>
          <w:vanish/>
          <w:sz w:val="20"/>
          <w:szCs w:val="20"/>
        </w:rPr>
        <w:t>arMember nke:NIKEBrandMember nke:EuropeMiddleEastAndAfricaSegmentMember 2018-06-01 2018-11-30 0000320187 us-gaap:MaterialReconcilingItemsMember nke:SalesChannelWholesaleMember 2018-06-01 2018-11-30 0000320187 us-gaap:MaterialReconcilingItemsMember nke:Foot</w:t>
      </w:r>
      <w:r>
        <w:rPr>
          <w:rFonts w:ascii="Times New Roman" w:eastAsia="宋体" w:hAnsi="Times New Roman"/>
          <w:vanish/>
          <w:sz w:val="20"/>
          <w:szCs w:val="20"/>
        </w:rPr>
        <w:t>wearMember 2018-06-01 2018-11-30 0000320187 us-gaap:CorporateNonSegmentMember nke:SalesChannelWholesaleMember 2018-06-01 2018-11-30 0000320187 us-gaap:MaterialReconcilingItemsMember nke:SalesChannelOtherMember 2018-06-01 2018-11-30 0000320187 us-gaap:Mater</w:t>
      </w:r>
      <w:r>
        <w:rPr>
          <w:rFonts w:ascii="Times New Roman" w:eastAsia="宋体" w:hAnsi="Times New Roman"/>
          <w:vanish/>
          <w:sz w:val="20"/>
          <w:szCs w:val="20"/>
        </w:rPr>
        <w:t>ialReconcilingItemsMember us-gaap:SalesChannelDirectlyToConsumerMember 2018-06-01 2018-11-30 0000320187 us-gaap:OperatingSegmentsMember nke:FootwearMember nke:NIKEBrandMember 2018-06-01 2018-11-30 0000320187 us-gaap:OperatingSegmentsMember nke:OtherProduct</w:t>
      </w:r>
      <w:r>
        <w:rPr>
          <w:rFonts w:ascii="Times New Roman" w:eastAsia="宋体" w:hAnsi="Times New Roman"/>
          <w:vanish/>
          <w:sz w:val="20"/>
          <w:szCs w:val="20"/>
        </w:rPr>
        <w:t>LinesMember nke:NIKEBrandMember nke:AsiaPacificAndLatinAmericaSegmentMember 2018-06-01 2018-11-30 0000320187 us-gaap:OperatingSegmentsMember nke:FootwearMember nke:ConverseSegmentMember 2018-06-01 2018-11-30 0000320187 nke:ApparelMember 2018-06-01 2018-11-</w:t>
      </w:r>
      <w:r>
        <w:rPr>
          <w:rFonts w:ascii="Times New Roman" w:eastAsia="宋体" w:hAnsi="Times New Roman"/>
          <w:vanish/>
          <w:sz w:val="20"/>
          <w:szCs w:val="20"/>
        </w:rPr>
        <w:t>30 0000320187 us-gaap:OperatingSegmentsMember nke:SalesChannelOtherMember nke:NIKEBrandMember nke:GreaterChinaSegmentMember 2018-06-01 2018-11-30 0000320187 us-gaap:OperatingSegmentsMember nke:SalesChannelOtherMember nke:NIKEBrandMember nke:NorthAmericaSeg</w:t>
      </w:r>
      <w:r>
        <w:rPr>
          <w:rFonts w:ascii="Times New Roman" w:eastAsia="宋体" w:hAnsi="Times New Roman"/>
          <w:vanish/>
          <w:sz w:val="20"/>
          <w:szCs w:val="20"/>
        </w:rPr>
        <w:t>mentMember 2018-06-01 2018-11-30 0000320187 us-gaap:OperatingSegmentsMember nke:SalesChannelWholesaleMember nke:NIKEBrandMember 2018-06-01 2018-11-30 0000320187 us-gaap:OperatingSegmentsMember nke:SalesChannelOtherMember nke:NIKEBrandMember nke:EuropeMiddl</w:t>
      </w:r>
      <w:r>
        <w:rPr>
          <w:rFonts w:ascii="Times New Roman" w:eastAsia="宋体" w:hAnsi="Times New Roman"/>
          <w:vanish/>
          <w:sz w:val="20"/>
          <w:szCs w:val="20"/>
        </w:rPr>
        <w:t>eEastAndAfricaSegmentMember 2018-06-01 2018-11-30 0000320187 us-gaap:CorporateNonSegmentMember nke:SportingEquipmentMember 2018-06-01 2018-11-30 0000320187 us-gaap:OperatingSegmentsMember nke:OtherProductLinesMember nke:ConverseSegmentMember 2018-06-01 201</w:t>
      </w:r>
      <w:r>
        <w:rPr>
          <w:rFonts w:ascii="Times New Roman" w:eastAsia="宋体" w:hAnsi="Times New Roman"/>
          <w:vanish/>
          <w:sz w:val="20"/>
          <w:szCs w:val="20"/>
        </w:rPr>
        <w:t>8-11-30 0000320187 us-gaap:OperatingSegmentsMember nke:SalesChannelWholesaleMember nke:NIKEBrandMember nke:NorthAmericaSegmentMember 2018-06-01 2018-11-30 0000320187 us-gaap:SalesChannelDirectlyToConsumerMember 2018-06-01 2018-11-30 0000320187 us-gaap:Oper</w:t>
      </w:r>
      <w:r>
        <w:rPr>
          <w:rFonts w:ascii="Times New Roman" w:eastAsia="宋体" w:hAnsi="Times New Roman"/>
          <w:vanish/>
          <w:sz w:val="20"/>
          <w:szCs w:val="20"/>
        </w:rPr>
        <w:t>atingSegmentsMember nke:OtherProductLinesMember nke:NIKEBrandMember nke:NorthAmericaSegmentMember 2018-06-01 2018-11-30 0000320187 us-gaap:OperatingSegmentsMember us-gaap:SalesChannelDirectlyToConsumerMember nke:NIKEBrandMember nke:GreaterChinaSegmentMembe</w:t>
      </w:r>
      <w:r>
        <w:rPr>
          <w:rFonts w:ascii="Times New Roman" w:eastAsia="宋体" w:hAnsi="Times New Roman"/>
          <w:vanish/>
          <w:sz w:val="20"/>
          <w:szCs w:val="20"/>
        </w:rPr>
        <w:t>r 2018-06-01 2018-11-30 0000320187 us-gaap:OperatingSegmentsMember nke:ApparelMember nke:NIKEBrandMember nke:EuropeMiddleEastAndAfricaSegmentMember 2018-06-01 2018-11-30 0000320187 us-gaap:OperatingSegmentsMember nke:FootwearMember nke:NIKEBrandMember nke:</w:t>
      </w:r>
      <w:r>
        <w:rPr>
          <w:rFonts w:ascii="Times New Roman" w:eastAsia="宋体" w:hAnsi="Times New Roman"/>
          <w:vanish/>
          <w:sz w:val="20"/>
          <w:szCs w:val="20"/>
        </w:rPr>
        <w:t>GreaterChinaSegmentMember 2018-06-01 2018-11-30 0000320187 us-gaap:OperatingSegmentsMember nke:SportingEquipmentMember nke:NIKEBrandMember nke:AsiaPacificAndLatinAmericaSegmentMember 2018-06-01 2018-11-30 0000320187 us-gaap:OperatingSegmentsMember nke:Appa</w:t>
      </w:r>
      <w:r>
        <w:rPr>
          <w:rFonts w:ascii="Times New Roman" w:eastAsia="宋体" w:hAnsi="Times New Roman"/>
          <w:vanish/>
          <w:sz w:val="20"/>
          <w:szCs w:val="20"/>
        </w:rPr>
        <w:t>relMember nke:NIKEBrandMember nke:GreaterChinaSegmentMember 2018-06-01 2018-11-30 0000320187 us-gaap:OperatingSegmentsMember nke:OtherProductLinesMember nke:NIKEBrandMember nke:GreaterChinaSegmentMember 2018-06-01 2018-11-30 0000320187 us-gaap:CorporateNon</w:t>
      </w:r>
      <w:r>
        <w:rPr>
          <w:rFonts w:ascii="Times New Roman" w:eastAsia="宋体" w:hAnsi="Times New Roman"/>
          <w:vanish/>
          <w:sz w:val="20"/>
          <w:szCs w:val="20"/>
        </w:rPr>
        <w:t>SegmentMember nke:SalesChannelOtherMember 2018-06-01 2018-11-30 0000320187 nke:OtherProductLinesMember 2018-06-01 2018-11-30 0000320187 us-gaap:MaterialReconcilingItemsMember nke:SportingEquipmentMember 2018-06-01 2018-11-30 0000320187 us-gaap:OperatingSeg</w:t>
      </w:r>
      <w:r>
        <w:rPr>
          <w:rFonts w:ascii="Times New Roman" w:eastAsia="宋体" w:hAnsi="Times New Roman"/>
          <w:vanish/>
          <w:sz w:val="20"/>
          <w:szCs w:val="20"/>
        </w:rPr>
        <w:t>mentsMember nke:SportingEquipmentMember nke:NIKEBrandMember nke:GreaterChinaSegmentMember 2018-06-01 2018-11-30 0000320187 us-gaap:CorporateNonSegmentMember us-gaap:SalesChannelDirectlyToConsumerMember 2018-06-01 2018-11-30 0000320187 us-gaap:OperatingSegm</w:t>
      </w:r>
      <w:r>
        <w:rPr>
          <w:rFonts w:ascii="Times New Roman" w:eastAsia="宋体" w:hAnsi="Times New Roman"/>
          <w:vanish/>
          <w:sz w:val="20"/>
          <w:szCs w:val="20"/>
        </w:rPr>
        <w:t>entsMember nke:SalesChannelWholesaleMember nke:NIKEBrandMember nke:AsiaPacificAndLatinAmericaSegmentMember 2018-06-01 2018-11-30 0000320187 us-gaap:MaterialReconcilingItemsMember nke:OtherProductLinesMember 2018-06-01 2018-11-30 0000320187 us-gaap:Operatin</w:t>
      </w:r>
      <w:r>
        <w:rPr>
          <w:rFonts w:ascii="Times New Roman" w:eastAsia="宋体" w:hAnsi="Times New Roman"/>
          <w:vanish/>
          <w:sz w:val="20"/>
          <w:szCs w:val="20"/>
        </w:rPr>
        <w:t>gSegmentsMember nke:ApparelMember nke:NIKEBrandMember 2018-09-01 2018-11-30 0000320187 us-gaap:MaterialReconcilingItemsMember nke:OtherProductLinesMember 2018-09-01 2018-11-30 0000320187 us-gaap:OperatingSegmentsMember nke:OtherProductLinesMember nke:NIKEB</w:t>
      </w:r>
      <w:r>
        <w:rPr>
          <w:rFonts w:ascii="Times New Roman" w:eastAsia="宋体" w:hAnsi="Times New Roman"/>
          <w:vanish/>
          <w:sz w:val="20"/>
          <w:szCs w:val="20"/>
        </w:rPr>
        <w:t>randMember nke:EuropeMiddleEastAndAfricaSegmentMember 2018-09-01 2018-11-30 0000320187 us-gaap:OperatingSegmentsMember nke:ApparelMember nke:NIKEBrandMember nke:EuropeMiddleEastAndAfricaSegmentMember 2018-09-01 2018-11-30 0000320187 us-gaap:OperatingSegmen</w:t>
      </w:r>
      <w:r>
        <w:rPr>
          <w:rFonts w:ascii="Times New Roman" w:eastAsia="宋体" w:hAnsi="Times New Roman"/>
          <w:vanish/>
          <w:sz w:val="20"/>
          <w:szCs w:val="20"/>
        </w:rPr>
        <w:t>tsMember nke:FootwearMember nke:NIKEBrandMember 2018-09-01 2018-11-30 0000320187 us-gaap:OperatingSegmentsMember nke:NIKEBrandMember nke:NorthAmericaSegmentMember 2018-09-01 2018-11-30 0000320187 us-gaap:OperatingSegmentsMember nke:FootwearMember nke:NIKEB</w:t>
      </w:r>
      <w:r>
        <w:rPr>
          <w:rFonts w:ascii="Times New Roman" w:eastAsia="宋体" w:hAnsi="Times New Roman"/>
          <w:vanish/>
          <w:sz w:val="20"/>
          <w:szCs w:val="20"/>
        </w:rPr>
        <w:t>randMember nke:GreaterChinaSegmentMember 2018-09-01 2018-11-30 0000320187 us-gaap:OperatingSegmentsMember nke:SportingEquipmentMember nke:NIKEBrandMember nke:NorthAmericaSegmentMember 2018-09-01 2018-11-30 0000320187 us-gaap:CorporateNonSegmentMember nke:S</w:t>
      </w:r>
      <w:r>
        <w:rPr>
          <w:rFonts w:ascii="Times New Roman" w:eastAsia="宋体" w:hAnsi="Times New Roman"/>
          <w:vanish/>
          <w:sz w:val="20"/>
          <w:szCs w:val="20"/>
        </w:rPr>
        <w:t>alesChannelOtherMember 2018-09-01 2018-11-30 0000320187 us-gaap:OperatingSegmentsMember nke:SalesChannelOtherMember nke:NIKEBrandMember 2018-09-01 2018-11-30 0000320187 us-gaap:OperatingSegmentsMember nke:SalesChannelOtherMember nke:ConverseSegmentMember 2</w:t>
      </w:r>
      <w:r>
        <w:rPr>
          <w:rFonts w:ascii="Times New Roman" w:eastAsia="宋体" w:hAnsi="Times New Roman"/>
          <w:vanish/>
          <w:sz w:val="20"/>
          <w:szCs w:val="20"/>
        </w:rPr>
        <w:t>018-09-01 2018-11-30 0000320187 us-gaap:MaterialReconcilingItemsMember nke:SportingEquipmentMember 2018-09-01 2018-11-30 0000320187 us-gaap:OperatingSegmentsMember nke:SalesChannelOtherMember nke:NIKEBrandMember nke:EuropeMiddleEastAndAfricaSegmentMember 2</w:t>
      </w:r>
      <w:r>
        <w:rPr>
          <w:rFonts w:ascii="Times New Roman" w:eastAsia="宋体" w:hAnsi="Times New Roman"/>
          <w:vanish/>
          <w:sz w:val="20"/>
          <w:szCs w:val="20"/>
        </w:rPr>
        <w:t xml:space="preserve">018-09-01 2018-11-30 0000320187 us-gaap:MaterialReconcilingItemsMember 2018-09-01 2018-11-30 0000320187 us-gaap:OperatingSegmentsMember nke:OtherProductLinesMember nke:NIKEBrandMember 2018-09-01 2018-11-30 0000320187 us-gaap:MaterialReconcilingItemsMember </w:t>
      </w:r>
      <w:r>
        <w:rPr>
          <w:rFonts w:ascii="Times New Roman" w:eastAsia="宋体" w:hAnsi="Times New Roman"/>
          <w:vanish/>
          <w:sz w:val="20"/>
          <w:szCs w:val="20"/>
        </w:rPr>
        <w:t>nke:SalesChannelWholesaleMember 2018-09-01 2018-11-30 0000320187 us-gaap:OperatingSegmentsMember nke:OtherProductLinesMember nke:NIKEBrandMember nke:GreaterChinaSegmentMember 2018-09-01 2018-11-30 0000320187 us-gaap:OperatingSegmentsMember us-gaap:SalesCha</w:t>
      </w:r>
      <w:r>
        <w:rPr>
          <w:rFonts w:ascii="Times New Roman" w:eastAsia="宋体" w:hAnsi="Times New Roman"/>
          <w:vanish/>
          <w:sz w:val="20"/>
          <w:szCs w:val="20"/>
        </w:rPr>
        <w:t>nnelDirectlyToConsumerMember nke:NIKEBrandMember nke:EuropeMiddleEastAndAfricaSegmentMember 2018-09-01 2018-11-30 0000320187 us-gaap:OperatingSegmentsMember nke:SportingEquipmentMember nke:NIKEBrandMember nke:EuropeMiddleEastAndAfricaSegmentMember 2018-09-</w:t>
      </w:r>
      <w:r>
        <w:rPr>
          <w:rFonts w:ascii="Times New Roman" w:eastAsia="宋体" w:hAnsi="Times New Roman"/>
          <w:vanish/>
          <w:sz w:val="20"/>
          <w:szCs w:val="20"/>
        </w:rPr>
        <w:t>01 2018-11-30 0000320187 us-gaap:CorporateNonSegmentMember 2018-09-01 2018-11-30 0000320187 us-gaap:OperatingSegmentsMember us-gaap:SalesChannelDirectlyToConsumerMember nke:NIKEBrandMember nke:GreaterChinaSegmentMember 2018-09-01 2018-11-30 0000320187 us-g</w:t>
      </w:r>
      <w:r>
        <w:rPr>
          <w:rFonts w:ascii="Times New Roman" w:eastAsia="宋体" w:hAnsi="Times New Roman"/>
          <w:vanish/>
          <w:sz w:val="20"/>
          <w:szCs w:val="20"/>
        </w:rPr>
        <w:t>aap:OperatingSegmentsMember us-gaap:SalesChannelDirectlyToConsumerMember nke:ConverseSegmentMember 2018-09-01 2018-11-30 0000320187 us-gaap:MaterialReconcilingItemsMember nke:SalesChannelOtherMember 2018-09-01 2018-11-30 0000320187 us-gaap:OperatingSegment</w:t>
      </w:r>
      <w:r>
        <w:rPr>
          <w:rFonts w:ascii="Times New Roman" w:eastAsia="宋体" w:hAnsi="Times New Roman"/>
          <w:vanish/>
          <w:sz w:val="20"/>
          <w:szCs w:val="20"/>
        </w:rPr>
        <w:t>sMember nke:FootwearMember nke:NIKEBrandMember nke:NorthAmericaSegmentMember 2018-09-01 2018-11-30 0000320187 us-gaap:SalesChannelDirectlyToConsumerMember 2018-09-01 2018-11-30 0000320187 us-gaap:OperatingSegmentsMember nke:ApparelMember nke:ConverseSegmen</w:t>
      </w:r>
      <w:r>
        <w:rPr>
          <w:rFonts w:ascii="Times New Roman" w:eastAsia="宋体" w:hAnsi="Times New Roman"/>
          <w:vanish/>
          <w:sz w:val="20"/>
          <w:szCs w:val="20"/>
        </w:rPr>
        <w:t>tMember 2018-09-01 2018-11-30 0000320187 us-gaap:CorporateNonSegmentMember us-gaap:SalesChannelDirectlyToConsumerMember 2018-09-01 2018-11-30 0000320187 us-gaap:OperatingSegmentsMember nke:NIKEBrandMember nke:AsiaPacificAndLatinAmericaSegmentMember 2018-09</w:t>
      </w:r>
      <w:r>
        <w:rPr>
          <w:rFonts w:ascii="Times New Roman" w:eastAsia="宋体" w:hAnsi="Times New Roman"/>
          <w:vanish/>
          <w:sz w:val="20"/>
          <w:szCs w:val="20"/>
        </w:rPr>
        <w:t>-01 2018-11-30 0000320187 us-gaap:OperatingSegmentsMember nke:NIKEBrandMember nke:GreaterChinaSegmentMember 2018-09-01 2018-11-30 0000320187 us-gaap:OperatingSegmentsMember nke:SalesChannelWholesaleMember nke:ConverseSegmentMember 2018-09-01 2018-11-30 000</w:t>
      </w:r>
      <w:r>
        <w:rPr>
          <w:rFonts w:ascii="Times New Roman" w:eastAsia="宋体" w:hAnsi="Times New Roman"/>
          <w:vanish/>
          <w:sz w:val="20"/>
          <w:szCs w:val="20"/>
        </w:rPr>
        <w:t>0320187 us-gaap:MaterialReconcilingItemsMember nke:FootwearMember 2018-09-01 2018-11-30 0000320187 us-gaap:OperatingSegmentsMember nke:SalesChannelWholesaleMember nke:NIKEBrandMember nke:AsiaPacificAndLatinAmericaSegmentMember 2018-09-01 2018-11-30 0000320</w:t>
      </w:r>
      <w:r>
        <w:rPr>
          <w:rFonts w:ascii="Times New Roman" w:eastAsia="宋体" w:hAnsi="Times New Roman"/>
          <w:vanish/>
          <w:sz w:val="20"/>
          <w:szCs w:val="20"/>
        </w:rPr>
        <w:t>187 us-gaap:OperatingSegmentsMember us-gaap:SalesChannelDirectlyToConsumerMember nke:NIKEBrandMember 2018-09-01 2018-11-30 0000320187 us-gaap:OperatingSegmentsMember nke:OtherProductLinesMember nke:NIKEBrandMember nke:NorthAmericaSegmentMember 2018-09-01 2</w:t>
      </w:r>
      <w:r>
        <w:rPr>
          <w:rFonts w:ascii="Times New Roman" w:eastAsia="宋体" w:hAnsi="Times New Roman"/>
          <w:vanish/>
          <w:sz w:val="20"/>
          <w:szCs w:val="20"/>
        </w:rPr>
        <w:t>018-11-30 0000320187 us-gaap:OperatingSegmentsMember nke:SalesChannelWholesaleMember nke:NIKEBrandMember nke:GreaterChinaSegmentMember 2018-09-01 2018-11-30 0000320187 us-gaap:OperatingSegmentsMember nke:ApparelMember nke:NIKEBrandMember nke:AsiaPacificAnd</w:t>
      </w:r>
      <w:r>
        <w:rPr>
          <w:rFonts w:ascii="Times New Roman" w:eastAsia="宋体" w:hAnsi="Times New Roman"/>
          <w:vanish/>
          <w:sz w:val="20"/>
          <w:szCs w:val="20"/>
        </w:rPr>
        <w:t>LatinAmericaSegmentMember 2018-09-01 2018-11-30 0000320187 us-gaap:OperatingSegmentsMember nke:SalesChannelOtherMember nke:NIKEBrandMember nke:NorthAmericaSegmentMember 2018-09-01 2018-11-30 0000320187 us-gaap:OperatingSegmentsMember us-gaap:SalesChannelDi</w:t>
      </w:r>
      <w:r>
        <w:rPr>
          <w:rFonts w:ascii="Times New Roman" w:eastAsia="宋体" w:hAnsi="Times New Roman"/>
          <w:vanish/>
          <w:sz w:val="20"/>
          <w:szCs w:val="20"/>
        </w:rPr>
        <w:t>rectlyToConsumerMember nke:NIKEBrandMember nke:AsiaPacificAndLatinAmericaSegmentMember 2018-09-01 2018-11-30 0000320187 us-gaap:OperatingSegmentsMember nke:NIKEBrandMember nke:EuropeMiddleEastAndAfricaSegmentMember 2018-09-01 2018-11-30 0000320187 us-gaap:</w:t>
      </w:r>
      <w:r>
        <w:rPr>
          <w:rFonts w:ascii="Times New Roman" w:eastAsia="宋体" w:hAnsi="Times New Roman"/>
          <w:vanish/>
          <w:sz w:val="20"/>
          <w:szCs w:val="20"/>
        </w:rPr>
        <w:t>MaterialReconcilingItemsMember nke:ApparelMember 2018-09-01 2018-11-30 0000320187 us-gaap:CorporateNonSegmentMember nke:SalesChannelWholesaleMember 2018-09-01 2018-11-30 0000320187 us-gaap:OperatingSegmentsMember nke:FootwearMember nke:ConverseSegmentMembe</w:t>
      </w:r>
      <w:r>
        <w:rPr>
          <w:rFonts w:ascii="Times New Roman" w:eastAsia="宋体" w:hAnsi="Times New Roman"/>
          <w:vanish/>
          <w:sz w:val="20"/>
          <w:szCs w:val="20"/>
        </w:rPr>
        <w:t>r 2018-09-01 2018-11-30 0000320187 us-gaap:CorporateNonSegmentMember nke:SportingEquipmentMember 2018-09-01 2018-11-30 0000320187 us-gaap:OperatingSegmentsMember nke:ConverseSegmentMember 2018-09-01 2018-11-30 0000320187 us-gaap:OperatingSegmentsMember nke</w:t>
      </w:r>
      <w:r>
        <w:rPr>
          <w:rFonts w:ascii="Times New Roman" w:eastAsia="宋体" w:hAnsi="Times New Roman"/>
          <w:vanish/>
          <w:sz w:val="20"/>
          <w:szCs w:val="20"/>
        </w:rPr>
        <w:t>:SportingEquipmentMember nke:NIKEBrandMember nke:AsiaPacificAndLatinAmericaSegmentMember 2018-09-01 2018-11-30 0000320187 us-gaap:OperatingSegmentsMember nke:ApparelMember nke:NIKEBrandMember nke:GreaterChinaSegmentMember 2018-09-01 2018-11-30 0000320187 u</w:t>
      </w:r>
      <w:r>
        <w:rPr>
          <w:rFonts w:ascii="Times New Roman" w:eastAsia="宋体" w:hAnsi="Times New Roman"/>
          <w:vanish/>
          <w:sz w:val="20"/>
          <w:szCs w:val="20"/>
        </w:rPr>
        <w:t>s-gaap:OperatingSegmentsMember nke:SportingEquipmentMember nke:ConverseSegmentMember 2018-09-01 2018-11-30 0000320187 us-gaap:OperatingSegmentsMember nke:FootwearMember nke:NIKEBrandMember nke:AsiaPacificAndLatinAmericaSegmentMember 2018-09-01 2018-11-30 0</w:t>
      </w:r>
      <w:r>
        <w:rPr>
          <w:rFonts w:ascii="Times New Roman" w:eastAsia="宋体" w:hAnsi="Times New Roman"/>
          <w:vanish/>
          <w:sz w:val="20"/>
          <w:szCs w:val="20"/>
        </w:rPr>
        <w:t>000320187 us-gaap:OperatingSegmentsMember nke:SalesChannelWholesaleMember nke:NIKEBrandMember nke:EuropeMiddleEastAndAfricaSegmentMember 2018-09-01 2018-11-30 0000320187 us-gaap:OperatingSegmentsMember nke:SportingEquipmentMember nke:NIKEBrandMember 2018-0</w:t>
      </w:r>
      <w:r>
        <w:rPr>
          <w:rFonts w:ascii="Times New Roman" w:eastAsia="宋体" w:hAnsi="Times New Roman"/>
          <w:vanish/>
          <w:sz w:val="20"/>
          <w:szCs w:val="20"/>
        </w:rPr>
        <w:t>9-01 2018-11-30 0000320187 us-gaap:MaterialReconcilingItemsMember us-gaap:SalesChannelDirectlyToConsumerMember 2018-09-01 2018-11-30 0000320187 nke:OtherProductLinesMember 2018-09-01 2018-11-30 0000320187 us-gaap:CorporateNonSegmentMember nke:FootwearMembe</w:t>
      </w:r>
      <w:r>
        <w:rPr>
          <w:rFonts w:ascii="Times New Roman" w:eastAsia="宋体" w:hAnsi="Times New Roman"/>
          <w:vanish/>
          <w:sz w:val="20"/>
          <w:szCs w:val="20"/>
        </w:rPr>
        <w:t>r 2018-09-01 2018-11-30 0000320187 us-gaap:OperatingSegmentsMember nke:SalesChannelOtherMember nke:NIKEBrandMember nke:AsiaPacificAndLatinAmericaSegmentMember 2018-09-01 2018-11-30 0000320187 us-gaap:OperatingSegmentsMember nke:SportingEquipmentMember nke:</w:t>
      </w:r>
      <w:r>
        <w:rPr>
          <w:rFonts w:ascii="Times New Roman" w:eastAsia="宋体" w:hAnsi="Times New Roman"/>
          <w:vanish/>
          <w:sz w:val="20"/>
          <w:szCs w:val="20"/>
        </w:rPr>
        <w:t>NIKEBrandMember nke:GreaterChinaSegmentMember 2018-09-01 2018-11-30 0000320187 nke:ApparelMember 2018-09-01 2018-11-30 0000320187 nke:FootwearMember 2018-09-01 2018-11-30 0000320187 us-gaap:OperatingSegmentsMember us-gaap:SalesChannelDirectlyToConsumerMemb</w:t>
      </w:r>
      <w:r>
        <w:rPr>
          <w:rFonts w:ascii="Times New Roman" w:eastAsia="宋体" w:hAnsi="Times New Roman"/>
          <w:vanish/>
          <w:sz w:val="20"/>
          <w:szCs w:val="20"/>
        </w:rPr>
        <w:t>er nke:NIKEBrandMember nke:NorthAmericaSegmentMember 2018-09-01 2018-11-30 0000320187 us-gaap:OperatingSegmentsMember nke:OtherProductLinesMember nke:ConverseSegmentMember 2018-09-01 2018-11-30 0000320187 us-gaap:OperatingSegmentsMember nke:NIKEBrandMember</w:t>
      </w:r>
      <w:r>
        <w:rPr>
          <w:rFonts w:ascii="Times New Roman" w:eastAsia="宋体" w:hAnsi="Times New Roman"/>
          <w:vanish/>
          <w:sz w:val="20"/>
          <w:szCs w:val="20"/>
        </w:rPr>
        <w:t xml:space="preserve"> 2018-09-01 2018-11-30 0000320187 nke:SalesChannelWholesaleMember 2018-09-01 2018-11-30 0000320187 us-gaap:OperatingSegmentsMember nke:ApparelMember nke:NIKEBrandMember nke:NorthAmericaSegmentMember 2018-09-01 2018-11-30 0000320187 us-gaap:CorporateNonSegm</w:t>
      </w:r>
      <w:r>
        <w:rPr>
          <w:rFonts w:ascii="Times New Roman" w:eastAsia="宋体" w:hAnsi="Times New Roman"/>
          <w:vanish/>
          <w:sz w:val="20"/>
          <w:szCs w:val="20"/>
        </w:rPr>
        <w:t>entMember nke:OtherProductLinesMember 2018-09-01 2018-11-30 0000320187 nke:SalesChannelOtherMember 2018-09-01 2018-11-30 0000320187 us-gaap:OperatingSegmentsMember nke:FootwearMember nke:NIKEBrandMember nke:EuropeMiddleEastAndAfricaSegmentMember 2018-09-01</w:t>
      </w:r>
      <w:r>
        <w:rPr>
          <w:rFonts w:ascii="Times New Roman" w:eastAsia="宋体" w:hAnsi="Times New Roman"/>
          <w:vanish/>
          <w:sz w:val="20"/>
          <w:szCs w:val="20"/>
        </w:rPr>
        <w:t xml:space="preserve"> 2018-11-30 0000320187 us-gaap:OperatingSegmentsMember nke:SalesChannelWholesaleMember nke:NIKEBrandMember 2018-09-01 2018-11-30 0000320187 us-gaap:OperatingSegmentsMember nke:OtherProductLinesMember nke:NIKEBrandMember nke:AsiaPacificAndLatinAmericaSegmen</w:t>
      </w:r>
      <w:r>
        <w:rPr>
          <w:rFonts w:ascii="Times New Roman" w:eastAsia="宋体" w:hAnsi="Times New Roman"/>
          <w:vanish/>
          <w:sz w:val="20"/>
          <w:szCs w:val="20"/>
        </w:rPr>
        <w:t>tMember 2018-09-01 2018-11-30 0000320187 us-gaap:CorporateNonSegmentMember nke:ApparelMember 2018-09-01 2018-11-30 0000320187 us-gaap:OperatingSegmentsMember nke:SalesChannelWholesaleMember nke:NIKEBrandMember nke:NorthAmericaSegmentMember 2018-09-01 2018-</w:t>
      </w:r>
      <w:r>
        <w:rPr>
          <w:rFonts w:ascii="Times New Roman" w:eastAsia="宋体" w:hAnsi="Times New Roman"/>
          <w:vanish/>
          <w:sz w:val="20"/>
          <w:szCs w:val="20"/>
        </w:rPr>
        <w:t>11-30 0000320187 nke:SportingEquipmentMember 2018-09-01 2018-11-30 0000320187 us-gaap:OperatingSegmentsMember nke:SalesChannelOtherMember nke:NIKEBrandMember nke:GreaterChinaSegmentMember 2018-09-01 2018-11-30 0000320187 us-gaap:CorporateNonSegmentMember n</w:t>
      </w:r>
      <w:r>
        <w:rPr>
          <w:rFonts w:ascii="Times New Roman" w:eastAsia="宋体" w:hAnsi="Times New Roman"/>
          <w:vanish/>
          <w:sz w:val="20"/>
          <w:szCs w:val="20"/>
        </w:rPr>
        <w:t>ke:SalesChannelOtherMember 2019-09-01 2019-11-30 0000320187 us-gaap:OperatingSegmentsMember nke:NIKEBrandMember nke:AsiaPacificAndLatinAmericaSegmentMember 2019-09-01 2019-11-30 0000320187 us-gaap:OperatingSegmentsMember nke:SalesChannelWholesaleMember nke</w:t>
      </w:r>
      <w:r>
        <w:rPr>
          <w:rFonts w:ascii="Times New Roman" w:eastAsia="宋体" w:hAnsi="Times New Roman"/>
          <w:vanish/>
          <w:sz w:val="20"/>
          <w:szCs w:val="20"/>
        </w:rPr>
        <w:t>:NIKEBrandMember 2019-09-01 2019-11-30 0000320187 us-gaap:OperatingSegmentsMember us-gaap:SalesChannelDirectlyToConsumerMember nke:NIKEBrandMember 2019-09-01 2019-11-30 0000320187 us-gaap:OperatingSegmentsMember nke:SalesChannelOtherMember nke:NIKEBrandMem</w:t>
      </w:r>
      <w:r>
        <w:rPr>
          <w:rFonts w:ascii="Times New Roman" w:eastAsia="宋体" w:hAnsi="Times New Roman"/>
          <w:vanish/>
          <w:sz w:val="20"/>
          <w:szCs w:val="20"/>
        </w:rPr>
        <w:t>ber nke:EuropeMiddleEastAndAfricaSegmentMember 2019-09-01 2019-11-30 0000320187 us-gaap:OperatingSegmentsMember nke:SalesChannelOtherMember nke:NIKEBrandMember nke:AsiaPacificAndLatinAmericaSegmentMember 2019-09-01 2019-11-30 0000320187 us-gaap:CorporateNo</w:t>
      </w:r>
      <w:r>
        <w:rPr>
          <w:rFonts w:ascii="Times New Roman" w:eastAsia="宋体" w:hAnsi="Times New Roman"/>
          <w:vanish/>
          <w:sz w:val="20"/>
          <w:szCs w:val="20"/>
        </w:rPr>
        <w:t>nSegmentMember us-gaap:SalesChannelDirectlyToConsumerMember 2019-09-01 2019-11-30 0000320187 us-gaap:MaterialReconcilingItemsMember us-gaap:SalesChannelDirectlyToConsumerMember 2019-09-01 2019-11-30 0000320187 us-gaap:OperatingSegmentsMember nke:NIKEBrandM</w:t>
      </w:r>
      <w:r>
        <w:rPr>
          <w:rFonts w:ascii="Times New Roman" w:eastAsia="宋体" w:hAnsi="Times New Roman"/>
          <w:vanish/>
          <w:sz w:val="20"/>
          <w:szCs w:val="20"/>
        </w:rPr>
        <w:t>ember nke:EuropeMiddleEastAndAfricaSegmentMember 2019-09-01 2019-11-30 0000320187 us-gaap:OperatingSegmentsMember nke:OtherProductLinesMember nke:ConverseSegmentMember 2019-09-01 2019-11-30 0000320187 us-gaap:OperatingSegmentsMember nke:ConverseSegmentMemb</w:t>
      </w:r>
      <w:r>
        <w:rPr>
          <w:rFonts w:ascii="Times New Roman" w:eastAsia="宋体" w:hAnsi="Times New Roman"/>
          <w:vanish/>
          <w:sz w:val="20"/>
          <w:szCs w:val="20"/>
        </w:rPr>
        <w:t>er 2019-09-01 2019-11-30 0000320187 us-gaap:OperatingSegmentsMember nke:SalesChannelOtherMember nke:ConverseSegmentMember 2019-09-01 2019-11-30 0000320187 us-gaap:OperatingSegmentsMember nke:ApparelMember nke:ConverseSegmentMember 2019-09-01 2019-11-30 000</w:t>
      </w:r>
      <w:r>
        <w:rPr>
          <w:rFonts w:ascii="Times New Roman" w:eastAsia="宋体" w:hAnsi="Times New Roman"/>
          <w:vanish/>
          <w:sz w:val="20"/>
          <w:szCs w:val="20"/>
        </w:rPr>
        <w:t>0320187 us-gaap:MaterialReconcilingItemsMember nke:SportingEquipmentMember 2019-09-01 2019-11-30 0000320187 nke:SalesChannelWholesaleMember 2019-09-01 2019-11-30 0000320187 us-gaap:MaterialReconcilingItemsMember nke:FootwearMember 2019-09-01 2019-11-30 000</w:t>
      </w:r>
      <w:r>
        <w:rPr>
          <w:rFonts w:ascii="Times New Roman" w:eastAsia="宋体" w:hAnsi="Times New Roman"/>
          <w:vanish/>
          <w:sz w:val="20"/>
          <w:szCs w:val="20"/>
        </w:rPr>
        <w:t>0320187 us-gaap:MaterialReconcilingItemsMember 2019-09-01 2019-11-30 0000320187 us-gaap:MaterialReconcilingItemsMember nke:OtherProductLinesMember 2019-09-01 2019-11-30 0000320187 us-gaap:CorporateNonSegmentMember nke:ApparelMember 2019-09-01 2019-11-30 00</w:t>
      </w:r>
      <w:r>
        <w:rPr>
          <w:rFonts w:ascii="Times New Roman" w:eastAsia="宋体" w:hAnsi="Times New Roman"/>
          <w:vanish/>
          <w:sz w:val="20"/>
          <w:szCs w:val="20"/>
        </w:rPr>
        <w:t>00320187 us-gaap:OperatingSegmentsMember us-gaap:SalesChannelDirectlyToConsumerMember nke:NIKEBrandMember nke:AsiaPacificAndLatinAmericaSegmentMember 2019-09-01 2019-11-30 0000320187 us-gaap:CorporateNonSegmentMember nke:FootwearMember 2019-09-01 2019-11-3</w:t>
      </w:r>
      <w:r>
        <w:rPr>
          <w:rFonts w:ascii="Times New Roman" w:eastAsia="宋体" w:hAnsi="Times New Roman"/>
          <w:vanish/>
          <w:sz w:val="20"/>
          <w:szCs w:val="20"/>
        </w:rPr>
        <w:t>0 0000320187 us-gaap:OperatingSegmentsMember us-gaap:SalesChannelDirectlyToConsumerMember nke:NIKEBrandMember nke:NorthAmericaSegmentMember 2019-09-01 2019-11-30 0000320187 us-gaap:OperatingSegmentsMember nke:NIKEBrandMember 2019-09-01 2019-11-30 000032018</w:t>
      </w:r>
      <w:r>
        <w:rPr>
          <w:rFonts w:ascii="Times New Roman" w:eastAsia="宋体" w:hAnsi="Times New Roman"/>
          <w:vanish/>
          <w:sz w:val="20"/>
          <w:szCs w:val="20"/>
        </w:rPr>
        <w:t>7 us-gaap:CorporateNonSegmentMember 2019-09-01 2019-11-30 0000320187 us-gaap:OperatingSegmentsMember nke:OtherProductLinesMember nke:NIKEBrandMember nke:NorthAmericaSegmentMember 2019-09-01 2019-11-30 0000320187 us-gaap:OperatingSegmentsMember nke:Footwear</w:t>
      </w:r>
      <w:r>
        <w:rPr>
          <w:rFonts w:ascii="Times New Roman" w:eastAsia="宋体" w:hAnsi="Times New Roman"/>
          <w:vanish/>
          <w:sz w:val="20"/>
          <w:szCs w:val="20"/>
        </w:rPr>
        <w:t>Member nke:NIKEBrandMember 2019-09-01 2019-11-30 0000320187 us-gaap:OperatingSegmentsMember us-gaap:SalesChannelDirectlyToConsumerMember nke:ConverseSegmentMember 2019-09-01 2019-11-30 0000320187 us-gaap:OperatingSegmentsMember us-gaap:SalesChannelDirectly</w:t>
      </w:r>
      <w:r>
        <w:rPr>
          <w:rFonts w:ascii="Times New Roman" w:eastAsia="宋体" w:hAnsi="Times New Roman"/>
          <w:vanish/>
          <w:sz w:val="20"/>
          <w:szCs w:val="20"/>
        </w:rPr>
        <w:t>ToConsumerMember nke:NIKEBrandMember nke:EuropeMiddleEastAndAfricaSegmentMember 2019-09-01 2019-11-30 0000320187 nke:OtherProductLinesMember 2019-09-01 2019-11-30 0000320187 nke:FootwearMember 2019-09-01 2019-11-30 0000320187 us-gaap:OperatingSegmentsMembe</w:t>
      </w:r>
      <w:r>
        <w:rPr>
          <w:rFonts w:ascii="Times New Roman" w:eastAsia="宋体" w:hAnsi="Times New Roman"/>
          <w:vanish/>
          <w:sz w:val="20"/>
          <w:szCs w:val="20"/>
        </w:rPr>
        <w:t>r nke:OtherProductLinesMember nke:NIKEBrandMember nke:EuropeMiddleEastAndAfricaSegmentMember 2019-09-01 2019-11-30 0000320187 us-gaap:OperatingSegmentsMember nke:SportingEquipmentMember nke:NIKEBrandMember nke:EuropeMiddleEastAndAfricaSegmentMember 2019-09</w:t>
      </w:r>
      <w:r>
        <w:rPr>
          <w:rFonts w:ascii="Times New Roman" w:eastAsia="宋体" w:hAnsi="Times New Roman"/>
          <w:vanish/>
          <w:sz w:val="20"/>
          <w:szCs w:val="20"/>
        </w:rPr>
        <w:t>-01 2019-11-30 0000320187 us-gaap:OperatingSegmentsMember nke:SalesChannelWholesaleMember nke:NIKEBrandMember nke:EuropeMiddleEastAndAfricaSegmentMember 2019-09-01 2019-11-30 0000320187 us-gaap:MaterialReconcilingItemsMember nke:ApparelMember 2019-09-01 20</w:t>
      </w:r>
      <w:r>
        <w:rPr>
          <w:rFonts w:ascii="Times New Roman" w:eastAsia="宋体" w:hAnsi="Times New Roman"/>
          <w:vanish/>
          <w:sz w:val="20"/>
          <w:szCs w:val="20"/>
        </w:rPr>
        <w:t xml:space="preserve">19-11-30 0000320187 us-gaap:OperatingSegmentsMember nke:FootwearMember nke:NIKEBrandMember nke:GreaterChinaSegmentMember 2019-09-01 2019-11-30 0000320187 us-gaap:OperatingSegmentsMember nke:SalesChannelOtherMember nke:NIKEBrandMember 2019-09-01 2019-11-30 </w:t>
      </w:r>
      <w:r>
        <w:rPr>
          <w:rFonts w:ascii="Times New Roman" w:eastAsia="宋体" w:hAnsi="Times New Roman"/>
          <w:vanish/>
          <w:sz w:val="20"/>
          <w:szCs w:val="20"/>
        </w:rPr>
        <w:t>0000320187 us-gaap:OperatingSegmentsMember nke:ApparelMember nke:NIKEBrandMember nke:EuropeMiddleEastAndAfricaSegmentMember 2019-09-01 2019-11-30 0000320187 us-gaap:OperatingSegmentsMember nke:ApparelMember nke:NIKEBrandMember nke:GreaterChinaSegmentMember</w:t>
      </w:r>
      <w:r>
        <w:rPr>
          <w:rFonts w:ascii="Times New Roman" w:eastAsia="宋体" w:hAnsi="Times New Roman"/>
          <w:vanish/>
          <w:sz w:val="20"/>
          <w:szCs w:val="20"/>
        </w:rPr>
        <w:t xml:space="preserve"> 2019-09-01 2019-11-30 0000320187 us-gaap:OperatingSegmentsMember nke:SportingEquipmentMember nke:NIKEBrandMember nke:GreaterChinaSegmentMember 2019-09-01 2019-11-30 0000320187 us-gaap:CorporateNonSegmentMember nke:OtherProductLinesMember 2019-09-01 2019-1</w:t>
      </w:r>
      <w:r>
        <w:rPr>
          <w:rFonts w:ascii="Times New Roman" w:eastAsia="宋体" w:hAnsi="Times New Roman"/>
          <w:vanish/>
          <w:sz w:val="20"/>
          <w:szCs w:val="20"/>
        </w:rPr>
        <w:t>1-30 0000320187 nke:ApparelMember 2019-09-01 2019-11-30 0000320187 us-gaap:OperatingSegmentsMember nke:FootwearMember nke:NIKEBrandMember nke:NorthAmericaSegmentMember 2019-09-01 2019-11-30 0000320187 us-gaap:OperatingSegmentsMember nke:SportingEquipmentMe</w:t>
      </w:r>
      <w:r>
        <w:rPr>
          <w:rFonts w:ascii="Times New Roman" w:eastAsia="宋体" w:hAnsi="Times New Roman"/>
          <w:vanish/>
          <w:sz w:val="20"/>
          <w:szCs w:val="20"/>
        </w:rPr>
        <w:t>mber nke:NIKEBrandMember 2019-09-01 2019-11-30 0000320187 us-gaap:CorporateNonSegmentMember nke:SalesChannelWholesaleMember 2019-09-01 2019-11-30 0000320187 us-gaap:OperatingSegmentsMember nke:SalesChannelWholesaleMember nke:NIKEBrandMember nke:NorthAmeric</w:t>
      </w:r>
      <w:r>
        <w:rPr>
          <w:rFonts w:ascii="Times New Roman" w:eastAsia="宋体" w:hAnsi="Times New Roman"/>
          <w:vanish/>
          <w:sz w:val="20"/>
          <w:szCs w:val="20"/>
        </w:rPr>
        <w:t>aSegmentMember 2019-09-01 2019-11-30 0000320187 us-gaap:OperatingSegmentsMember nke:SalesChannelWholesaleMember nke:NIKEBrandMember nke:GreaterChinaSegmentMember 2019-09-01 2019-11-30 0000320187 us-gaap:MaterialReconcilingItemsMember nke:SalesChannelOtherM</w:t>
      </w:r>
      <w:r>
        <w:rPr>
          <w:rFonts w:ascii="Times New Roman" w:eastAsia="宋体" w:hAnsi="Times New Roman"/>
          <w:vanish/>
          <w:sz w:val="20"/>
          <w:szCs w:val="20"/>
        </w:rPr>
        <w:t>ember 2019-09-01 2019-11-30 0000320187 us-gaap:MaterialReconcilingItemsMember nke:SalesChannelWholesaleMember 2019-09-01 2019-11-30 0000320187 us-gaap:OperatingSegmentsMember nke:SalesChannelWholesaleMember nke:ConverseSegmentMember 2019-09-01 2019-11-30 0</w:t>
      </w:r>
      <w:r>
        <w:rPr>
          <w:rFonts w:ascii="Times New Roman" w:eastAsia="宋体" w:hAnsi="Times New Roman"/>
          <w:vanish/>
          <w:sz w:val="20"/>
          <w:szCs w:val="20"/>
        </w:rPr>
        <w:t>000320187 us-gaap:CorporateNonSegmentMember nke:SportingEquipmentMember 2019-09-01 2019-11-30 0000320187 us-gaap:OperatingSegmentsMember nke:OtherProductLinesMember nke:NIKEBrandMember nke:AsiaPacificAndLatinAmericaSegmentMember 2019-09-01 2019-11-30 00003</w:t>
      </w:r>
      <w:r>
        <w:rPr>
          <w:rFonts w:ascii="Times New Roman" w:eastAsia="宋体" w:hAnsi="Times New Roman"/>
          <w:vanish/>
          <w:sz w:val="20"/>
          <w:szCs w:val="20"/>
        </w:rPr>
        <w:t>20187 us-gaap:OperatingSegmentsMember nke:FootwearMember nke:NIKEBrandMember nke:EuropeMiddleEastAndAfricaSegmentMember 2019-09-01 2019-11-30 0000320187 us-gaap:OperatingSegmentsMember nke:NIKEBrandMember nke:NorthAmericaSegmentMember 2019-09-01 2019-11-30</w:t>
      </w:r>
      <w:r>
        <w:rPr>
          <w:rFonts w:ascii="Times New Roman" w:eastAsia="宋体" w:hAnsi="Times New Roman"/>
          <w:vanish/>
          <w:sz w:val="20"/>
          <w:szCs w:val="20"/>
        </w:rPr>
        <w:t xml:space="preserve"> 0000320187 us-gaap:OperatingSegmentsMember nke:ApparelMember nke:NIKEBrandMember 2019-09-01 2019-11-30 0000320187 us-gaap:OperatingSegmentsMember nke:NIKEBrandMember nke:GreaterChinaSegmentMember 2019-09-01 2019-11-30 0000320187 us-gaap:OperatingSegmentsM</w:t>
      </w:r>
      <w:r>
        <w:rPr>
          <w:rFonts w:ascii="Times New Roman" w:eastAsia="宋体" w:hAnsi="Times New Roman"/>
          <w:vanish/>
          <w:sz w:val="20"/>
          <w:szCs w:val="20"/>
        </w:rPr>
        <w:t>ember nke:ApparelMember nke:NIKEBrandMember nke:AsiaPacificAndLatinAmericaSegmentMember 2019-09-01 2019-11-30 0000320187 us-gaap:OperatingSegmentsMember nke:OtherProductLinesMember nke:NIKEBrandMember 2019-09-01 2019-11-30 0000320187 us-gaap:OperatingSegme</w:t>
      </w:r>
      <w:r>
        <w:rPr>
          <w:rFonts w:ascii="Times New Roman" w:eastAsia="宋体" w:hAnsi="Times New Roman"/>
          <w:vanish/>
          <w:sz w:val="20"/>
          <w:szCs w:val="20"/>
        </w:rPr>
        <w:t>ntsMember nke:FootwearMember nke:ConverseSegmentMember 2019-09-01 2019-11-30 0000320187 us-gaap:OperatingSegmentsMember nke:FootwearMember nke:NIKEBrandMember nke:AsiaPacificAndLatinAmericaSegmentMember 2019-09-01 2019-11-30 0000320187 us-gaap:OperatingSeg</w:t>
      </w:r>
      <w:r>
        <w:rPr>
          <w:rFonts w:ascii="Times New Roman" w:eastAsia="宋体" w:hAnsi="Times New Roman"/>
          <w:vanish/>
          <w:sz w:val="20"/>
          <w:szCs w:val="20"/>
        </w:rPr>
        <w:t>mentsMember us-gaap:SalesChannelDirectlyToConsumerMember nke:NIKEBrandMember nke:GreaterChinaSegmentMember 2019-09-01 2019-11-30 0000320187 us-gaap:OperatingSegmentsMember nke:OtherProductLinesMember nke:NIKEBrandMember nke:GreaterChinaSegmentMember 2019-0</w:t>
      </w:r>
      <w:r>
        <w:rPr>
          <w:rFonts w:ascii="Times New Roman" w:eastAsia="宋体" w:hAnsi="Times New Roman"/>
          <w:vanish/>
          <w:sz w:val="20"/>
          <w:szCs w:val="20"/>
        </w:rPr>
        <w:t>9-01 2019-11-30 0000320187 us-gaap:OperatingSegmentsMember nke:SalesChannelWholesaleMember nke:NIKEBrandMember nke:AsiaPacificAndLatinAmericaSegmentMember 2019-09-01 2019-11-30 0000320187 nke:SportingEquipmentMember 2019-09-01 2019-11-30 0000320187 us-gaap</w:t>
      </w:r>
      <w:r>
        <w:rPr>
          <w:rFonts w:ascii="Times New Roman" w:eastAsia="宋体" w:hAnsi="Times New Roman"/>
          <w:vanish/>
          <w:sz w:val="20"/>
          <w:szCs w:val="20"/>
        </w:rPr>
        <w:t>:OperatingSegmentsMember nke:SalesChannelOtherMember nke:NIKEBrandMember nke:GreaterChinaSegmentMember 2019-09-01 2019-11-30 0000320187 us-gaap:OperatingSegmentsMember nke:SportingEquipmentMember nke:NIKEBrandMember nke:NorthAmericaSegmentMember 2019-09-01</w:t>
      </w:r>
      <w:r>
        <w:rPr>
          <w:rFonts w:ascii="Times New Roman" w:eastAsia="宋体" w:hAnsi="Times New Roman"/>
          <w:vanish/>
          <w:sz w:val="20"/>
          <w:szCs w:val="20"/>
        </w:rPr>
        <w:t xml:space="preserve"> 2019-11-30 0000320187 nke:SalesChannelOtherMember 2019-09-01 2019-11-30 0000320187 us-gaap:OperatingSegmentsMember nke:ApparelMember nke:NIKEBrandMember nke:NorthAmericaSegmentMember 2019-09-01 2019-11-30 0000320187 us-gaap:OperatingSegmentsMember nke:Sal</w:t>
      </w:r>
      <w:r>
        <w:rPr>
          <w:rFonts w:ascii="Times New Roman" w:eastAsia="宋体" w:hAnsi="Times New Roman"/>
          <w:vanish/>
          <w:sz w:val="20"/>
          <w:szCs w:val="20"/>
        </w:rPr>
        <w:t>esChannelOtherMember nke:NIKEBrandMember nke:NorthAmericaSegmentMember 2019-09-01 2019-11-30 0000320187 us-gaap:OperatingSegmentsMember nke:SportingEquipmentMember nke:NIKEBrandMember nke:AsiaPacificAndLatinAmericaSegmentMember 2019-09-01 2019-11-30 000032</w:t>
      </w:r>
      <w:r>
        <w:rPr>
          <w:rFonts w:ascii="Times New Roman" w:eastAsia="宋体" w:hAnsi="Times New Roman"/>
          <w:vanish/>
          <w:sz w:val="20"/>
          <w:szCs w:val="20"/>
        </w:rPr>
        <w:t>0187 us-gaap:SalesChannelDirectlyToConsumerMember 2019-09-01 2019-11-30 0000320187 us-gaap:OperatingSegmentsMember nke:SportingEquipmentMember nke:ConverseSegmentMember 2019-09-01 2019-11-30 0000320187 us-gaap:OperatingSegmentsMember nke:NIKEBrandMember nk</w:t>
      </w:r>
      <w:r>
        <w:rPr>
          <w:rFonts w:ascii="Times New Roman" w:eastAsia="宋体" w:hAnsi="Times New Roman"/>
          <w:vanish/>
          <w:sz w:val="20"/>
          <w:szCs w:val="20"/>
        </w:rPr>
        <w:t>e:NIKEBrandMember nke:NorthAmericaSegmentMember 2019-05-31 0000320187 us-gaap:OperatingSegmentsMember nke:NIKEBrandMember nke:NIKEBrandMember nke:GreaterChinaSegmentMember 2019-11-30 0000320187 us-gaap:OperatingSegmentsMember nke:ConverseSegmentMember nke:</w:t>
      </w:r>
      <w:r>
        <w:rPr>
          <w:rFonts w:ascii="Times New Roman" w:eastAsia="宋体" w:hAnsi="Times New Roman"/>
          <w:vanish/>
          <w:sz w:val="20"/>
          <w:szCs w:val="20"/>
        </w:rPr>
        <w:t xml:space="preserve">ConverseSegmentMember 2019-05-31 0000320187 us-gaap:CorporateNonSegmentMember 2019-11-30 0000320187 us-gaap:OperatingSegmentsMember nke:NIKEBrandMember nke:NIKEBrandMember nke:NorthAmericaSegmentMember 2019-11-30 0000320187 us-gaap:OperatingSegmentsMember </w:t>
      </w:r>
      <w:r>
        <w:rPr>
          <w:rFonts w:ascii="Times New Roman" w:eastAsia="宋体" w:hAnsi="Times New Roman"/>
          <w:vanish/>
          <w:sz w:val="20"/>
          <w:szCs w:val="20"/>
        </w:rPr>
        <w:t xml:space="preserve">nke:NIKEBrandMember nke:NIKEBrandMember 2019-11-30 0000320187 us-gaap:CorporateNonSegmentMember 2019-05-31 0000320187 us-gaap:OperatingSegmentsMember nke:ConverseSegmentMember nke:ConverseSegmentMember 2019-11-30 0000320187 us-gaap:OperatingSegmentsMember </w:t>
      </w:r>
      <w:r>
        <w:rPr>
          <w:rFonts w:ascii="Times New Roman" w:eastAsia="宋体" w:hAnsi="Times New Roman"/>
          <w:vanish/>
          <w:sz w:val="20"/>
          <w:szCs w:val="20"/>
        </w:rPr>
        <w:t>nke:NIKEBrandMember nke:NIKEBrandMember 2019-05-31 0000320187 us-gaap:MaterialReconcilingItemsMember nke:NIKEBrandMember 2019-11-30 0000320187 us-gaap:OperatingSegmentsMember nke:NIKEBrandMember nke:NIKEBrandMember nke:AsiaPacificAndLatinAmericaSegmentMemb</w:t>
      </w:r>
      <w:r>
        <w:rPr>
          <w:rFonts w:ascii="Times New Roman" w:eastAsia="宋体" w:hAnsi="Times New Roman"/>
          <w:vanish/>
          <w:sz w:val="20"/>
          <w:szCs w:val="20"/>
        </w:rPr>
        <w:t>er 2019-11-30 0000320187 us-gaap:OperatingSegmentsMember nke:NIKEBrandMember nke:NIKEBrandMember nke:GreaterChinaSegmentMember 2019-05-31 0000320187 us-gaap:OperatingSegmentsMember nke:NIKEBrandMember nke:NIKEBrandMember nke:EuropeMiddleEastAndAfricaSegmen</w:t>
      </w:r>
      <w:r>
        <w:rPr>
          <w:rFonts w:ascii="Times New Roman" w:eastAsia="宋体" w:hAnsi="Times New Roman"/>
          <w:vanish/>
          <w:sz w:val="20"/>
          <w:szCs w:val="20"/>
        </w:rPr>
        <w:t>tMember 2019-05-31 0000320187 us-gaap:OperatingSegmentsMember nke:NIKEBrandMember nke:NIKEBrandMember nke:AsiaPacificAndLatinAmericaSegmentMember 2019-05-31 0000320187 us-gaap:OperatingSegmentsMember nke:NIKEBrandMember nke:NIKEBrandMember nke:EuropeMiddle</w:t>
      </w:r>
      <w:r>
        <w:rPr>
          <w:rFonts w:ascii="Times New Roman" w:eastAsia="宋体" w:hAnsi="Times New Roman"/>
          <w:vanish/>
          <w:sz w:val="20"/>
          <w:szCs w:val="20"/>
        </w:rPr>
        <w:t>EastAndAfricaSegmentMember 2019-11-30 0000320187 us-gaap:MaterialReconcilingItemsMember nke:NIKEBrandMember 2019-05-31 0000320187 us-gaap:OperatingSegmentsMember nke:NIKEBrandMember nke:NIKEBrandMember nke:NorthAmericaSegmentMember 2018-09-01 2018-11-30 00</w:t>
      </w:r>
      <w:r>
        <w:rPr>
          <w:rFonts w:ascii="Times New Roman" w:eastAsia="宋体" w:hAnsi="Times New Roman"/>
          <w:vanish/>
          <w:sz w:val="20"/>
          <w:szCs w:val="20"/>
        </w:rPr>
        <w:t>00320187 us-gaap:OperatingSegmentsMember nke:NIKEBrandMember nke:NIKEBrandMember nke:GreaterChinaSegmentMember 2019-06-01 2019-11-30 0000320187 us-gaap:OperatingSegmentsMember nke:NIKEBrandMember nke:NIKEBrandMember nke:GreaterChinaSegmentMember 2019-09-01</w:t>
      </w:r>
      <w:r>
        <w:rPr>
          <w:rFonts w:ascii="Times New Roman" w:eastAsia="宋体" w:hAnsi="Times New Roman"/>
          <w:vanish/>
          <w:sz w:val="20"/>
          <w:szCs w:val="20"/>
        </w:rPr>
        <w:t xml:space="preserve"> 2019-11-30 0000320187 us-gaap:MaterialReconcilingItemsMember nke:NIKEBrandMember 2018-09-01 2018-11-30 0000320187 us-gaap:MaterialReconcilingItemsMember nke:NIKEBrandMember 2019-06-01 2019-11-30 0000320187 us-gaap:OperatingSegmentsMember nke:NIKEBrandMemb</w:t>
      </w:r>
      <w:r>
        <w:rPr>
          <w:rFonts w:ascii="Times New Roman" w:eastAsia="宋体" w:hAnsi="Times New Roman"/>
          <w:vanish/>
          <w:sz w:val="20"/>
          <w:szCs w:val="20"/>
        </w:rPr>
        <w:t>er nke:NIKEBrandMember nke:EuropeMiddleEastAndAfricaSegmentMember 2019-06-01 2019-11-30 0000320187 us-gaap:OperatingSegmentsMember nke:NIKEBrandMember nke:NIKEBrandMember nke:GreaterChinaSegmentMember 2018-06-01 2018-11-30 0000320187 us-gaap:OperatingSegme</w:t>
      </w:r>
      <w:r>
        <w:rPr>
          <w:rFonts w:ascii="Times New Roman" w:eastAsia="宋体" w:hAnsi="Times New Roman"/>
          <w:vanish/>
          <w:sz w:val="20"/>
          <w:szCs w:val="20"/>
        </w:rPr>
        <w:t>ntsMember nke:NIKEBrandMember nke:NIKEBrandMember 2019-06-01 2019-11-30 0000320187 us-gaap:OperatingSegmentsMember nke:NIKEBrandMember nke:NIKEBrandMember nke:NorthAmericaSegmentMember 2019-09-01 2019-11-30 0000320187 us-gaap:MaterialReconcilingItemsMember</w:t>
      </w:r>
      <w:r>
        <w:rPr>
          <w:rFonts w:ascii="Times New Roman" w:eastAsia="宋体" w:hAnsi="Times New Roman"/>
          <w:vanish/>
          <w:sz w:val="20"/>
          <w:szCs w:val="20"/>
        </w:rPr>
        <w:t xml:space="preserve"> nke:NIKEBrandMember 2019-09-01 2019-11-30 0000320187 us-gaap:OperatingSegmentsMember nke:ConverseSegmentMember nke:ConverseSegmentMember 2018-06-01 2018-11-30 0000320187 us-gaap:OperatingSegmentsMember nke:NIKEBrandMember nke:NIKEBrandMember nke:NorthAmer</w:t>
      </w:r>
      <w:r>
        <w:rPr>
          <w:rFonts w:ascii="Times New Roman" w:eastAsia="宋体" w:hAnsi="Times New Roman"/>
          <w:vanish/>
          <w:sz w:val="20"/>
          <w:szCs w:val="20"/>
        </w:rPr>
        <w:t>icaSegmentMember 2018-06-01 2018-11-30 0000320187 us-gaap:OperatingSegmentsMember nke:NIKEBrandMember nke:NIKEBrandMember nke:NorthAmericaSegmentMember 2019-06-01 2019-11-30 0000320187 us-gaap:OperatingSegmentsMember nke:NIKEBrandMember nke:NIKEBrandMember</w:t>
      </w:r>
      <w:r>
        <w:rPr>
          <w:rFonts w:ascii="Times New Roman" w:eastAsia="宋体" w:hAnsi="Times New Roman"/>
          <w:vanish/>
          <w:sz w:val="20"/>
          <w:szCs w:val="20"/>
        </w:rPr>
        <w:t xml:space="preserve"> nke:AsiaPacificAndLatinAmericaSegmentMember 2019-09-01 2019-11-30 0000320187 us-gaap:OperatingSegmentsMember nke:ConverseSegmentMember nke:ConverseSegmentMember 2019-06-01 2019-11-30 0000320187 us-gaap:OperatingSegmentsMember nke:NIKEBrandMember nke:NIKEB</w:t>
      </w:r>
      <w:r>
        <w:rPr>
          <w:rFonts w:ascii="Times New Roman" w:eastAsia="宋体" w:hAnsi="Times New Roman"/>
          <w:vanish/>
          <w:sz w:val="20"/>
          <w:szCs w:val="20"/>
        </w:rPr>
        <w:t>randMember nke:EuropeMiddleEastAndAfricaSegmentMember 2018-06-01 2018-11-30 0000320187 us-gaap:OperatingSegmentsMember nke:NIKEBrandMember nke:NIKEBrandMember nke:EuropeMiddleEastAndAfricaSegmentMember 2018-09-01 2018-11-30 0000320187 us-gaap:OperatingSegm</w:t>
      </w:r>
      <w:r>
        <w:rPr>
          <w:rFonts w:ascii="Times New Roman" w:eastAsia="宋体" w:hAnsi="Times New Roman"/>
          <w:vanish/>
          <w:sz w:val="20"/>
          <w:szCs w:val="20"/>
        </w:rPr>
        <w:t>entsMember nke:NIKEBrandMember nke:NIKEBrandMember nke:AsiaPacificAndLatinAmericaSegmentMember 2018-09-01 2018-11-30 0000320187 us-gaap:OperatingSegmentsMember nke:NIKEBrandMember nke:NIKEBrandMember nke:EuropeMiddleEastAndAfricaSegmentMember 2019-09-01 20</w:t>
      </w:r>
      <w:r>
        <w:rPr>
          <w:rFonts w:ascii="Times New Roman" w:eastAsia="宋体" w:hAnsi="Times New Roman"/>
          <w:vanish/>
          <w:sz w:val="20"/>
          <w:szCs w:val="20"/>
        </w:rPr>
        <w:t>19-11-30 0000320187 us-gaap:OperatingSegmentsMember nke:NIKEBrandMember nke:NIKEBrandMember nke:GreaterChinaSegmentMember 2018-09-01 2018-11-30 0000320187 us-gaap:OperatingSegmentsMember nke:ConverseSegmentMember nke:ConverseSegmentMember 2019-09-01 2019-1</w:t>
      </w:r>
      <w:r>
        <w:rPr>
          <w:rFonts w:ascii="Times New Roman" w:eastAsia="宋体" w:hAnsi="Times New Roman"/>
          <w:vanish/>
          <w:sz w:val="20"/>
          <w:szCs w:val="20"/>
        </w:rPr>
        <w:t>1-30 0000320187 us-gaap:OperatingSegmentsMember nke:NIKEBrandMember nke:NIKEBrandMember nke:AsiaPacificAndLatinAmericaSegmentMember 2019-06-01 2019-11-30 0000320187 us-gaap:MaterialReconcilingItemsMember nke:NIKEBrandMember 2018-06-01 2018-11-30 0000320187</w:t>
      </w:r>
      <w:r>
        <w:rPr>
          <w:rFonts w:ascii="Times New Roman" w:eastAsia="宋体" w:hAnsi="Times New Roman"/>
          <w:vanish/>
          <w:sz w:val="20"/>
          <w:szCs w:val="20"/>
        </w:rPr>
        <w:t xml:space="preserve"> us-gaap:OperatingSegmentsMember nke:ConverseSegmentMember nke:ConverseSegmentMember 2018-09-01 2018-11-30 0000320187 us-gaap:OperatingSegmentsMember nke:NIKEBrandMember nke:NIKEBrandMember nke:AsiaPacificAndLatinAmericaSegmentMember 2018-06-01 2018-11-30 </w:t>
      </w:r>
      <w:r>
        <w:rPr>
          <w:rFonts w:ascii="Times New Roman" w:eastAsia="宋体" w:hAnsi="Times New Roman"/>
          <w:vanish/>
          <w:sz w:val="20"/>
          <w:szCs w:val="20"/>
        </w:rPr>
        <w:t>0000320187 us-gaap:OperatingSegmentsMember nke:NIKEBrandMember nke:NIKEBrandMember 2019-09-01 2019-11-30 0000320187 us-gaap:OperatingSegmentsMember nke:NIKEBrandMember nke:NIKEBrandMember 2018-09-01 2018-11-30 0000320187 us-gaap:OperatingSegmentsMember nke</w:t>
      </w:r>
      <w:r>
        <w:rPr>
          <w:rFonts w:ascii="Times New Roman" w:eastAsia="宋体" w:hAnsi="Times New Roman"/>
          <w:vanish/>
          <w:sz w:val="20"/>
          <w:szCs w:val="20"/>
        </w:rPr>
        <w:t xml:space="preserve">:NIKEBrandMember nke:NIKEBrandMember 2018-06-01 2018-11-30 iso4217:USD xbrli:pure iso4217:USD xbrli:shares xbrli:shares </w:t>
      </w:r>
    </w:p>
    <w:p w14:paraId="606F682D"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UNITED STATES</w:t>
      </w:r>
    </w:p>
    <w:p w14:paraId="606F682E"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SECURITIES AND EXCHANGE COMMISSION</w:t>
      </w:r>
    </w:p>
    <w:p w14:paraId="606F682F"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Washington, D.C. 20549</w:t>
      </w:r>
    </w:p>
    <w:p w14:paraId="606F6830" w14:textId="77777777" w:rsidR="00FB67F9" w:rsidRDefault="00E839DF">
      <w:pPr>
        <w:spacing w:line="312" w:lineRule="auto"/>
        <w:jc w:val="center"/>
        <w:rPr>
          <w:rFonts w:ascii="Times New Roman" w:hAnsi="Times New Roman"/>
          <w:sz w:val="28"/>
          <w:szCs w:val="28"/>
        </w:rPr>
      </w:pPr>
      <w:r>
        <w:rPr>
          <w:rFonts w:ascii="Arial" w:eastAsia="宋体" w:hAnsi="Arial" w:cs="Arial"/>
          <w:b/>
          <w:bCs/>
          <w:color w:val="000000"/>
          <w:sz w:val="28"/>
          <w:szCs w:val="28"/>
        </w:rPr>
        <w:t xml:space="preserve">FORM 10-Q </w:t>
      </w:r>
    </w:p>
    <w:p w14:paraId="606F6831" w14:textId="77777777" w:rsidR="00FB67F9" w:rsidRDefault="00E839DF">
      <w:pPr>
        <w:spacing w:line="312" w:lineRule="auto"/>
        <w:jc w:val="center"/>
        <w:rPr>
          <w:rFonts w:ascii="Times New Roman" w:hAnsi="Times New Roman"/>
          <w:sz w:val="14"/>
          <w:szCs w:val="14"/>
        </w:rPr>
      </w:pPr>
      <w:r>
        <w:rPr>
          <w:rFonts w:ascii="Arial" w:eastAsia="宋体" w:hAnsi="Arial" w:cs="Arial"/>
          <w:color w:val="000000"/>
          <w:sz w:val="14"/>
          <w:szCs w:val="14"/>
        </w:rPr>
        <w:t>(Mark One)</w:t>
      </w:r>
    </w:p>
    <w:p w14:paraId="606F6832" w14:textId="77777777" w:rsidR="00FB67F9" w:rsidRDefault="00E839DF">
      <w:pPr>
        <w:spacing w:line="312" w:lineRule="auto"/>
        <w:jc w:val="center"/>
        <w:rPr>
          <w:rFonts w:ascii="Times New Roman" w:hAnsi="Times New Roman"/>
          <w:sz w:val="16"/>
          <w:szCs w:val="16"/>
        </w:rP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w:t>
      </w:r>
      <w:r>
        <w:rPr>
          <w:rFonts w:ascii="Arial" w:eastAsia="宋体" w:hAnsi="Arial" w:cs="Arial"/>
          <w:b/>
          <w:bCs/>
          <w:color w:val="000000"/>
          <w:sz w:val="16"/>
          <w:szCs w:val="16"/>
        </w:rPr>
        <w:t xml:space="preserve"> OR 15(D) OF THE SECURITIES EXCHANGE ACT OF 1934</w:t>
      </w:r>
    </w:p>
    <w:p w14:paraId="606F6833"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 xml:space="preserve">FOR THE QUARTERLY PERIOD ENDED NOVEMBER 30, 2019 </w:t>
      </w:r>
    </w:p>
    <w:p w14:paraId="606F6834" w14:textId="77777777" w:rsidR="00FB67F9" w:rsidRDefault="00FB67F9">
      <w:pPr>
        <w:spacing w:line="312" w:lineRule="auto"/>
        <w:jc w:val="center"/>
        <w:rPr>
          <w:rFonts w:ascii="Times New Roman" w:hAnsi="Times New Roman"/>
          <w:sz w:val="16"/>
          <w:szCs w:val="16"/>
        </w:rPr>
      </w:pPr>
    </w:p>
    <w:p w14:paraId="606F6835"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OR</w:t>
      </w:r>
    </w:p>
    <w:p w14:paraId="606F6836" w14:textId="77777777" w:rsidR="00FB67F9" w:rsidRDefault="00FB67F9">
      <w:pPr>
        <w:spacing w:line="312" w:lineRule="auto"/>
        <w:jc w:val="center"/>
        <w:rPr>
          <w:rFonts w:ascii="Times New Roman" w:hAnsi="Times New Roman"/>
          <w:sz w:val="14"/>
          <w:szCs w:val="14"/>
        </w:rPr>
      </w:pPr>
    </w:p>
    <w:p w14:paraId="606F6837" w14:textId="77777777" w:rsidR="00FB67F9" w:rsidRDefault="00E839DF">
      <w:pPr>
        <w:spacing w:line="312" w:lineRule="auto"/>
        <w:jc w:val="center"/>
        <w:rPr>
          <w:rFonts w:ascii="Times New Roman" w:hAnsi="Times New Roman"/>
          <w:sz w:val="16"/>
          <w:szCs w:val="16"/>
        </w:rPr>
      </w:pPr>
      <w:r>
        <w:rPr>
          <w:rFonts w:ascii="Wingdings" w:eastAsia="宋体" w:hAnsi="Wingdings" w:cs="Wingdings"/>
          <w:color w:val="000000"/>
          <w:sz w:val="14"/>
          <w:szCs w:val="14"/>
        </w:rPr>
        <w:t>☐</w:t>
      </w:r>
      <w:r>
        <w:rPr>
          <w:rFonts w:ascii="Arial" w:eastAsia="宋体" w:hAnsi="Arial" w:cs="Arial"/>
          <w:b/>
          <w:bCs/>
          <w:sz w:val="16"/>
          <w:szCs w:val="16"/>
        </w:rPr>
        <w:t xml:space="preserve"> TRANSITION REPORT PURSUANT TO SECTION 13 OR 15(D) OF THE SECURITIES EXCHANGE ACT OF 1934</w:t>
      </w:r>
    </w:p>
    <w:p w14:paraId="606F6838"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FOR THE TRANSITION PERIOD FROM                         TO    </w:t>
      </w:r>
      <w:r>
        <w:rPr>
          <w:rFonts w:ascii="Arial" w:eastAsia="宋体" w:hAnsi="Arial" w:cs="Arial"/>
          <w:b/>
          <w:bCs/>
          <w:color w:val="000000"/>
          <w:sz w:val="16"/>
          <w:szCs w:val="16"/>
        </w:rPr>
        <w:t>                     .</w:t>
      </w:r>
    </w:p>
    <w:p w14:paraId="606F6839" w14:textId="77777777" w:rsidR="00FB67F9" w:rsidRDefault="00FB67F9">
      <w:pPr>
        <w:spacing w:line="312" w:lineRule="auto"/>
        <w:jc w:val="center"/>
        <w:rPr>
          <w:rFonts w:ascii="Times New Roman" w:hAnsi="Times New Roman"/>
          <w:sz w:val="16"/>
          <w:szCs w:val="16"/>
        </w:rPr>
      </w:pPr>
    </w:p>
    <w:p w14:paraId="606F683A"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 xml:space="preserve">Commission File No. 1-10635 </w:t>
      </w:r>
    </w:p>
    <w:p w14:paraId="606F683B" w14:textId="77777777" w:rsidR="00FB67F9" w:rsidRDefault="00E839DF">
      <w:pPr>
        <w:spacing w:line="312"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Viewer12_files/nikelogoorange.jpg"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606F8F7A" wp14:editId="606F8F7B">
            <wp:extent cx="304800" cy="304800"/>
            <wp:effectExtent l="0" t="0" r="0" b="0"/>
            <wp:docPr id="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606F683C" w14:textId="77777777" w:rsidR="00FB67F9" w:rsidRDefault="00E839DF">
      <w:pPr>
        <w:spacing w:line="312" w:lineRule="auto"/>
        <w:jc w:val="center"/>
        <w:rPr>
          <w:rFonts w:ascii="Times New Roman" w:hAnsi="Times New Roman"/>
          <w:sz w:val="40"/>
          <w:szCs w:val="40"/>
        </w:rPr>
      </w:pPr>
      <w:r>
        <w:rPr>
          <w:rFonts w:ascii="Arial" w:eastAsia="宋体" w:hAnsi="Arial" w:cs="Arial"/>
          <w:b/>
          <w:bCs/>
          <w:color w:val="000000"/>
          <w:sz w:val="40"/>
          <w:szCs w:val="40"/>
        </w:rPr>
        <w:t xml:space="preserve">NIKE, Inc. </w:t>
      </w:r>
    </w:p>
    <w:p w14:paraId="606F683D" w14:textId="77777777" w:rsidR="00FB67F9" w:rsidRDefault="00E839DF">
      <w:pPr>
        <w:spacing w:line="312" w:lineRule="auto"/>
        <w:jc w:val="center"/>
        <w:rPr>
          <w:rFonts w:ascii="Times New Roman" w:hAnsi="Times New Roman"/>
          <w:sz w:val="16"/>
          <w:szCs w:val="16"/>
        </w:rPr>
      </w:pPr>
      <w:r>
        <w:rPr>
          <w:rFonts w:ascii="Arial" w:eastAsia="宋体" w:hAnsi="Arial" w:cs="Arial"/>
          <w:b/>
          <w:bCs/>
          <w:color w:val="000000"/>
          <w:sz w:val="16"/>
          <w:szCs w:val="16"/>
        </w:rPr>
        <w:t xml:space="preserve">(Exact name of Registrant as specified in </w:t>
      </w:r>
      <w:r>
        <w:rPr>
          <w:rFonts w:ascii="Arial" w:eastAsia="宋体" w:hAnsi="Arial" w:cs="Arial"/>
          <w:b/>
          <w:bCs/>
          <w:color w:val="000000"/>
          <w:sz w:val="16"/>
          <w:szCs w:val="16"/>
        </w:rPr>
        <w:t>its charter)</w:t>
      </w:r>
    </w:p>
    <w:tbl>
      <w:tblPr>
        <w:tblW w:w="5000" w:type="pct"/>
        <w:tblCellMar>
          <w:left w:w="0" w:type="dxa"/>
          <w:right w:w="0" w:type="dxa"/>
        </w:tblCellMar>
        <w:tblLook w:val="04A0" w:firstRow="1" w:lastRow="0" w:firstColumn="1" w:lastColumn="0" w:noHBand="0" w:noVBand="1"/>
      </w:tblPr>
      <w:tblGrid>
        <w:gridCol w:w="2575"/>
        <w:gridCol w:w="1578"/>
        <w:gridCol w:w="1578"/>
        <w:gridCol w:w="2575"/>
      </w:tblGrid>
      <w:tr w:rsidR="00FB67F9" w14:paraId="606F683F" w14:textId="77777777">
        <w:tc>
          <w:tcPr>
            <w:tcW w:w="0" w:type="auto"/>
            <w:gridSpan w:val="4"/>
            <w:shd w:val="clear" w:color="auto" w:fill="auto"/>
            <w:vAlign w:val="center"/>
          </w:tcPr>
          <w:p w14:paraId="606F683E" w14:textId="77777777" w:rsidR="00FB67F9" w:rsidRDefault="00FB67F9">
            <w:pPr>
              <w:rPr>
                <w:rFonts w:ascii="Times New Roman" w:hAnsi="Times New Roman"/>
                <w:sz w:val="20"/>
                <w:szCs w:val="20"/>
              </w:rPr>
            </w:pPr>
          </w:p>
        </w:tc>
      </w:tr>
      <w:tr w:rsidR="00FB67F9" w14:paraId="606F6844" w14:textId="77777777">
        <w:tc>
          <w:tcPr>
            <w:tcW w:w="1550" w:type="pct"/>
            <w:shd w:val="clear" w:color="auto" w:fill="auto"/>
            <w:vAlign w:val="center"/>
          </w:tcPr>
          <w:p w14:paraId="606F6840" w14:textId="77777777" w:rsidR="00FB67F9" w:rsidRDefault="00FB67F9">
            <w:pPr>
              <w:rPr>
                <w:rFonts w:ascii="Times New Roman" w:hAnsi="Times New Roman"/>
                <w:sz w:val="20"/>
                <w:szCs w:val="20"/>
              </w:rPr>
            </w:pPr>
          </w:p>
        </w:tc>
        <w:tc>
          <w:tcPr>
            <w:tcW w:w="950" w:type="pct"/>
            <w:shd w:val="clear" w:color="auto" w:fill="auto"/>
            <w:vAlign w:val="center"/>
          </w:tcPr>
          <w:p w14:paraId="606F6841" w14:textId="77777777" w:rsidR="00FB67F9" w:rsidRDefault="00FB67F9">
            <w:pPr>
              <w:rPr>
                <w:rFonts w:ascii="Times New Roman" w:hAnsi="Times New Roman"/>
                <w:sz w:val="20"/>
                <w:szCs w:val="20"/>
              </w:rPr>
            </w:pPr>
          </w:p>
        </w:tc>
        <w:tc>
          <w:tcPr>
            <w:tcW w:w="950" w:type="pct"/>
            <w:shd w:val="clear" w:color="auto" w:fill="auto"/>
            <w:vAlign w:val="center"/>
          </w:tcPr>
          <w:p w14:paraId="606F6842" w14:textId="77777777" w:rsidR="00FB67F9" w:rsidRDefault="00FB67F9">
            <w:pPr>
              <w:rPr>
                <w:rFonts w:ascii="Times New Roman" w:hAnsi="Times New Roman"/>
                <w:sz w:val="20"/>
                <w:szCs w:val="20"/>
              </w:rPr>
            </w:pPr>
          </w:p>
        </w:tc>
        <w:tc>
          <w:tcPr>
            <w:tcW w:w="1550" w:type="pct"/>
            <w:shd w:val="clear" w:color="auto" w:fill="auto"/>
            <w:vAlign w:val="center"/>
          </w:tcPr>
          <w:p w14:paraId="606F6843" w14:textId="77777777" w:rsidR="00FB67F9" w:rsidRDefault="00FB67F9">
            <w:pPr>
              <w:rPr>
                <w:rFonts w:ascii="Times New Roman" w:hAnsi="Times New Roman"/>
                <w:sz w:val="20"/>
                <w:szCs w:val="20"/>
              </w:rPr>
            </w:pPr>
          </w:p>
        </w:tc>
      </w:tr>
      <w:tr w:rsidR="00FB67F9" w14:paraId="606F6847" w14:textId="77777777">
        <w:tc>
          <w:tcPr>
            <w:tcW w:w="0" w:type="auto"/>
            <w:gridSpan w:val="2"/>
            <w:shd w:val="clear" w:color="auto" w:fill="auto"/>
            <w:tcMar>
              <w:top w:w="40" w:type="dxa"/>
              <w:left w:w="40" w:type="dxa"/>
              <w:bottom w:w="40" w:type="dxa"/>
              <w:right w:w="40" w:type="dxa"/>
            </w:tcMar>
            <w:vAlign w:val="bottom"/>
          </w:tcPr>
          <w:p w14:paraId="606F6845" w14:textId="77777777" w:rsidR="00FB67F9" w:rsidRDefault="00E839DF">
            <w:pPr>
              <w:jc w:val="center"/>
              <w:textAlignment w:val="bottom"/>
              <w:rPr>
                <w:rFonts w:ascii="Times New Roman" w:hAnsi="Times New Roman"/>
                <w:sz w:val="14"/>
                <w:szCs w:val="14"/>
              </w:rPr>
            </w:pPr>
            <w:r>
              <w:rPr>
                <w:rFonts w:ascii="Arial" w:eastAsia="宋体" w:hAnsi="Arial" w:cs="Arial"/>
                <w:b/>
                <w:bCs/>
                <w:color w:val="000000"/>
                <w:sz w:val="14"/>
                <w:szCs w:val="14"/>
              </w:rPr>
              <w:t>Oregon</w:t>
            </w:r>
          </w:p>
        </w:tc>
        <w:tc>
          <w:tcPr>
            <w:tcW w:w="0" w:type="auto"/>
            <w:gridSpan w:val="2"/>
            <w:shd w:val="clear" w:color="auto" w:fill="auto"/>
            <w:tcMar>
              <w:top w:w="40" w:type="dxa"/>
              <w:left w:w="40" w:type="dxa"/>
              <w:bottom w:w="40" w:type="dxa"/>
              <w:right w:w="40" w:type="dxa"/>
            </w:tcMar>
            <w:vAlign w:val="bottom"/>
          </w:tcPr>
          <w:p w14:paraId="606F6846" w14:textId="77777777" w:rsidR="00FB67F9" w:rsidRDefault="00E839DF">
            <w:pPr>
              <w:jc w:val="center"/>
              <w:textAlignment w:val="bottom"/>
              <w:rPr>
                <w:rFonts w:ascii="Times New Roman" w:hAnsi="Times New Roman"/>
                <w:sz w:val="14"/>
                <w:szCs w:val="14"/>
              </w:rPr>
            </w:pPr>
            <w:r>
              <w:rPr>
                <w:rFonts w:ascii="Arial" w:eastAsia="宋体" w:hAnsi="Arial" w:cs="Arial"/>
                <w:b/>
                <w:bCs/>
                <w:color w:val="000000"/>
                <w:sz w:val="14"/>
                <w:szCs w:val="14"/>
              </w:rPr>
              <w:t>93-0584541</w:t>
            </w:r>
          </w:p>
        </w:tc>
      </w:tr>
      <w:tr w:rsidR="00FB67F9" w14:paraId="606F684A" w14:textId="77777777">
        <w:tc>
          <w:tcPr>
            <w:tcW w:w="0" w:type="auto"/>
            <w:gridSpan w:val="2"/>
            <w:shd w:val="clear" w:color="auto" w:fill="auto"/>
            <w:tcMar>
              <w:top w:w="40" w:type="dxa"/>
              <w:left w:w="40" w:type="dxa"/>
              <w:bottom w:w="40" w:type="dxa"/>
              <w:right w:w="40" w:type="dxa"/>
            </w:tcMar>
          </w:tcPr>
          <w:p w14:paraId="606F6848" w14:textId="77777777" w:rsidR="00FB67F9" w:rsidRDefault="00E839DF">
            <w:pPr>
              <w:jc w:val="center"/>
              <w:textAlignment w:val="top"/>
              <w:rPr>
                <w:rFonts w:ascii="Times New Roman" w:hAnsi="Times New Roman"/>
                <w:sz w:val="14"/>
                <w:szCs w:val="14"/>
              </w:rPr>
            </w:pPr>
            <w:r>
              <w:rPr>
                <w:rFonts w:ascii="Arial" w:eastAsia="宋体" w:hAnsi="Arial" w:cs="Arial"/>
                <w:i/>
                <w:iCs/>
                <w:color w:val="000000"/>
                <w:sz w:val="14"/>
                <w:szCs w:val="14"/>
              </w:rPr>
              <w:t>(State or other jurisdiction of incorporation or organization)</w:t>
            </w:r>
          </w:p>
        </w:tc>
        <w:tc>
          <w:tcPr>
            <w:tcW w:w="0" w:type="auto"/>
            <w:gridSpan w:val="2"/>
            <w:shd w:val="clear" w:color="auto" w:fill="auto"/>
            <w:tcMar>
              <w:top w:w="40" w:type="dxa"/>
              <w:left w:w="40" w:type="dxa"/>
              <w:bottom w:w="40" w:type="dxa"/>
              <w:right w:w="40" w:type="dxa"/>
            </w:tcMar>
          </w:tcPr>
          <w:p w14:paraId="606F6849" w14:textId="77777777" w:rsidR="00FB67F9" w:rsidRDefault="00E839DF">
            <w:pPr>
              <w:jc w:val="center"/>
              <w:textAlignment w:val="top"/>
              <w:rPr>
                <w:rFonts w:ascii="Times New Roman" w:hAnsi="Times New Roman"/>
                <w:sz w:val="14"/>
                <w:szCs w:val="14"/>
              </w:rPr>
            </w:pPr>
            <w:r>
              <w:rPr>
                <w:rFonts w:ascii="Arial" w:eastAsia="宋体" w:hAnsi="Arial" w:cs="Arial"/>
                <w:i/>
                <w:iCs/>
                <w:color w:val="000000"/>
                <w:sz w:val="14"/>
                <w:szCs w:val="14"/>
              </w:rPr>
              <w:t>(I.R.S. Employer Identification No.)</w:t>
            </w:r>
          </w:p>
        </w:tc>
      </w:tr>
    </w:tbl>
    <w:p w14:paraId="606F684B" w14:textId="77777777" w:rsidR="00FB67F9" w:rsidRDefault="00FB67F9">
      <w:pPr>
        <w:spacing w:line="312" w:lineRule="auto"/>
        <w:jc w:val="center"/>
        <w:rPr>
          <w:rFonts w:ascii="Times New Roman" w:hAnsi="Times New Roman"/>
          <w:sz w:val="14"/>
          <w:szCs w:val="14"/>
        </w:rPr>
      </w:pPr>
    </w:p>
    <w:p w14:paraId="606F684C" w14:textId="77777777" w:rsidR="00FB67F9" w:rsidRDefault="00E839DF">
      <w:pPr>
        <w:spacing w:line="312" w:lineRule="auto"/>
        <w:jc w:val="center"/>
        <w:rPr>
          <w:rFonts w:ascii="Times New Roman" w:hAnsi="Times New Roman"/>
          <w:sz w:val="14"/>
          <w:szCs w:val="14"/>
        </w:rPr>
      </w:pPr>
      <w:r>
        <w:rPr>
          <w:rFonts w:ascii="Arial" w:eastAsia="宋体" w:hAnsi="Arial" w:cs="Arial"/>
          <w:b/>
          <w:bCs/>
          <w:color w:val="000000"/>
          <w:sz w:val="14"/>
          <w:szCs w:val="14"/>
        </w:rPr>
        <w:t xml:space="preserve">One Bowerman Drive, Beaverton, Oregon 97005-6453 </w:t>
      </w:r>
    </w:p>
    <w:p w14:paraId="606F684D" w14:textId="77777777" w:rsidR="00FB67F9" w:rsidRDefault="00E839DF">
      <w:pPr>
        <w:spacing w:line="312" w:lineRule="auto"/>
        <w:jc w:val="center"/>
        <w:rPr>
          <w:rFonts w:ascii="Times New Roman" w:hAnsi="Times New Roman"/>
          <w:sz w:val="14"/>
          <w:szCs w:val="14"/>
        </w:rPr>
      </w:pPr>
      <w:r>
        <w:rPr>
          <w:rFonts w:ascii="Arial" w:eastAsia="宋体" w:hAnsi="Arial" w:cs="Arial"/>
          <w:i/>
          <w:iCs/>
          <w:color w:val="000000"/>
          <w:sz w:val="14"/>
          <w:szCs w:val="14"/>
        </w:rPr>
        <w:t>(Address of principal executive offices and zip code)</w:t>
      </w:r>
    </w:p>
    <w:p w14:paraId="606F684E" w14:textId="77777777" w:rsidR="00FB67F9" w:rsidRDefault="00FB67F9">
      <w:pPr>
        <w:spacing w:line="312" w:lineRule="auto"/>
        <w:jc w:val="center"/>
        <w:rPr>
          <w:rFonts w:ascii="Times New Roman" w:hAnsi="Times New Roman"/>
          <w:sz w:val="14"/>
          <w:szCs w:val="14"/>
        </w:rPr>
      </w:pPr>
    </w:p>
    <w:p w14:paraId="606F684F" w14:textId="77777777" w:rsidR="00FB67F9" w:rsidRDefault="00E839DF">
      <w:pPr>
        <w:spacing w:line="312" w:lineRule="auto"/>
        <w:jc w:val="center"/>
        <w:rPr>
          <w:rFonts w:ascii="Times New Roman" w:hAnsi="Times New Roman"/>
          <w:sz w:val="14"/>
          <w:szCs w:val="14"/>
        </w:rPr>
      </w:pPr>
      <w:r>
        <w:rPr>
          <w:rFonts w:ascii="Arial" w:eastAsia="宋体" w:hAnsi="Arial" w:cs="Arial"/>
          <w:b/>
          <w:bCs/>
          <w:color w:val="000000"/>
          <w:sz w:val="14"/>
          <w:szCs w:val="14"/>
        </w:rPr>
        <w:t xml:space="preserve">(503) 671-6453 </w:t>
      </w:r>
    </w:p>
    <w:p w14:paraId="606F6850" w14:textId="77777777" w:rsidR="00FB67F9" w:rsidRDefault="00E839DF">
      <w:pPr>
        <w:spacing w:line="312" w:lineRule="auto"/>
        <w:jc w:val="center"/>
        <w:rPr>
          <w:rFonts w:ascii="Times New Roman" w:hAnsi="Times New Roman"/>
          <w:sz w:val="14"/>
          <w:szCs w:val="14"/>
        </w:rPr>
      </w:pPr>
      <w:r>
        <w:rPr>
          <w:rFonts w:ascii="Arial" w:eastAsia="宋体" w:hAnsi="Arial" w:cs="Arial"/>
          <w:i/>
          <w:iCs/>
          <w:color w:val="000000"/>
          <w:sz w:val="14"/>
          <w:szCs w:val="14"/>
        </w:rPr>
        <w:t>(Registrant's telephone number, including area code)</w:t>
      </w:r>
    </w:p>
    <w:tbl>
      <w:tblPr>
        <w:tblW w:w="5000" w:type="pct"/>
        <w:tblCellMar>
          <w:left w:w="0" w:type="dxa"/>
          <w:right w:w="0" w:type="dxa"/>
        </w:tblCellMar>
        <w:tblLook w:val="04A0" w:firstRow="1" w:lastRow="0" w:firstColumn="1" w:lastColumn="0" w:noHBand="0" w:noVBand="1"/>
      </w:tblPr>
      <w:tblGrid>
        <w:gridCol w:w="2575"/>
        <w:gridCol w:w="1578"/>
        <w:gridCol w:w="1578"/>
        <w:gridCol w:w="2575"/>
      </w:tblGrid>
      <w:tr w:rsidR="00FB67F9" w14:paraId="606F6852" w14:textId="77777777">
        <w:tc>
          <w:tcPr>
            <w:tcW w:w="0" w:type="auto"/>
            <w:gridSpan w:val="4"/>
            <w:shd w:val="clear" w:color="auto" w:fill="auto"/>
            <w:vAlign w:val="center"/>
          </w:tcPr>
          <w:p w14:paraId="606F6851" w14:textId="77777777" w:rsidR="00FB67F9" w:rsidRDefault="00FB67F9">
            <w:pPr>
              <w:rPr>
                <w:rFonts w:ascii="Times New Roman" w:hAnsi="Times New Roman"/>
                <w:sz w:val="20"/>
                <w:szCs w:val="20"/>
              </w:rPr>
            </w:pPr>
          </w:p>
        </w:tc>
      </w:tr>
      <w:tr w:rsidR="00FB67F9" w14:paraId="606F6857" w14:textId="77777777">
        <w:tc>
          <w:tcPr>
            <w:tcW w:w="1550" w:type="pct"/>
            <w:shd w:val="clear" w:color="auto" w:fill="auto"/>
            <w:vAlign w:val="center"/>
          </w:tcPr>
          <w:p w14:paraId="606F6853" w14:textId="77777777" w:rsidR="00FB67F9" w:rsidRDefault="00FB67F9">
            <w:pPr>
              <w:rPr>
                <w:rFonts w:ascii="Times New Roman" w:hAnsi="Times New Roman"/>
                <w:sz w:val="20"/>
                <w:szCs w:val="20"/>
              </w:rPr>
            </w:pPr>
          </w:p>
        </w:tc>
        <w:tc>
          <w:tcPr>
            <w:tcW w:w="950" w:type="pct"/>
            <w:shd w:val="clear" w:color="auto" w:fill="auto"/>
            <w:vAlign w:val="center"/>
          </w:tcPr>
          <w:p w14:paraId="606F6854" w14:textId="77777777" w:rsidR="00FB67F9" w:rsidRDefault="00FB67F9">
            <w:pPr>
              <w:rPr>
                <w:rFonts w:ascii="Times New Roman" w:hAnsi="Times New Roman"/>
                <w:sz w:val="20"/>
                <w:szCs w:val="20"/>
              </w:rPr>
            </w:pPr>
          </w:p>
        </w:tc>
        <w:tc>
          <w:tcPr>
            <w:tcW w:w="950" w:type="pct"/>
            <w:shd w:val="clear" w:color="auto" w:fill="auto"/>
            <w:vAlign w:val="center"/>
          </w:tcPr>
          <w:p w14:paraId="606F6855" w14:textId="77777777" w:rsidR="00FB67F9" w:rsidRDefault="00FB67F9">
            <w:pPr>
              <w:rPr>
                <w:rFonts w:ascii="Times New Roman" w:hAnsi="Times New Roman"/>
                <w:sz w:val="20"/>
                <w:szCs w:val="20"/>
              </w:rPr>
            </w:pPr>
          </w:p>
        </w:tc>
        <w:tc>
          <w:tcPr>
            <w:tcW w:w="1550" w:type="pct"/>
            <w:shd w:val="clear" w:color="auto" w:fill="auto"/>
            <w:vAlign w:val="center"/>
          </w:tcPr>
          <w:p w14:paraId="606F6856" w14:textId="77777777" w:rsidR="00FB67F9" w:rsidRDefault="00FB67F9">
            <w:pPr>
              <w:rPr>
                <w:rFonts w:ascii="Times New Roman" w:hAnsi="Times New Roman"/>
                <w:sz w:val="20"/>
                <w:szCs w:val="20"/>
              </w:rPr>
            </w:pPr>
          </w:p>
        </w:tc>
      </w:tr>
      <w:tr w:rsidR="00FB67F9" w14:paraId="606F6859" w14:textId="77777777">
        <w:tc>
          <w:tcPr>
            <w:tcW w:w="0" w:type="auto"/>
            <w:gridSpan w:val="4"/>
            <w:shd w:val="clear" w:color="auto" w:fill="auto"/>
            <w:tcMar>
              <w:top w:w="40" w:type="dxa"/>
              <w:left w:w="40" w:type="dxa"/>
              <w:bottom w:w="40" w:type="dxa"/>
              <w:right w:w="40" w:type="dxa"/>
            </w:tcMar>
            <w:vAlign w:val="bottom"/>
          </w:tcPr>
          <w:p w14:paraId="606F6858" w14:textId="77777777" w:rsidR="00FB67F9" w:rsidRDefault="00E839DF">
            <w:pPr>
              <w:jc w:val="center"/>
              <w:textAlignment w:val="bottom"/>
              <w:rPr>
                <w:rFonts w:ascii="Times New Roman" w:hAnsi="Times New Roman"/>
                <w:sz w:val="14"/>
                <w:szCs w:val="14"/>
              </w:rPr>
            </w:pPr>
            <w:r>
              <w:rPr>
                <w:rFonts w:ascii="Arial" w:eastAsia="宋体" w:hAnsi="Arial" w:cs="Arial"/>
                <w:color w:val="000000"/>
                <w:sz w:val="14"/>
                <w:szCs w:val="14"/>
              </w:rPr>
              <w:t>SECURITIES REGISTERED PURSUANT TO SECTION 12(B) OF THE ACT:</w:t>
            </w:r>
          </w:p>
        </w:tc>
      </w:tr>
      <w:tr w:rsidR="00FB67F9" w14:paraId="606F685D" w14:textId="77777777">
        <w:tc>
          <w:tcPr>
            <w:tcW w:w="0" w:type="auto"/>
            <w:shd w:val="clear" w:color="auto" w:fill="auto"/>
            <w:tcMar>
              <w:top w:w="40" w:type="dxa"/>
              <w:left w:w="40" w:type="dxa"/>
              <w:bottom w:w="40" w:type="dxa"/>
              <w:right w:w="40" w:type="dxa"/>
            </w:tcMar>
            <w:vAlign w:val="bottom"/>
          </w:tcPr>
          <w:p w14:paraId="606F685A" w14:textId="77777777" w:rsidR="00FB67F9" w:rsidRDefault="00E839DF">
            <w:pPr>
              <w:jc w:val="center"/>
              <w:textAlignment w:val="bottom"/>
              <w:rPr>
                <w:rFonts w:ascii="Times New Roman" w:hAnsi="Times New Roman"/>
                <w:sz w:val="14"/>
                <w:szCs w:val="14"/>
              </w:rPr>
            </w:pPr>
            <w:r>
              <w:rPr>
                <w:rFonts w:ascii="Arial" w:eastAsia="宋体" w:hAnsi="Arial" w:cs="Arial"/>
                <w:b/>
                <w:bCs/>
                <w:color w:val="000000"/>
                <w:sz w:val="14"/>
                <w:szCs w:val="14"/>
              </w:rPr>
              <w:t>Class B Common Stock</w:t>
            </w:r>
          </w:p>
        </w:tc>
        <w:tc>
          <w:tcPr>
            <w:tcW w:w="0" w:type="auto"/>
            <w:gridSpan w:val="2"/>
            <w:shd w:val="clear" w:color="auto" w:fill="auto"/>
            <w:tcMar>
              <w:top w:w="40" w:type="dxa"/>
              <w:left w:w="40" w:type="dxa"/>
              <w:bottom w:w="40" w:type="dxa"/>
              <w:right w:w="40" w:type="dxa"/>
            </w:tcMar>
            <w:vAlign w:val="bottom"/>
          </w:tcPr>
          <w:p w14:paraId="606F685B" w14:textId="77777777" w:rsidR="00FB67F9" w:rsidRDefault="00E839DF">
            <w:pPr>
              <w:jc w:val="center"/>
              <w:textAlignment w:val="bottom"/>
              <w:rPr>
                <w:rFonts w:ascii="Times New Roman" w:hAnsi="Times New Roman"/>
                <w:sz w:val="14"/>
                <w:szCs w:val="14"/>
              </w:rPr>
            </w:pPr>
            <w:r>
              <w:rPr>
                <w:rFonts w:ascii="Arial" w:eastAsia="宋体" w:hAnsi="Arial" w:cs="Arial"/>
                <w:b/>
                <w:bCs/>
                <w:color w:val="000000"/>
                <w:sz w:val="14"/>
                <w:szCs w:val="14"/>
              </w:rPr>
              <w:t>NKE</w:t>
            </w:r>
          </w:p>
        </w:tc>
        <w:tc>
          <w:tcPr>
            <w:tcW w:w="0" w:type="auto"/>
            <w:shd w:val="clear" w:color="auto" w:fill="auto"/>
            <w:tcMar>
              <w:top w:w="40" w:type="dxa"/>
              <w:left w:w="40" w:type="dxa"/>
              <w:bottom w:w="40" w:type="dxa"/>
              <w:right w:w="40" w:type="dxa"/>
            </w:tcMar>
            <w:vAlign w:val="bottom"/>
          </w:tcPr>
          <w:p w14:paraId="606F685C" w14:textId="77777777" w:rsidR="00FB67F9" w:rsidRDefault="00E839DF">
            <w:pPr>
              <w:jc w:val="center"/>
              <w:textAlignment w:val="bottom"/>
              <w:rPr>
                <w:rFonts w:ascii="Times New Roman" w:hAnsi="Times New Roman"/>
                <w:sz w:val="14"/>
                <w:szCs w:val="14"/>
              </w:rPr>
            </w:pPr>
            <w:r>
              <w:rPr>
                <w:rFonts w:ascii="Arial" w:eastAsia="宋体" w:hAnsi="Arial" w:cs="Arial"/>
                <w:b/>
                <w:bCs/>
                <w:color w:val="000000"/>
                <w:sz w:val="14"/>
                <w:szCs w:val="14"/>
              </w:rPr>
              <w:t>New York Stock Exchange</w:t>
            </w:r>
          </w:p>
        </w:tc>
      </w:tr>
      <w:tr w:rsidR="00FB67F9" w14:paraId="606F6861" w14:textId="77777777">
        <w:tc>
          <w:tcPr>
            <w:tcW w:w="0" w:type="auto"/>
            <w:shd w:val="clear" w:color="auto" w:fill="auto"/>
            <w:tcMar>
              <w:top w:w="40" w:type="dxa"/>
              <w:left w:w="40" w:type="dxa"/>
              <w:bottom w:w="40" w:type="dxa"/>
              <w:right w:w="40" w:type="dxa"/>
            </w:tcMar>
            <w:vAlign w:val="bottom"/>
          </w:tcPr>
          <w:p w14:paraId="606F685E" w14:textId="77777777" w:rsidR="00FB67F9" w:rsidRDefault="00E839DF">
            <w:pPr>
              <w:jc w:val="center"/>
              <w:textAlignment w:val="bottom"/>
              <w:rPr>
                <w:rFonts w:ascii="Times New Roman" w:hAnsi="Times New Roman"/>
                <w:sz w:val="14"/>
                <w:szCs w:val="14"/>
              </w:rPr>
            </w:pPr>
            <w:r>
              <w:rPr>
                <w:rFonts w:ascii="Arial" w:eastAsia="宋体" w:hAnsi="Arial" w:cs="Arial"/>
                <w:i/>
                <w:iCs/>
                <w:color w:val="000000"/>
                <w:sz w:val="14"/>
                <w:szCs w:val="14"/>
              </w:rPr>
              <w:t>(Title of each class)</w:t>
            </w:r>
          </w:p>
        </w:tc>
        <w:tc>
          <w:tcPr>
            <w:tcW w:w="0" w:type="auto"/>
            <w:gridSpan w:val="2"/>
            <w:shd w:val="clear" w:color="auto" w:fill="auto"/>
            <w:tcMar>
              <w:top w:w="40" w:type="dxa"/>
              <w:left w:w="40" w:type="dxa"/>
              <w:bottom w:w="40" w:type="dxa"/>
              <w:right w:w="40" w:type="dxa"/>
            </w:tcMar>
            <w:vAlign w:val="bottom"/>
          </w:tcPr>
          <w:p w14:paraId="606F685F" w14:textId="77777777" w:rsidR="00FB67F9" w:rsidRDefault="00E839DF">
            <w:pPr>
              <w:jc w:val="center"/>
              <w:textAlignment w:val="bottom"/>
              <w:rPr>
                <w:rFonts w:ascii="Times New Roman" w:hAnsi="Times New Roman"/>
                <w:sz w:val="14"/>
                <w:szCs w:val="14"/>
              </w:rPr>
            </w:pPr>
            <w:r>
              <w:rPr>
                <w:rFonts w:ascii="Arial" w:eastAsia="宋体" w:hAnsi="Arial" w:cs="Arial"/>
                <w:i/>
                <w:iCs/>
                <w:color w:val="000000"/>
                <w:sz w:val="14"/>
                <w:szCs w:val="14"/>
              </w:rPr>
              <w:t>(Trading symbol)</w:t>
            </w:r>
          </w:p>
        </w:tc>
        <w:tc>
          <w:tcPr>
            <w:tcW w:w="0" w:type="auto"/>
            <w:shd w:val="clear" w:color="auto" w:fill="auto"/>
            <w:tcMar>
              <w:top w:w="40" w:type="dxa"/>
              <w:left w:w="40" w:type="dxa"/>
              <w:bottom w:w="40" w:type="dxa"/>
              <w:right w:w="40" w:type="dxa"/>
            </w:tcMar>
            <w:vAlign w:val="bottom"/>
          </w:tcPr>
          <w:p w14:paraId="606F6860" w14:textId="77777777" w:rsidR="00FB67F9" w:rsidRDefault="00E839DF">
            <w:pPr>
              <w:jc w:val="center"/>
              <w:textAlignment w:val="bottom"/>
              <w:rPr>
                <w:rFonts w:ascii="Times New Roman" w:hAnsi="Times New Roman"/>
                <w:sz w:val="14"/>
                <w:szCs w:val="14"/>
              </w:rPr>
            </w:pPr>
            <w:r>
              <w:rPr>
                <w:rFonts w:ascii="Arial" w:eastAsia="宋体" w:hAnsi="Arial" w:cs="Arial"/>
                <w:i/>
                <w:iCs/>
                <w:color w:val="000000"/>
                <w:sz w:val="14"/>
                <w:szCs w:val="14"/>
              </w:rPr>
              <w:t xml:space="preserve">(Name of each exchange on </w:t>
            </w:r>
            <w:r>
              <w:rPr>
                <w:rFonts w:ascii="Arial" w:eastAsia="宋体" w:hAnsi="Arial" w:cs="Arial"/>
                <w:i/>
                <w:iCs/>
                <w:color w:val="000000"/>
                <w:sz w:val="14"/>
                <w:szCs w:val="14"/>
              </w:rPr>
              <w:t>which registered)</w:t>
            </w:r>
          </w:p>
        </w:tc>
      </w:tr>
    </w:tbl>
    <w:p w14:paraId="606F6862"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151"/>
        <w:gridCol w:w="1397"/>
        <w:gridCol w:w="205"/>
        <w:gridCol w:w="1084"/>
        <w:gridCol w:w="151"/>
        <w:gridCol w:w="1480"/>
        <w:gridCol w:w="151"/>
        <w:gridCol w:w="1753"/>
        <w:gridCol w:w="151"/>
        <w:gridCol w:w="899"/>
        <w:gridCol w:w="733"/>
        <w:gridCol w:w="151"/>
      </w:tblGrid>
      <w:tr w:rsidR="00FB67F9" w14:paraId="606F6864" w14:textId="77777777">
        <w:tc>
          <w:tcPr>
            <w:tcW w:w="0" w:type="auto"/>
            <w:gridSpan w:val="12"/>
            <w:shd w:val="clear" w:color="auto" w:fill="auto"/>
            <w:vAlign w:val="center"/>
          </w:tcPr>
          <w:p w14:paraId="606F6863" w14:textId="77777777" w:rsidR="00FB67F9" w:rsidRDefault="00FB67F9">
            <w:pPr>
              <w:rPr>
                <w:rFonts w:ascii="Times New Roman" w:hAnsi="Times New Roman"/>
                <w:sz w:val="20"/>
                <w:szCs w:val="20"/>
              </w:rPr>
            </w:pPr>
          </w:p>
        </w:tc>
      </w:tr>
      <w:tr w:rsidR="00FB67F9" w14:paraId="606F6871" w14:textId="77777777">
        <w:tc>
          <w:tcPr>
            <w:tcW w:w="100" w:type="pct"/>
            <w:shd w:val="clear" w:color="auto" w:fill="auto"/>
            <w:vAlign w:val="center"/>
          </w:tcPr>
          <w:p w14:paraId="606F6865" w14:textId="77777777" w:rsidR="00FB67F9" w:rsidRDefault="00FB67F9">
            <w:pPr>
              <w:rPr>
                <w:rFonts w:ascii="Times New Roman" w:hAnsi="Times New Roman"/>
                <w:sz w:val="20"/>
                <w:szCs w:val="20"/>
              </w:rPr>
            </w:pPr>
          </w:p>
        </w:tc>
        <w:tc>
          <w:tcPr>
            <w:tcW w:w="850" w:type="pct"/>
            <w:shd w:val="clear" w:color="auto" w:fill="auto"/>
            <w:vAlign w:val="center"/>
          </w:tcPr>
          <w:p w14:paraId="606F6866" w14:textId="77777777" w:rsidR="00FB67F9" w:rsidRDefault="00FB67F9">
            <w:pPr>
              <w:rPr>
                <w:rFonts w:ascii="Times New Roman" w:hAnsi="Times New Roman"/>
                <w:sz w:val="20"/>
                <w:szCs w:val="20"/>
              </w:rPr>
            </w:pPr>
          </w:p>
        </w:tc>
        <w:tc>
          <w:tcPr>
            <w:tcW w:w="100" w:type="pct"/>
            <w:shd w:val="clear" w:color="auto" w:fill="auto"/>
            <w:vAlign w:val="center"/>
          </w:tcPr>
          <w:p w14:paraId="606F6867" w14:textId="77777777" w:rsidR="00FB67F9" w:rsidRDefault="00FB67F9">
            <w:pPr>
              <w:rPr>
                <w:rFonts w:ascii="Times New Roman" w:hAnsi="Times New Roman"/>
                <w:sz w:val="20"/>
                <w:szCs w:val="20"/>
              </w:rPr>
            </w:pPr>
          </w:p>
        </w:tc>
        <w:tc>
          <w:tcPr>
            <w:tcW w:w="650" w:type="pct"/>
            <w:shd w:val="clear" w:color="auto" w:fill="auto"/>
            <w:vAlign w:val="center"/>
          </w:tcPr>
          <w:p w14:paraId="606F6868" w14:textId="77777777" w:rsidR="00FB67F9" w:rsidRDefault="00FB67F9">
            <w:pPr>
              <w:rPr>
                <w:rFonts w:ascii="Times New Roman" w:hAnsi="Times New Roman"/>
                <w:sz w:val="20"/>
                <w:szCs w:val="20"/>
              </w:rPr>
            </w:pPr>
          </w:p>
        </w:tc>
        <w:tc>
          <w:tcPr>
            <w:tcW w:w="100" w:type="pct"/>
            <w:shd w:val="clear" w:color="auto" w:fill="auto"/>
            <w:vAlign w:val="center"/>
          </w:tcPr>
          <w:p w14:paraId="606F6869" w14:textId="77777777" w:rsidR="00FB67F9" w:rsidRDefault="00FB67F9">
            <w:pPr>
              <w:rPr>
                <w:rFonts w:ascii="Times New Roman" w:hAnsi="Times New Roman"/>
                <w:sz w:val="20"/>
                <w:szCs w:val="20"/>
              </w:rPr>
            </w:pPr>
          </w:p>
        </w:tc>
        <w:tc>
          <w:tcPr>
            <w:tcW w:w="900" w:type="pct"/>
            <w:shd w:val="clear" w:color="auto" w:fill="auto"/>
            <w:vAlign w:val="center"/>
          </w:tcPr>
          <w:p w14:paraId="606F686A" w14:textId="77777777" w:rsidR="00FB67F9" w:rsidRDefault="00FB67F9">
            <w:pPr>
              <w:rPr>
                <w:rFonts w:ascii="Times New Roman" w:hAnsi="Times New Roman"/>
                <w:sz w:val="20"/>
                <w:szCs w:val="20"/>
              </w:rPr>
            </w:pPr>
          </w:p>
        </w:tc>
        <w:tc>
          <w:tcPr>
            <w:tcW w:w="100" w:type="pct"/>
            <w:shd w:val="clear" w:color="auto" w:fill="auto"/>
            <w:vAlign w:val="center"/>
          </w:tcPr>
          <w:p w14:paraId="606F686B" w14:textId="77777777" w:rsidR="00FB67F9" w:rsidRDefault="00FB67F9">
            <w:pPr>
              <w:rPr>
                <w:rFonts w:ascii="Times New Roman" w:hAnsi="Times New Roman"/>
                <w:sz w:val="20"/>
                <w:szCs w:val="20"/>
              </w:rPr>
            </w:pPr>
          </w:p>
        </w:tc>
        <w:tc>
          <w:tcPr>
            <w:tcW w:w="1000" w:type="pct"/>
            <w:shd w:val="clear" w:color="auto" w:fill="auto"/>
            <w:vAlign w:val="center"/>
          </w:tcPr>
          <w:p w14:paraId="606F686C" w14:textId="77777777" w:rsidR="00FB67F9" w:rsidRDefault="00FB67F9">
            <w:pPr>
              <w:rPr>
                <w:rFonts w:ascii="Times New Roman" w:hAnsi="Times New Roman"/>
                <w:sz w:val="20"/>
                <w:szCs w:val="20"/>
              </w:rPr>
            </w:pPr>
          </w:p>
        </w:tc>
        <w:tc>
          <w:tcPr>
            <w:tcW w:w="100" w:type="pct"/>
            <w:shd w:val="clear" w:color="auto" w:fill="auto"/>
            <w:vAlign w:val="center"/>
          </w:tcPr>
          <w:p w14:paraId="606F686D" w14:textId="77777777" w:rsidR="00FB67F9" w:rsidRDefault="00FB67F9">
            <w:pPr>
              <w:rPr>
                <w:rFonts w:ascii="Times New Roman" w:hAnsi="Times New Roman"/>
                <w:sz w:val="20"/>
                <w:szCs w:val="20"/>
              </w:rPr>
            </w:pPr>
          </w:p>
        </w:tc>
        <w:tc>
          <w:tcPr>
            <w:tcW w:w="550" w:type="pct"/>
            <w:shd w:val="clear" w:color="auto" w:fill="auto"/>
            <w:vAlign w:val="center"/>
          </w:tcPr>
          <w:p w14:paraId="606F686E" w14:textId="77777777" w:rsidR="00FB67F9" w:rsidRDefault="00FB67F9">
            <w:pPr>
              <w:rPr>
                <w:rFonts w:ascii="Times New Roman" w:hAnsi="Times New Roman"/>
                <w:sz w:val="20"/>
                <w:szCs w:val="20"/>
              </w:rPr>
            </w:pPr>
          </w:p>
        </w:tc>
        <w:tc>
          <w:tcPr>
            <w:tcW w:w="450" w:type="pct"/>
            <w:shd w:val="clear" w:color="auto" w:fill="auto"/>
            <w:vAlign w:val="center"/>
          </w:tcPr>
          <w:p w14:paraId="606F686F" w14:textId="77777777" w:rsidR="00FB67F9" w:rsidRDefault="00FB67F9">
            <w:pPr>
              <w:rPr>
                <w:rFonts w:ascii="Times New Roman" w:hAnsi="Times New Roman"/>
                <w:sz w:val="20"/>
                <w:szCs w:val="20"/>
              </w:rPr>
            </w:pPr>
          </w:p>
        </w:tc>
        <w:tc>
          <w:tcPr>
            <w:tcW w:w="100" w:type="pct"/>
            <w:shd w:val="clear" w:color="auto" w:fill="auto"/>
            <w:vAlign w:val="center"/>
          </w:tcPr>
          <w:p w14:paraId="606F6870" w14:textId="77777777" w:rsidR="00FB67F9" w:rsidRDefault="00FB67F9">
            <w:pPr>
              <w:rPr>
                <w:rFonts w:ascii="Times New Roman" w:hAnsi="Times New Roman"/>
                <w:sz w:val="20"/>
                <w:szCs w:val="20"/>
              </w:rPr>
            </w:pPr>
          </w:p>
        </w:tc>
      </w:tr>
      <w:tr w:rsidR="00FB67F9" w14:paraId="606F6876" w14:textId="77777777">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606F6872" w14:textId="77777777" w:rsidR="00FB67F9" w:rsidRDefault="00E839DF">
            <w:pPr>
              <w:textAlignment w:val="bottom"/>
              <w:rPr>
                <w:rFonts w:ascii="Times New Roman" w:hAnsi="Times New Roman"/>
                <w:sz w:val="14"/>
                <w:szCs w:val="14"/>
              </w:rPr>
            </w:pPr>
            <w:r>
              <w:rPr>
                <w:rFonts w:ascii="Arial" w:eastAsia="宋体" w:hAnsi="Arial" w:cs="Arial"/>
                <w:b/>
                <w:bCs/>
                <w:color w:val="000000"/>
                <w:sz w:val="14"/>
                <w:szCs w:val="14"/>
              </w:rPr>
              <w:t>Indicate by check mark:</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87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874" w14:textId="77777777" w:rsidR="00FB67F9" w:rsidRDefault="00E839DF">
            <w:pPr>
              <w:jc w:val="center"/>
              <w:textAlignment w:val="bottom"/>
              <w:rPr>
                <w:rFonts w:ascii="Times New Roman" w:hAnsi="Times New Roman"/>
                <w:sz w:val="14"/>
                <w:szCs w:val="14"/>
              </w:rPr>
            </w:pPr>
            <w:r>
              <w:rPr>
                <w:rFonts w:ascii="Arial" w:eastAsia="宋体" w:hAnsi="Arial" w:cs="Arial"/>
                <w:b/>
                <w:bCs/>
                <w:color w:val="000000"/>
                <w:sz w:val="14"/>
                <w:szCs w:val="14"/>
              </w:rPr>
              <w:t>YES</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6875" w14:textId="77777777" w:rsidR="00FB67F9" w:rsidRDefault="00E839DF">
            <w:pPr>
              <w:jc w:val="center"/>
              <w:textAlignment w:val="bottom"/>
              <w:rPr>
                <w:rFonts w:ascii="Times New Roman" w:hAnsi="Times New Roman"/>
                <w:sz w:val="14"/>
                <w:szCs w:val="14"/>
              </w:rPr>
            </w:pPr>
            <w:r>
              <w:rPr>
                <w:rFonts w:ascii="Arial" w:eastAsia="宋体" w:hAnsi="Arial" w:cs="Arial"/>
                <w:b/>
                <w:bCs/>
                <w:color w:val="000000"/>
                <w:sz w:val="14"/>
                <w:szCs w:val="14"/>
              </w:rPr>
              <w:t>NO</w:t>
            </w:r>
          </w:p>
        </w:tc>
      </w:tr>
      <w:tr w:rsidR="00FB67F9" w14:paraId="606F687C" w14:textId="77777777">
        <w:tc>
          <w:tcPr>
            <w:tcW w:w="0" w:type="auto"/>
            <w:tcBorders>
              <w:top w:val="single" w:sz="8" w:space="0" w:color="E87722"/>
            </w:tcBorders>
            <w:shd w:val="clear" w:color="auto" w:fill="auto"/>
            <w:tcMar>
              <w:top w:w="40" w:type="dxa"/>
              <w:left w:w="40" w:type="dxa"/>
              <w:bottom w:w="40" w:type="dxa"/>
              <w:right w:w="40" w:type="dxa"/>
            </w:tcMar>
          </w:tcPr>
          <w:p w14:paraId="606F6877" w14:textId="77777777" w:rsidR="00FB67F9" w:rsidRDefault="00E839DF">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E87722"/>
            </w:tcBorders>
            <w:shd w:val="clear" w:color="auto" w:fill="auto"/>
            <w:tcMar>
              <w:top w:w="40" w:type="dxa"/>
              <w:left w:w="40" w:type="dxa"/>
              <w:bottom w:w="40" w:type="dxa"/>
              <w:right w:w="40" w:type="dxa"/>
            </w:tcMar>
          </w:tcPr>
          <w:p w14:paraId="606F6878" w14:textId="77777777" w:rsidR="00FB67F9" w:rsidRDefault="00E839DF">
            <w:pPr>
              <w:textAlignment w:val="top"/>
              <w:rPr>
                <w:rFonts w:ascii="Times New Roman" w:hAnsi="Times New Roman"/>
                <w:sz w:val="14"/>
                <w:szCs w:val="14"/>
              </w:rPr>
            </w:pPr>
            <w:r>
              <w:rPr>
                <w:rFonts w:ascii="Arial" w:eastAsia="宋体" w:hAnsi="Arial" w:cs="Arial"/>
                <w:color w:val="000000"/>
                <w:sz w:val="14"/>
                <w:szCs w:val="14"/>
              </w:rPr>
              <w:t xml:space="preserve">whether the registrant (1) has filed all reports required to be filed by Section 13 or 15(d) of the Securities Exchange Act of 1934 during the preceding 12 months (or for such </w:t>
            </w:r>
            <w:r>
              <w:rPr>
                <w:rFonts w:ascii="Arial" w:eastAsia="宋体" w:hAnsi="Arial" w:cs="Arial"/>
                <w:color w:val="000000"/>
                <w:sz w:val="14"/>
                <w:szCs w:val="14"/>
              </w:rPr>
              <w:t>shorter period that the registrant was required to file such reports), and (2) has been subject to such filing requirements for the past 90 days.</w:t>
            </w:r>
          </w:p>
        </w:tc>
        <w:tc>
          <w:tcPr>
            <w:tcW w:w="0" w:type="auto"/>
            <w:tcBorders>
              <w:top w:val="single" w:sz="8" w:space="0" w:color="E87722"/>
            </w:tcBorders>
            <w:shd w:val="clear" w:color="auto" w:fill="auto"/>
            <w:tcMar>
              <w:top w:w="40" w:type="dxa"/>
              <w:left w:w="40" w:type="dxa"/>
              <w:bottom w:w="40" w:type="dxa"/>
              <w:right w:w="40" w:type="dxa"/>
            </w:tcMar>
            <w:vAlign w:val="bottom"/>
          </w:tcPr>
          <w:p w14:paraId="606F687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right w:w="40" w:type="dxa"/>
            </w:tcMar>
          </w:tcPr>
          <w:p w14:paraId="606F687A" w14:textId="77777777" w:rsidR="00FB67F9" w:rsidRDefault="00E839DF">
            <w:pPr>
              <w:jc w:val="center"/>
              <w:textAlignment w:val="top"/>
              <w:rPr>
                <w:rFonts w:ascii="Times New Roman" w:hAnsi="Times New Roman"/>
                <w:sz w:val="14"/>
                <w:szCs w:val="14"/>
              </w:rPr>
            </w:pPr>
            <w:r>
              <w:rPr>
                <w:rFonts w:ascii="Wingdings" w:eastAsia="宋体" w:hAnsi="Wingdings" w:cs="Wingdings"/>
                <w:color w:val="000000"/>
                <w:sz w:val="14"/>
                <w:szCs w:val="14"/>
              </w:rPr>
              <w:t>þ</w:t>
            </w:r>
          </w:p>
        </w:tc>
        <w:tc>
          <w:tcPr>
            <w:tcW w:w="0" w:type="auto"/>
            <w:gridSpan w:val="2"/>
            <w:tcBorders>
              <w:top w:val="single" w:sz="8" w:space="0" w:color="E87722"/>
            </w:tcBorders>
            <w:shd w:val="clear" w:color="auto" w:fill="auto"/>
            <w:tcMar>
              <w:top w:w="40" w:type="dxa"/>
              <w:left w:w="40" w:type="dxa"/>
              <w:bottom w:w="40" w:type="dxa"/>
              <w:right w:w="40" w:type="dxa"/>
            </w:tcMar>
          </w:tcPr>
          <w:p w14:paraId="606F687B" w14:textId="77777777" w:rsidR="00FB67F9" w:rsidRDefault="00E839DF">
            <w:pPr>
              <w:jc w:val="center"/>
              <w:textAlignment w:val="top"/>
              <w:rPr>
                <w:rFonts w:ascii="Times New Roman" w:hAnsi="Times New Roman"/>
                <w:sz w:val="14"/>
                <w:szCs w:val="14"/>
              </w:rPr>
            </w:pPr>
            <w:r>
              <w:rPr>
                <w:rFonts w:ascii="Wingdings" w:eastAsia="宋体" w:hAnsi="Wingdings" w:cs="Wingdings"/>
                <w:color w:val="000000"/>
                <w:sz w:val="14"/>
                <w:szCs w:val="14"/>
              </w:rPr>
              <w:t>☐</w:t>
            </w:r>
          </w:p>
        </w:tc>
      </w:tr>
      <w:tr w:rsidR="00FB67F9" w14:paraId="606F688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687D" w14:textId="77777777" w:rsidR="00FB67F9" w:rsidRDefault="00E839DF">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808080"/>
              <w:bottom w:val="single" w:sz="8" w:space="0" w:color="808080"/>
            </w:tcBorders>
            <w:shd w:val="clear" w:color="auto" w:fill="auto"/>
            <w:tcMar>
              <w:top w:w="40" w:type="dxa"/>
              <w:left w:w="40" w:type="dxa"/>
              <w:bottom w:w="40" w:type="dxa"/>
              <w:right w:w="40" w:type="dxa"/>
            </w:tcMar>
          </w:tcPr>
          <w:p w14:paraId="606F687E" w14:textId="77777777" w:rsidR="00FB67F9" w:rsidRDefault="00E839DF">
            <w:pPr>
              <w:textAlignment w:val="top"/>
              <w:rPr>
                <w:rFonts w:ascii="Times New Roman" w:hAnsi="Times New Roman"/>
                <w:sz w:val="14"/>
                <w:szCs w:val="14"/>
              </w:rPr>
            </w:pPr>
            <w:r>
              <w:rPr>
                <w:rFonts w:ascii="Arial" w:eastAsia="宋体" w:hAnsi="Arial" w:cs="Arial"/>
                <w:color w:val="000000"/>
                <w:sz w:val="14"/>
                <w:szCs w:val="14"/>
              </w:rPr>
              <w:t xml:space="preserve">whether the registrant has submitted electronically every Interactive Data File required to be </w:t>
            </w:r>
            <w:r>
              <w:rPr>
                <w:rFonts w:ascii="Arial" w:eastAsia="宋体" w:hAnsi="Arial" w:cs="Arial"/>
                <w:color w:val="000000"/>
                <w:sz w:val="14"/>
                <w:szCs w:val="14"/>
              </w:rPr>
              <w:t>submitted pursuant to Rule 405 of Regulation S-T (§232.405 of this chapter) during the preceding 12 months (or for such shorter period that the registrant was required to submit such files).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6880" w14:textId="77777777" w:rsidR="00FB67F9" w:rsidRDefault="00E839DF">
            <w:pPr>
              <w:jc w:val="center"/>
              <w:textAlignment w:val="top"/>
              <w:rPr>
                <w:rFonts w:ascii="Times New Roman" w:hAnsi="Times New Roman"/>
                <w:sz w:val="14"/>
                <w:szCs w:val="14"/>
              </w:rPr>
            </w:pPr>
            <w:r>
              <w:rPr>
                <w:rFonts w:ascii="Wingdings" w:eastAsia="宋体" w:hAnsi="Wingdings" w:cs="Wingdings"/>
                <w:color w:val="000000"/>
                <w:sz w:val="14"/>
                <w:szCs w:val="14"/>
              </w:rPr>
              <w:t>þ</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tcPr>
          <w:p w14:paraId="606F6881" w14:textId="77777777" w:rsidR="00FB67F9" w:rsidRDefault="00E839DF">
            <w:pPr>
              <w:jc w:val="center"/>
              <w:textAlignment w:val="top"/>
              <w:rPr>
                <w:rFonts w:ascii="Times New Roman" w:hAnsi="Times New Roman"/>
                <w:sz w:val="14"/>
                <w:szCs w:val="14"/>
              </w:rPr>
            </w:pPr>
            <w:r>
              <w:rPr>
                <w:rFonts w:ascii="Wingdings" w:eastAsia="宋体" w:hAnsi="Wingdings" w:cs="Wingdings"/>
                <w:color w:val="000000"/>
                <w:sz w:val="14"/>
                <w:szCs w:val="14"/>
              </w:rPr>
              <w:t>☐</w:t>
            </w:r>
          </w:p>
        </w:tc>
      </w:tr>
      <w:tr w:rsidR="00FB67F9" w14:paraId="606F6885" w14:textId="77777777">
        <w:tc>
          <w:tcPr>
            <w:tcW w:w="0" w:type="auto"/>
            <w:shd w:val="clear" w:color="auto" w:fill="auto"/>
            <w:tcMar>
              <w:top w:w="40" w:type="dxa"/>
              <w:left w:w="40" w:type="dxa"/>
              <w:bottom w:w="40" w:type="dxa"/>
              <w:right w:w="40" w:type="dxa"/>
            </w:tcMar>
          </w:tcPr>
          <w:p w14:paraId="606F6883" w14:textId="77777777" w:rsidR="00FB67F9" w:rsidRDefault="00E839DF">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11"/>
            <w:shd w:val="clear" w:color="auto" w:fill="auto"/>
            <w:tcMar>
              <w:top w:w="40" w:type="dxa"/>
              <w:left w:w="40" w:type="dxa"/>
              <w:bottom w:w="40" w:type="dxa"/>
              <w:right w:w="40" w:type="dxa"/>
            </w:tcMar>
          </w:tcPr>
          <w:p w14:paraId="606F6884" w14:textId="77777777" w:rsidR="00FB67F9" w:rsidRDefault="00E839DF">
            <w:pPr>
              <w:textAlignment w:val="top"/>
              <w:rPr>
                <w:rFonts w:ascii="Times New Roman" w:hAnsi="Times New Roman"/>
                <w:sz w:val="14"/>
                <w:szCs w:val="14"/>
              </w:rPr>
            </w:pPr>
            <w:r>
              <w:rPr>
                <w:rFonts w:ascii="Arial" w:eastAsia="宋体" w:hAnsi="Arial" w:cs="Arial"/>
                <w:color w:val="000000"/>
                <w:sz w:val="14"/>
                <w:szCs w:val="14"/>
              </w:rPr>
              <w:t xml:space="preserve">whether the registrant is a large accelerated </w:t>
            </w:r>
            <w:r>
              <w:rPr>
                <w:rFonts w:ascii="Arial" w:eastAsia="宋体" w:hAnsi="Arial" w:cs="Arial"/>
                <w:color w:val="000000"/>
                <w:sz w:val="14"/>
                <w:szCs w:val="14"/>
              </w:rPr>
              <w:t>filer, an accelerated filer, a non-accelerated filer, a smaller reporting company, or an emerging growth company. See the definitions of “large accelerated filer,” “accelerated filer,” “smaller reporting company,” and “emerging growth company” in Rule 12b-</w:t>
            </w:r>
            <w:r>
              <w:rPr>
                <w:rFonts w:ascii="Arial" w:eastAsia="宋体" w:hAnsi="Arial" w:cs="Arial"/>
                <w:color w:val="000000"/>
                <w:sz w:val="14"/>
                <w:szCs w:val="14"/>
              </w:rPr>
              <w:t>2 of the Exchange Act.</w:t>
            </w:r>
          </w:p>
        </w:tc>
      </w:tr>
      <w:tr w:rsidR="00FB67F9" w14:paraId="606F6891" w14:textId="77777777">
        <w:tc>
          <w:tcPr>
            <w:tcW w:w="0" w:type="auto"/>
            <w:shd w:val="clear" w:color="auto" w:fill="auto"/>
            <w:tcMar>
              <w:top w:w="40" w:type="dxa"/>
              <w:left w:w="40" w:type="dxa"/>
              <w:bottom w:w="40" w:type="dxa"/>
              <w:right w:w="40" w:type="dxa"/>
            </w:tcMar>
            <w:vAlign w:val="bottom"/>
          </w:tcPr>
          <w:p w14:paraId="606F688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6887" w14:textId="77777777" w:rsidR="00FB67F9" w:rsidRDefault="00E839DF">
            <w:pPr>
              <w:jc w:val="center"/>
              <w:textAlignment w:val="bottom"/>
              <w:rPr>
                <w:rFonts w:ascii="Times New Roman" w:hAnsi="Times New Roman"/>
                <w:sz w:val="14"/>
                <w:szCs w:val="14"/>
              </w:rPr>
            </w:pPr>
            <w:r>
              <w:rPr>
                <w:rFonts w:ascii="Arial" w:eastAsia="宋体" w:hAnsi="Arial" w:cs="Arial"/>
                <w:color w:val="000000"/>
                <w:sz w:val="14"/>
                <w:szCs w:val="14"/>
              </w:rPr>
              <w:t>Large accelerated filer</w:t>
            </w:r>
          </w:p>
        </w:tc>
        <w:tc>
          <w:tcPr>
            <w:tcW w:w="0" w:type="auto"/>
            <w:shd w:val="clear" w:color="auto" w:fill="auto"/>
            <w:tcMar>
              <w:top w:w="40" w:type="dxa"/>
              <w:left w:w="40" w:type="dxa"/>
              <w:bottom w:w="40" w:type="dxa"/>
              <w:right w:w="40" w:type="dxa"/>
            </w:tcMar>
            <w:vAlign w:val="bottom"/>
          </w:tcPr>
          <w:p w14:paraId="606F6888" w14:textId="77777777" w:rsidR="00FB67F9" w:rsidRDefault="00E839DF">
            <w:pPr>
              <w:jc w:val="center"/>
              <w:textAlignment w:val="bottom"/>
              <w:rPr>
                <w:rFonts w:ascii="Times New Roman" w:hAnsi="Times New Roman"/>
                <w:sz w:val="14"/>
                <w:szCs w:val="14"/>
              </w:rPr>
            </w:pPr>
            <w:r>
              <w:rPr>
                <w:rFonts w:ascii="Wingdings" w:eastAsia="宋体" w:hAnsi="Wingdings" w:cs="Wingdings"/>
                <w:color w:val="000000"/>
                <w:sz w:val="14"/>
                <w:szCs w:val="14"/>
              </w:rPr>
              <w:t>þ</w:t>
            </w:r>
          </w:p>
        </w:tc>
        <w:tc>
          <w:tcPr>
            <w:tcW w:w="0" w:type="auto"/>
            <w:shd w:val="clear" w:color="auto" w:fill="auto"/>
            <w:tcMar>
              <w:top w:w="40" w:type="dxa"/>
              <w:left w:w="40" w:type="dxa"/>
              <w:bottom w:w="40" w:type="dxa"/>
              <w:right w:w="40" w:type="dxa"/>
            </w:tcMar>
            <w:vAlign w:val="bottom"/>
          </w:tcPr>
          <w:p w14:paraId="606F6889" w14:textId="77777777" w:rsidR="00FB67F9" w:rsidRDefault="00E839DF">
            <w:pPr>
              <w:jc w:val="right"/>
              <w:textAlignment w:val="bottom"/>
              <w:rPr>
                <w:rFonts w:ascii="Times New Roman" w:hAnsi="Times New Roman"/>
                <w:sz w:val="14"/>
                <w:szCs w:val="14"/>
              </w:rPr>
            </w:pPr>
            <w:r>
              <w:rPr>
                <w:rFonts w:ascii="Arial" w:eastAsia="宋体" w:hAnsi="Arial" w:cs="Arial"/>
                <w:color w:val="000000"/>
                <w:sz w:val="14"/>
                <w:szCs w:val="14"/>
              </w:rPr>
              <w:t>Accelerated filer</w:t>
            </w:r>
          </w:p>
        </w:tc>
        <w:tc>
          <w:tcPr>
            <w:tcW w:w="0" w:type="auto"/>
            <w:shd w:val="clear" w:color="auto" w:fill="auto"/>
            <w:tcMar>
              <w:top w:w="40" w:type="dxa"/>
              <w:left w:w="40" w:type="dxa"/>
              <w:bottom w:w="40" w:type="dxa"/>
              <w:right w:w="40" w:type="dxa"/>
            </w:tcMar>
            <w:vAlign w:val="bottom"/>
          </w:tcPr>
          <w:p w14:paraId="606F688A" w14:textId="77777777" w:rsidR="00FB67F9" w:rsidRDefault="00E839DF">
            <w:pPr>
              <w:jc w:val="center"/>
              <w:textAlignment w:val="bottom"/>
              <w:rPr>
                <w:rFonts w:ascii="Times New Roman" w:hAnsi="Times New Roman"/>
                <w:sz w:val="14"/>
                <w:szCs w:val="14"/>
              </w:rPr>
            </w:pPr>
            <w:r>
              <w:rPr>
                <w:rFonts w:ascii="Wingdings" w:eastAsia="宋体" w:hAnsi="Wingdings" w:cs="Wingdings"/>
                <w:color w:val="000000"/>
                <w:sz w:val="14"/>
                <w:szCs w:val="14"/>
              </w:rPr>
              <w:t>☐</w:t>
            </w:r>
          </w:p>
        </w:tc>
        <w:tc>
          <w:tcPr>
            <w:tcW w:w="0" w:type="auto"/>
            <w:shd w:val="clear" w:color="auto" w:fill="auto"/>
            <w:tcMar>
              <w:top w:w="40" w:type="dxa"/>
              <w:left w:w="40" w:type="dxa"/>
              <w:bottom w:w="40" w:type="dxa"/>
              <w:right w:w="40" w:type="dxa"/>
            </w:tcMar>
            <w:vAlign w:val="bottom"/>
          </w:tcPr>
          <w:p w14:paraId="606F688B" w14:textId="77777777" w:rsidR="00FB67F9" w:rsidRDefault="00E839DF">
            <w:pPr>
              <w:jc w:val="right"/>
              <w:textAlignment w:val="bottom"/>
              <w:rPr>
                <w:rFonts w:ascii="Times New Roman" w:hAnsi="Times New Roman"/>
                <w:sz w:val="14"/>
                <w:szCs w:val="14"/>
              </w:rPr>
            </w:pPr>
            <w:r>
              <w:rPr>
                <w:rFonts w:ascii="Arial" w:eastAsia="宋体" w:hAnsi="Arial" w:cs="Arial"/>
                <w:color w:val="000000"/>
                <w:sz w:val="14"/>
                <w:szCs w:val="14"/>
              </w:rPr>
              <w:t>Non-accelerated filer</w:t>
            </w:r>
          </w:p>
        </w:tc>
        <w:tc>
          <w:tcPr>
            <w:tcW w:w="0" w:type="auto"/>
            <w:shd w:val="clear" w:color="auto" w:fill="auto"/>
            <w:tcMar>
              <w:top w:w="40" w:type="dxa"/>
              <w:left w:w="40" w:type="dxa"/>
              <w:bottom w:w="40" w:type="dxa"/>
              <w:right w:w="40" w:type="dxa"/>
            </w:tcMar>
            <w:vAlign w:val="bottom"/>
          </w:tcPr>
          <w:p w14:paraId="606F688C" w14:textId="77777777" w:rsidR="00FB67F9" w:rsidRDefault="00E839DF">
            <w:pPr>
              <w:jc w:val="center"/>
              <w:textAlignment w:val="bottom"/>
              <w:rPr>
                <w:rFonts w:ascii="Times New Roman" w:hAnsi="Times New Roman"/>
                <w:sz w:val="14"/>
                <w:szCs w:val="14"/>
              </w:rPr>
            </w:pPr>
            <w:r>
              <w:rPr>
                <w:rFonts w:ascii="Wingdings" w:eastAsia="宋体" w:hAnsi="Wingdings" w:cs="Wingdings"/>
                <w:color w:val="000000"/>
                <w:sz w:val="14"/>
                <w:szCs w:val="14"/>
              </w:rPr>
              <w:t>☐</w:t>
            </w:r>
          </w:p>
        </w:tc>
        <w:tc>
          <w:tcPr>
            <w:tcW w:w="0" w:type="auto"/>
            <w:shd w:val="clear" w:color="auto" w:fill="auto"/>
            <w:tcMar>
              <w:top w:w="40" w:type="dxa"/>
              <w:left w:w="40" w:type="dxa"/>
              <w:bottom w:w="40" w:type="dxa"/>
              <w:right w:w="40" w:type="dxa"/>
            </w:tcMar>
            <w:vAlign w:val="bottom"/>
          </w:tcPr>
          <w:p w14:paraId="606F688D" w14:textId="77777777" w:rsidR="00FB67F9" w:rsidRDefault="00E839DF">
            <w:pPr>
              <w:jc w:val="right"/>
              <w:textAlignment w:val="bottom"/>
              <w:rPr>
                <w:rFonts w:ascii="Times New Roman" w:hAnsi="Times New Roman"/>
                <w:sz w:val="14"/>
                <w:szCs w:val="14"/>
              </w:rPr>
            </w:pPr>
            <w:r>
              <w:rPr>
                <w:rFonts w:ascii="Arial" w:eastAsia="宋体" w:hAnsi="Arial" w:cs="Arial"/>
                <w:color w:val="000000"/>
                <w:sz w:val="14"/>
                <w:szCs w:val="14"/>
              </w:rPr>
              <w:t>Smaller reporting company</w:t>
            </w:r>
          </w:p>
        </w:tc>
        <w:tc>
          <w:tcPr>
            <w:tcW w:w="0" w:type="auto"/>
            <w:tcBorders>
              <w:bottom w:val="single" w:sz="8" w:space="0" w:color="808080"/>
            </w:tcBorders>
            <w:shd w:val="clear" w:color="auto" w:fill="auto"/>
            <w:tcMar>
              <w:top w:w="40" w:type="dxa"/>
              <w:left w:w="40" w:type="dxa"/>
              <w:bottom w:w="40" w:type="dxa"/>
              <w:right w:w="40" w:type="dxa"/>
            </w:tcMar>
            <w:vAlign w:val="bottom"/>
          </w:tcPr>
          <w:p w14:paraId="606F688E" w14:textId="77777777" w:rsidR="00FB67F9" w:rsidRDefault="00E839DF">
            <w:pPr>
              <w:jc w:val="center"/>
              <w:textAlignment w:val="bottom"/>
              <w:rPr>
                <w:rFonts w:ascii="Times New Roman" w:hAnsi="Times New Roman"/>
                <w:sz w:val="14"/>
                <w:szCs w:val="14"/>
              </w:rPr>
            </w:pPr>
            <w:r>
              <w:rPr>
                <w:rFonts w:ascii="Wingdings" w:eastAsia="宋体" w:hAnsi="Wingdings" w:cs="Wingdings"/>
                <w:color w:val="000000"/>
                <w:sz w:val="14"/>
                <w:szCs w:val="14"/>
              </w:rPr>
              <w:t>☐</w:t>
            </w:r>
          </w:p>
        </w:tc>
        <w:tc>
          <w:tcPr>
            <w:tcW w:w="0" w:type="auto"/>
            <w:gridSpan w:val="2"/>
            <w:shd w:val="clear" w:color="auto" w:fill="auto"/>
            <w:tcMar>
              <w:top w:w="40" w:type="dxa"/>
              <w:left w:w="40" w:type="dxa"/>
              <w:bottom w:w="40" w:type="dxa"/>
              <w:right w:w="40" w:type="dxa"/>
            </w:tcMar>
            <w:vAlign w:val="bottom"/>
          </w:tcPr>
          <w:p w14:paraId="606F688F" w14:textId="77777777" w:rsidR="00FB67F9" w:rsidRDefault="00E839DF">
            <w:pPr>
              <w:jc w:val="right"/>
              <w:textAlignment w:val="bottom"/>
              <w:rPr>
                <w:rFonts w:ascii="Times New Roman" w:hAnsi="Times New Roman"/>
                <w:sz w:val="14"/>
                <w:szCs w:val="14"/>
              </w:rPr>
            </w:pPr>
            <w:r>
              <w:rPr>
                <w:rFonts w:ascii="Arial" w:eastAsia="宋体" w:hAnsi="Arial" w:cs="Arial"/>
                <w:color w:val="000000"/>
                <w:sz w:val="14"/>
                <w:szCs w:val="14"/>
              </w:rPr>
              <w:t>Emerging growth company</w:t>
            </w:r>
          </w:p>
        </w:tc>
        <w:tc>
          <w:tcPr>
            <w:tcW w:w="0" w:type="auto"/>
            <w:tcBorders>
              <w:bottom w:val="single" w:sz="8" w:space="0" w:color="808080"/>
            </w:tcBorders>
            <w:shd w:val="clear" w:color="auto" w:fill="auto"/>
            <w:tcMar>
              <w:top w:w="40" w:type="dxa"/>
              <w:left w:w="40" w:type="dxa"/>
              <w:bottom w:w="40" w:type="dxa"/>
              <w:right w:w="40" w:type="dxa"/>
            </w:tcMar>
            <w:vAlign w:val="bottom"/>
          </w:tcPr>
          <w:p w14:paraId="606F6890" w14:textId="77777777" w:rsidR="00FB67F9" w:rsidRDefault="00E839DF">
            <w:pPr>
              <w:jc w:val="center"/>
              <w:textAlignment w:val="bottom"/>
              <w:rPr>
                <w:rFonts w:ascii="Times New Roman" w:hAnsi="Times New Roman"/>
                <w:sz w:val="14"/>
                <w:szCs w:val="14"/>
              </w:rPr>
            </w:pPr>
            <w:r>
              <w:rPr>
                <w:rFonts w:ascii="Wingdings" w:eastAsia="宋体" w:hAnsi="Wingdings" w:cs="Wingdings"/>
                <w:color w:val="000000"/>
                <w:sz w:val="14"/>
                <w:szCs w:val="14"/>
              </w:rPr>
              <w:t>☐</w:t>
            </w:r>
          </w:p>
        </w:tc>
      </w:tr>
      <w:tr w:rsidR="00FB67F9" w14:paraId="606F689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6892" w14:textId="77777777" w:rsidR="00FB67F9" w:rsidRDefault="00E839DF">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808080"/>
              <w:bottom w:val="single" w:sz="8" w:space="0" w:color="808080"/>
            </w:tcBorders>
            <w:shd w:val="clear" w:color="auto" w:fill="auto"/>
            <w:tcMar>
              <w:top w:w="40" w:type="dxa"/>
              <w:left w:w="40" w:type="dxa"/>
              <w:bottom w:w="40" w:type="dxa"/>
              <w:right w:w="40" w:type="dxa"/>
            </w:tcMar>
          </w:tcPr>
          <w:p w14:paraId="606F6893" w14:textId="77777777" w:rsidR="00FB67F9" w:rsidRDefault="00E839DF">
            <w:pPr>
              <w:textAlignment w:val="top"/>
              <w:rPr>
                <w:rFonts w:ascii="Times New Roman" w:hAnsi="Times New Roman"/>
                <w:sz w:val="14"/>
                <w:szCs w:val="14"/>
              </w:rPr>
            </w:pPr>
            <w:r>
              <w:rPr>
                <w:rFonts w:ascii="Arial" w:eastAsia="宋体" w:hAnsi="Arial" w:cs="Arial"/>
                <w:color w:val="000000"/>
                <w:sz w:val="14"/>
                <w:szCs w:val="14"/>
              </w:rPr>
              <w:t xml:space="preserve">if an emerging growth company, if the registrant has elected not to use the extended </w:t>
            </w:r>
            <w:r>
              <w:rPr>
                <w:rFonts w:ascii="Arial" w:eastAsia="宋体" w:hAnsi="Arial" w:cs="Arial"/>
                <w:color w:val="000000"/>
                <w:sz w:val="14"/>
                <w:szCs w:val="14"/>
              </w:rPr>
              <w:t>transition period for complying with any new or revised financial accounting standards provided pursuant to Section 13(a) of the Exchange Act.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9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tcPr>
          <w:p w14:paraId="606F6895" w14:textId="77777777" w:rsidR="00FB67F9" w:rsidRDefault="00E839DF">
            <w:pPr>
              <w:jc w:val="center"/>
              <w:textAlignment w:val="top"/>
              <w:rPr>
                <w:rFonts w:ascii="Times New Roman" w:hAnsi="Times New Roman"/>
                <w:sz w:val="14"/>
                <w:szCs w:val="14"/>
              </w:rPr>
            </w:pPr>
            <w:r>
              <w:rPr>
                <w:rFonts w:ascii="Wingdings" w:eastAsia="宋体" w:hAnsi="Wingdings" w:cs="Wingdings"/>
                <w:color w:val="000000"/>
                <w:sz w:val="14"/>
                <w:szCs w:val="14"/>
              </w:rPr>
              <w:t>☐</w:t>
            </w:r>
          </w:p>
        </w:tc>
      </w:tr>
      <w:tr w:rsidR="00FB67F9" w14:paraId="606F689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897" w14:textId="77777777" w:rsidR="00FB67F9" w:rsidRDefault="00E839DF">
            <w:pPr>
              <w:jc w:val="center"/>
              <w:textAlignment w:val="bottom"/>
              <w:rPr>
                <w:rFonts w:ascii="Times New Roman" w:hAnsi="Times New Roman"/>
                <w:sz w:val="16"/>
                <w:szCs w:val="16"/>
              </w:rPr>
            </w:pPr>
            <w:r>
              <w:rPr>
                <w:rFonts w:ascii="Arial" w:eastAsia="宋体" w:hAnsi="Arial" w:cs="Arial"/>
                <w:color w:val="E87722"/>
                <w:sz w:val="16"/>
                <w:szCs w:val="16"/>
              </w:rPr>
              <w:t>•</w:t>
            </w:r>
          </w:p>
        </w:tc>
        <w:tc>
          <w:tcPr>
            <w:tcW w:w="0" w:type="auto"/>
            <w:gridSpan w:val="7"/>
            <w:tcBorders>
              <w:bottom w:val="single" w:sz="8" w:space="0" w:color="E87722"/>
            </w:tcBorders>
            <w:shd w:val="clear" w:color="auto" w:fill="auto"/>
            <w:tcMar>
              <w:top w:w="40" w:type="dxa"/>
              <w:left w:w="40" w:type="dxa"/>
              <w:bottom w:w="40" w:type="dxa"/>
              <w:right w:w="40" w:type="dxa"/>
            </w:tcMar>
            <w:vAlign w:val="bottom"/>
          </w:tcPr>
          <w:p w14:paraId="606F6898" w14:textId="77777777" w:rsidR="00FB67F9" w:rsidRDefault="00E839DF">
            <w:pPr>
              <w:textAlignment w:val="bottom"/>
              <w:rPr>
                <w:rFonts w:ascii="Times New Roman" w:hAnsi="Times New Roman"/>
                <w:sz w:val="14"/>
                <w:szCs w:val="14"/>
              </w:rPr>
            </w:pPr>
            <w:r>
              <w:rPr>
                <w:rFonts w:ascii="Arial" w:eastAsia="宋体" w:hAnsi="Arial" w:cs="Arial"/>
                <w:color w:val="000000"/>
                <w:sz w:val="14"/>
                <w:szCs w:val="14"/>
              </w:rPr>
              <w:t>whether the registrant is a shell company (as defined in Rule 12b-2 of the Act).</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89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89A" w14:textId="77777777" w:rsidR="00FB67F9" w:rsidRDefault="00E839DF">
            <w:pPr>
              <w:jc w:val="center"/>
              <w:textAlignment w:val="bottom"/>
              <w:rPr>
                <w:rFonts w:ascii="Times New Roman" w:hAnsi="Times New Roman"/>
                <w:sz w:val="14"/>
                <w:szCs w:val="14"/>
              </w:rPr>
            </w:pPr>
            <w:r>
              <w:rPr>
                <w:rFonts w:ascii="Wingdings" w:eastAsia="宋体" w:hAnsi="Wingdings" w:cs="Wingdings"/>
                <w:color w:val="000000"/>
                <w:sz w:val="14"/>
                <w:szCs w:val="14"/>
              </w:rPr>
              <w:t>☐</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689B" w14:textId="77777777" w:rsidR="00FB67F9" w:rsidRDefault="00E839DF">
            <w:pPr>
              <w:jc w:val="center"/>
              <w:textAlignment w:val="bottom"/>
              <w:rPr>
                <w:rFonts w:ascii="Times New Roman" w:hAnsi="Times New Roman"/>
                <w:sz w:val="14"/>
                <w:szCs w:val="14"/>
              </w:rPr>
            </w:pPr>
            <w:r>
              <w:rPr>
                <w:rFonts w:ascii="Wingdings" w:eastAsia="宋体" w:hAnsi="Wingdings" w:cs="Wingdings"/>
                <w:color w:val="000000"/>
                <w:sz w:val="14"/>
                <w:szCs w:val="14"/>
              </w:rPr>
              <w:t>þ</w:t>
            </w:r>
          </w:p>
        </w:tc>
      </w:tr>
    </w:tbl>
    <w:p w14:paraId="606F689D"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6894"/>
        <w:gridCol w:w="1329"/>
        <w:gridCol w:w="83"/>
      </w:tblGrid>
      <w:tr w:rsidR="00FB67F9" w14:paraId="606F689F" w14:textId="77777777">
        <w:tc>
          <w:tcPr>
            <w:tcW w:w="0" w:type="auto"/>
            <w:gridSpan w:val="3"/>
            <w:shd w:val="clear" w:color="auto" w:fill="auto"/>
            <w:vAlign w:val="center"/>
          </w:tcPr>
          <w:p w14:paraId="606F689E" w14:textId="77777777" w:rsidR="00FB67F9" w:rsidRDefault="00FB67F9">
            <w:pPr>
              <w:rPr>
                <w:rFonts w:ascii="Times New Roman" w:hAnsi="Times New Roman"/>
                <w:sz w:val="20"/>
                <w:szCs w:val="20"/>
              </w:rPr>
            </w:pPr>
          </w:p>
        </w:tc>
      </w:tr>
      <w:tr w:rsidR="00FB67F9" w14:paraId="606F68A3" w14:textId="77777777">
        <w:tc>
          <w:tcPr>
            <w:tcW w:w="4150" w:type="pct"/>
            <w:shd w:val="clear" w:color="auto" w:fill="auto"/>
            <w:vAlign w:val="center"/>
          </w:tcPr>
          <w:p w14:paraId="606F68A0" w14:textId="77777777" w:rsidR="00FB67F9" w:rsidRDefault="00FB67F9">
            <w:pPr>
              <w:rPr>
                <w:rFonts w:ascii="Times New Roman" w:hAnsi="Times New Roman"/>
                <w:sz w:val="20"/>
                <w:szCs w:val="20"/>
              </w:rPr>
            </w:pPr>
          </w:p>
        </w:tc>
        <w:tc>
          <w:tcPr>
            <w:tcW w:w="800" w:type="pct"/>
            <w:shd w:val="clear" w:color="auto" w:fill="auto"/>
            <w:vAlign w:val="center"/>
          </w:tcPr>
          <w:p w14:paraId="606F68A1" w14:textId="77777777" w:rsidR="00FB67F9" w:rsidRDefault="00FB67F9">
            <w:pPr>
              <w:rPr>
                <w:rFonts w:ascii="Times New Roman" w:hAnsi="Times New Roman"/>
                <w:sz w:val="20"/>
                <w:szCs w:val="20"/>
              </w:rPr>
            </w:pPr>
          </w:p>
        </w:tc>
        <w:tc>
          <w:tcPr>
            <w:tcW w:w="50" w:type="pct"/>
            <w:shd w:val="clear" w:color="auto" w:fill="auto"/>
            <w:vAlign w:val="center"/>
          </w:tcPr>
          <w:p w14:paraId="606F68A2" w14:textId="77777777" w:rsidR="00FB67F9" w:rsidRDefault="00FB67F9">
            <w:pPr>
              <w:rPr>
                <w:rFonts w:ascii="Times New Roman" w:hAnsi="Times New Roman"/>
                <w:sz w:val="20"/>
                <w:szCs w:val="20"/>
              </w:rPr>
            </w:pPr>
          </w:p>
        </w:tc>
      </w:tr>
      <w:tr w:rsidR="00FB67F9" w14:paraId="606F68A5" w14:textId="77777777">
        <w:tc>
          <w:tcPr>
            <w:tcW w:w="0" w:type="auto"/>
            <w:gridSpan w:val="3"/>
            <w:shd w:val="clear" w:color="auto" w:fill="auto"/>
            <w:tcMar>
              <w:top w:w="40" w:type="dxa"/>
              <w:left w:w="40" w:type="dxa"/>
              <w:bottom w:w="40" w:type="dxa"/>
              <w:right w:w="40" w:type="dxa"/>
            </w:tcMar>
          </w:tcPr>
          <w:p w14:paraId="606F68A4" w14:textId="77777777" w:rsidR="00FB67F9" w:rsidRDefault="00E839DF">
            <w:pPr>
              <w:textAlignment w:val="top"/>
              <w:rPr>
                <w:rFonts w:ascii="Times New Roman" w:hAnsi="Times New Roman"/>
                <w:sz w:val="14"/>
                <w:szCs w:val="14"/>
              </w:rPr>
            </w:pPr>
            <w:r>
              <w:rPr>
                <w:rFonts w:ascii="Arial" w:eastAsia="宋体" w:hAnsi="Arial" w:cs="Arial"/>
                <w:color w:val="000000"/>
                <w:sz w:val="14"/>
                <w:szCs w:val="14"/>
              </w:rPr>
              <w:t xml:space="preserve">As of </w:t>
            </w:r>
            <w:r>
              <w:rPr>
                <w:rFonts w:ascii="Arial" w:eastAsia="宋体" w:hAnsi="Arial" w:cs="Arial"/>
                <w:color w:val="000000"/>
                <w:sz w:val="14"/>
                <w:szCs w:val="14"/>
              </w:rPr>
              <w:t>January 2, 2020, the number of shares of the Registrant's Common Stock outstanding were:</w:t>
            </w:r>
          </w:p>
        </w:tc>
      </w:tr>
      <w:tr w:rsidR="00FB67F9" w14:paraId="606F68A9" w14:textId="77777777">
        <w:tc>
          <w:tcPr>
            <w:tcW w:w="0" w:type="auto"/>
            <w:tcBorders>
              <w:top w:val="single" w:sz="8" w:space="0" w:color="E87722"/>
            </w:tcBorders>
            <w:shd w:val="clear" w:color="auto" w:fill="auto"/>
            <w:tcMar>
              <w:top w:w="40" w:type="dxa"/>
              <w:left w:w="40" w:type="dxa"/>
              <w:bottom w:w="40" w:type="dxa"/>
              <w:right w:w="40" w:type="dxa"/>
            </w:tcMar>
          </w:tcPr>
          <w:p w14:paraId="606F68A6" w14:textId="77777777" w:rsidR="00FB67F9" w:rsidRDefault="00E839DF">
            <w:pPr>
              <w:textAlignment w:val="top"/>
              <w:rPr>
                <w:rFonts w:ascii="Times New Roman" w:hAnsi="Times New Roman"/>
                <w:sz w:val="14"/>
                <w:szCs w:val="14"/>
              </w:rPr>
            </w:pPr>
            <w:r>
              <w:rPr>
                <w:rFonts w:ascii="Arial" w:eastAsia="宋体" w:hAnsi="Arial" w:cs="Arial"/>
                <w:color w:val="000000"/>
                <w:sz w:val="14"/>
                <w:szCs w:val="14"/>
              </w:rPr>
              <w:t>Class A</w:t>
            </w:r>
          </w:p>
        </w:tc>
        <w:tc>
          <w:tcPr>
            <w:tcW w:w="0" w:type="auto"/>
            <w:tcBorders>
              <w:top w:val="single" w:sz="8" w:space="0" w:color="E87722"/>
            </w:tcBorders>
            <w:shd w:val="clear" w:color="auto" w:fill="auto"/>
            <w:tcMar>
              <w:top w:w="40" w:type="dxa"/>
              <w:left w:w="40" w:type="dxa"/>
              <w:bottom w:w="40" w:type="dxa"/>
            </w:tcMar>
            <w:vAlign w:val="bottom"/>
          </w:tcPr>
          <w:p w14:paraId="606F68A7" w14:textId="77777777" w:rsidR="00FB67F9" w:rsidRDefault="00E839DF">
            <w:pPr>
              <w:jc w:val="right"/>
              <w:textAlignment w:val="bottom"/>
              <w:rPr>
                <w:rFonts w:ascii="Times New Roman" w:hAnsi="Times New Roman"/>
                <w:sz w:val="14"/>
                <w:szCs w:val="14"/>
              </w:rPr>
            </w:pPr>
            <w:r>
              <w:rPr>
                <w:rFonts w:ascii="Arial" w:eastAsia="宋体" w:hAnsi="Arial" w:cs="Arial"/>
                <w:color w:val="000000"/>
                <w:sz w:val="14"/>
                <w:szCs w:val="14"/>
              </w:rPr>
              <w:t>315,017,252</w:t>
            </w:r>
          </w:p>
        </w:tc>
        <w:tc>
          <w:tcPr>
            <w:tcW w:w="0" w:type="auto"/>
            <w:tcBorders>
              <w:top w:val="single" w:sz="8" w:space="0" w:color="E87722"/>
            </w:tcBorders>
            <w:shd w:val="clear" w:color="auto" w:fill="auto"/>
            <w:vAlign w:val="bottom"/>
          </w:tcPr>
          <w:p w14:paraId="606F68A8" w14:textId="77777777" w:rsidR="00FB67F9" w:rsidRDefault="00FB67F9">
            <w:pPr>
              <w:textAlignment w:val="bottom"/>
              <w:rPr>
                <w:rFonts w:ascii="Times New Roman" w:hAnsi="Times New Roman"/>
                <w:sz w:val="20"/>
                <w:szCs w:val="20"/>
              </w:rPr>
            </w:pPr>
          </w:p>
        </w:tc>
      </w:tr>
      <w:tr w:rsidR="00FB67F9" w14:paraId="606F68AD"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tcPr>
          <w:p w14:paraId="606F68AA" w14:textId="77777777" w:rsidR="00FB67F9" w:rsidRDefault="00E839DF">
            <w:pPr>
              <w:textAlignment w:val="top"/>
              <w:rPr>
                <w:rFonts w:ascii="Times New Roman" w:hAnsi="Times New Roman"/>
                <w:sz w:val="14"/>
                <w:szCs w:val="14"/>
              </w:rPr>
            </w:pPr>
            <w:r>
              <w:rPr>
                <w:rFonts w:ascii="Arial" w:eastAsia="宋体" w:hAnsi="Arial" w:cs="Arial"/>
                <w:color w:val="000000"/>
                <w:sz w:val="14"/>
                <w:szCs w:val="14"/>
              </w:rPr>
              <w:t>Class B</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68AB" w14:textId="77777777" w:rsidR="00FB67F9" w:rsidRDefault="00E839DF">
            <w:pPr>
              <w:jc w:val="right"/>
              <w:textAlignment w:val="bottom"/>
              <w:rPr>
                <w:rFonts w:ascii="Times New Roman" w:hAnsi="Times New Roman"/>
                <w:sz w:val="14"/>
                <w:szCs w:val="14"/>
              </w:rPr>
            </w:pPr>
            <w:r>
              <w:rPr>
                <w:rFonts w:ascii="Arial" w:eastAsia="宋体" w:hAnsi="Arial" w:cs="Arial"/>
                <w:color w:val="000000"/>
                <w:sz w:val="14"/>
                <w:szCs w:val="14"/>
              </w:rPr>
              <w:t>1,242,355,516</w:t>
            </w:r>
          </w:p>
        </w:tc>
        <w:tc>
          <w:tcPr>
            <w:tcW w:w="0" w:type="auto"/>
            <w:tcBorders>
              <w:top w:val="single" w:sz="8" w:space="0" w:color="808080"/>
              <w:bottom w:val="single" w:sz="8" w:space="0" w:color="E87722"/>
            </w:tcBorders>
            <w:shd w:val="clear" w:color="auto" w:fill="auto"/>
            <w:vAlign w:val="bottom"/>
          </w:tcPr>
          <w:p w14:paraId="606F68AC" w14:textId="77777777" w:rsidR="00FB67F9" w:rsidRDefault="00FB67F9">
            <w:pPr>
              <w:textAlignment w:val="bottom"/>
              <w:rPr>
                <w:rFonts w:ascii="Times New Roman" w:hAnsi="Times New Roman"/>
                <w:sz w:val="20"/>
                <w:szCs w:val="20"/>
              </w:rPr>
            </w:pPr>
          </w:p>
        </w:tc>
      </w:tr>
      <w:tr w:rsidR="00FB67F9" w14:paraId="606F68B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8A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tcBorders>
              <w:bottom w:val="single" w:sz="8" w:space="0" w:color="E87722"/>
            </w:tcBorders>
            <w:shd w:val="clear" w:color="auto" w:fill="auto"/>
            <w:tcMar>
              <w:top w:w="40" w:type="dxa"/>
              <w:left w:w="40" w:type="dxa"/>
              <w:bottom w:w="40" w:type="dxa"/>
            </w:tcMar>
            <w:vAlign w:val="bottom"/>
          </w:tcPr>
          <w:p w14:paraId="606F68AF" w14:textId="77777777" w:rsidR="00FB67F9" w:rsidRDefault="00E839DF">
            <w:pPr>
              <w:jc w:val="right"/>
              <w:textAlignment w:val="bottom"/>
              <w:rPr>
                <w:rFonts w:ascii="Times New Roman" w:hAnsi="Times New Roman"/>
                <w:sz w:val="14"/>
                <w:szCs w:val="14"/>
              </w:rPr>
            </w:pPr>
            <w:r>
              <w:rPr>
                <w:rFonts w:ascii="Arial" w:eastAsia="宋体" w:hAnsi="Arial" w:cs="Arial"/>
                <w:color w:val="000000"/>
                <w:sz w:val="14"/>
                <w:szCs w:val="14"/>
              </w:rPr>
              <w:t>1,557,372,768</w:t>
            </w:r>
          </w:p>
        </w:tc>
        <w:tc>
          <w:tcPr>
            <w:tcW w:w="0" w:type="auto"/>
            <w:tcBorders>
              <w:bottom w:val="single" w:sz="8" w:space="0" w:color="E87722"/>
            </w:tcBorders>
            <w:shd w:val="clear" w:color="auto" w:fill="auto"/>
            <w:vAlign w:val="bottom"/>
          </w:tcPr>
          <w:p w14:paraId="606F68B0" w14:textId="77777777" w:rsidR="00FB67F9" w:rsidRDefault="00FB67F9">
            <w:pPr>
              <w:textAlignment w:val="bottom"/>
              <w:rPr>
                <w:rFonts w:ascii="Times New Roman" w:hAnsi="Times New Roman"/>
                <w:sz w:val="20"/>
                <w:szCs w:val="20"/>
              </w:rPr>
            </w:pPr>
          </w:p>
        </w:tc>
      </w:tr>
    </w:tbl>
    <w:p w14:paraId="606F68B2" w14:textId="77777777" w:rsidR="00FB67F9" w:rsidRDefault="00FB67F9">
      <w:pPr>
        <w:rPr>
          <w:rFonts w:ascii="Times New Roman" w:hAnsi="Times New Roman"/>
          <w:sz w:val="20"/>
          <w:szCs w:val="20"/>
        </w:rPr>
      </w:pPr>
    </w:p>
    <w:p w14:paraId="606F68B3" w14:textId="77777777" w:rsidR="00FB67F9" w:rsidRDefault="00E839DF">
      <w:r>
        <w:rPr>
          <w:rFonts w:ascii="Times New Roman" w:hAnsi="Times New Roman"/>
          <w:sz w:val="20"/>
          <w:szCs w:val="20"/>
        </w:rPr>
        <w:pict w14:anchorId="606F8F7C">
          <v:rect id="_x0000_i1025" style="width:415.3pt;height:1.5pt" o:hralign="center" o:hrstd="t" o:hr="t" fillcolor="#a0a0a0" stroked="f"/>
        </w:pict>
      </w:r>
    </w:p>
    <w:p w14:paraId="606F68B4" w14:textId="77777777" w:rsidR="00FB67F9" w:rsidRDefault="00FB67F9">
      <w:pPr>
        <w:rPr>
          <w:rFonts w:ascii="Times New Roman" w:hAnsi="Times New Roman"/>
          <w:sz w:val="17"/>
          <w:szCs w:val="17"/>
        </w:rPr>
      </w:pPr>
    </w:p>
    <w:p w14:paraId="606F68B5" w14:textId="77777777" w:rsidR="00FB67F9" w:rsidRDefault="00E839DF">
      <w:pPr>
        <w:rPr>
          <w:rFonts w:ascii="Times New Roman" w:hAnsi="Times New Roman"/>
          <w:sz w:val="17"/>
          <w:szCs w:val="17"/>
        </w:rPr>
      </w:pPr>
      <w:hyperlink r:id="rId7" w:anchor="s42C493F7582652B69E70047AB812E6A5" w:history="1">
        <w:r>
          <w:rPr>
            <w:rStyle w:val="a5"/>
            <w:rFonts w:ascii="sans-serif" w:eastAsia="sans-serif" w:hAnsi="sans-serif" w:cs="sans-serif"/>
            <w:sz w:val="17"/>
            <w:szCs w:val="17"/>
          </w:rPr>
          <w:t>Table of Contents</w:t>
        </w:r>
      </w:hyperlink>
    </w:p>
    <w:p w14:paraId="606F68B6" w14:textId="77777777" w:rsidR="00FB67F9" w:rsidRDefault="00FB67F9">
      <w:pPr>
        <w:rPr>
          <w:rFonts w:ascii="Times New Roman" w:hAnsi="Times New Roman"/>
          <w:sz w:val="17"/>
          <w:szCs w:val="17"/>
        </w:rPr>
      </w:pPr>
    </w:p>
    <w:p w14:paraId="606F68B7" w14:textId="77777777" w:rsidR="00FB67F9" w:rsidRDefault="00FB67F9">
      <w:pPr>
        <w:rPr>
          <w:rFonts w:ascii="Times New Roman" w:hAnsi="Times New Roman"/>
          <w:sz w:val="20"/>
          <w:szCs w:val="20"/>
        </w:rPr>
      </w:pPr>
    </w:p>
    <w:p w14:paraId="606F68B8"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NIKE, INC.</w:t>
      </w:r>
    </w:p>
    <w:p w14:paraId="606F68B9"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FORM 10-Q</w:t>
      </w:r>
    </w:p>
    <w:p w14:paraId="606F68BA"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TABLE OF CONTENTS</w:t>
      </w:r>
    </w:p>
    <w:tbl>
      <w:tblPr>
        <w:tblW w:w="5000" w:type="pct"/>
        <w:tblCellMar>
          <w:left w:w="0" w:type="dxa"/>
          <w:right w:w="0" w:type="dxa"/>
        </w:tblCellMar>
        <w:tblLook w:val="04A0" w:firstRow="1" w:lastRow="0" w:firstColumn="1" w:lastColumn="0" w:noHBand="0" w:noVBand="1"/>
      </w:tblPr>
      <w:tblGrid>
        <w:gridCol w:w="711"/>
        <w:gridCol w:w="7107"/>
        <w:gridCol w:w="488"/>
      </w:tblGrid>
      <w:tr w:rsidR="00FB67F9" w14:paraId="606F68BC" w14:textId="77777777">
        <w:tc>
          <w:tcPr>
            <w:tcW w:w="0" w:type="auto"/>
            <w:gridSpan w:val="3"/>
            <w:shd w:val="clear" w:color="auto" w:fill="auto"/>
            <w:vAlign w:val="center"/>
          </w:tcPr>
          <w:p w14:paraId="606F68BB" w14:textId="77777777" w:rsidR="00FB67F9" w:rsidRDefault="00FB67F9">
            <w:pPr>
              <w:rPr>
                <w:rFonts w:ascii="Times New Roman" w:hAnsi="Times New Roman"/>
                <w:sz w:val="20"/>
                <w:szCs w:val="20"/>
              </w:rPr>
            </w:pPr>
          </w:p>
        </w:tc>
      </w:tr>
      <w:tr w:rsidR="00FB67F9" w14:paraId="606F68C0" w14:textId="77777777">
        <w:tc>
          <w:tcPr>
            <w:tcW w:w="450" w:type="pct"/>
            <w:shd w:val="clear" w:color="auto" w:fill="auto"/>
            <w:vAlign w:val="center"/>
          </w:tcPr>
          <w:p w14:paraId="606F68BD" w14:textId="77777777" w:rsidR="00FB67F9" w:rsidRDefault="00FB67F9">
            <w:pPr>
              <w:rPr>
                <w:rFonts w:ascii="Times New Roman" w:hAnsi="Times New Roman"/>
                <w:sz w:val="20"/>
                <w:szCs w:val="20"/>
              </w:rPr>
            </w:pPr>
          </w:p>
        </w:tc>
        <w:tc>
          <w:tcPr>
            <w:tcW w:w="4300" w:type="pct"/>
            <w:shd w:val="clear" w:color="auto" w:fill="auto"/>
            <w:vAlign w:val="center"/>
          </w:tcPr>
          <w:p w14:paraId="606F68BE" w14:textId="77777777" w:rsidR="00FB67F9" w:rsidRDefault="00FB67F9">
            <w:pPr>
              <w:rPr>
                <w:rFonts w:ascii="Times New Roman" w:hAnsi="Times New Roman"/>
                <w:sz w:val="20"/>
                <w:szCs w:val="20"/>
              </w:rPr>
            </w:pPr>
          </w:p>
        </w:tc>
        <w:tc>
          <w:tcPr>
            <w:tcW w:w="250" w:type="pct"/>
            <w:shd w:val="clear" w:color="auto" w:fill="auto"/>
            <w:vAlign w:val="center"/>
          </w:tcPr>
          <w:p w14:paraId="606F68BF" w14:textId="77777777" w:rsidR="00FB67F9" w:rsidRDefault="00FB67F9">
            <w:pPr>
              <w:rPr>
                <w:rFonts w:ascii="Times New Roman" w:hAnsi="Times New Roman"/>
                <w:sz w:val="20"/>
                <w:szCs w:val="20"/>
              </w:rPr>
            </w:pPr>
          </w:p>
        </w:tc>
      </w:tr>
      <w:tr w:rsidR="00FB67F9" w14:paraId="606F68C4" w14:textId="77777777">
        <w:tc>
          <w:tcPr>
            <w:tcW w:w="0" w:type="auto"/>
            <w:shd w:val="clear" w:color="auto" w:fill="auto"/>
            <w:tcMar>
              <w:top w:w="40" w:type="dxa"/>
              <w:left w:w="40" w:type="dxa"/>
              <w:bottom w:w="40" w:type="dxa"/>
              <w:right w:w="40" w:type="dxa"/>
            </w:tcMar>
            <w:vAlign w:val="bottom"/>
          </w:tcPr>
          <w:p w14:paraId="606F68C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68C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06F68C3" w14:textId="77777777" w:rsidR="00FB67F9" w:rsidRDefault="00E839DF">
            <w:pPr>
              <w:jc w:val="right"/>
              <w:textAlignment w:val="top"/>
              <w:rPr>
                <w:rFonts w:ascii="Times New Roman" w:hAnsi="Times New Roman"/>
                <w:sz w:val="18"/>
                <w:szCs w:val="18"/>
              </w:rPr>
            </w:pPr>
            <w:r>
              <w:rPr>
                <w:rFonts w:ascii="sans-serif" w:eastAsia="sans-serif" w:hAnsi="sans-serif" w:cs="sans-serif"/>
                <w:b/>
                <w:bCs/>
                <w:sz w:val="18"/>
                <w:szCs w:val="18"/>
              </w:rPr>
              <w:t>PAGE</w:t>
            </w:r>
          </w:p>
        </w:tc>
      </w:tr>
      <w:tr w:rsidR="00FB67F9" w14:paraId="606F68C7" w14:textId="77777777">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68C5" w14:textId="77777777" w:rsidR="00FB67F9" w:rsidRDefault="00E839DF">
            <w:pPr>
              <w:textAlignment w:val="bottom"/>
              <w:rPr>
                <w:rFonts w:ascii="Times New Roman" w:hAnsi="Times New Roman"/>
              </w:rPr>
            </w:pPr>
            <w:hyperlink r:id="rId8" w:anchor="s786F31EC4D5350918B3C5BC1AD56C815" w:history="1">
              <w:r>
                <w:rPr>
                  <w:rStyle w:val="a5"/>
                  <w:rFonts w:ascii="sans-serif" w:eastAsia="sans-serif" w:hAnsi="sans-serif" w:cs="sans-serif"/>
                  <w:color w:val="E87722"/>
                  <w:u w:val="none"/>
                </w:rPr>
                <w:t>PART I</w:t>
              </w:r>
            </w:hyperlink>
            <w:r>
              <w:rPr>
                <w:rFonts w:ascii="sans-serif" w:eastAsia="sans-serif" w:hAnsi="sans-serif" w:cs="sans-serif"/>
                <w:color w:val="E87722"/>
              </w:rPr>
              <w:t> - FINANCIAL INFORMATION</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8C6" w14:textId="77777777" w:rsidR="00FB67F9" w:rsidRDefault="00E839DF">
            <w:pPr>
              <w:jc w:val="right"/>
              <w:textAlignment w:val="bottom"/>
              <w:rPr>
                <w:rFonts w:ascii="Times New Roman" w:hAnsi="Times New Roman"/>
              </w:rPr>
            </w:pPr>
            <w:hyperlink r:id="rId9" w:anchor="s786F31EC4D5350918B3C5BC1AD56C815" w:history="1">
              <w:r>
                <w:rPr>
                  <w:rStyle w:val="a5"/>
                  <w:rFonts w:ascii="sans-serif" w:eastAsia="sans-serif" w:hAnsi="sans-serif" w:cs="sans-serif"/>
                  <w:color w:val="E87722"/>
                  <w:u w:val="none"/>
                </w:rPr>
                <w:t>1</w:t>
              </w:r>
            </w:hyperlink>
          </w:p>
        </w:tc>
      </w:tr>
      <w:tr w:rsidR="00FB67F9" w14:paraId="606F68CB" w14:textId="77777777">
        <w:tc>
          <w:tcPr>
            <w:tcW w:w="0" w:type="auto"/>
            <w:shd w:val="clear" w:color="auto" w:fill="auto"/>
            <w:tcMar>
              <w:top w:w="40" w:type="dxa"/>
              <w:left w:w="40" w:type="dxa"/>
              <w:bottom w:w="40" w:type="dxa"/>
              <w:right w:w="40" w:type="dxa"/>
            </w:tcMar>
            <w:vAlign w:val="bottom"/>
          </w:tcPr>
          <w:p w14:paraId="606F68C8" w14:textId="77777777" w:rsidR="00FB67F9" w:rsidRDefault="00E839DF">
            <w:pPr>
              <w:textAlignment w:val="bottom"/>
              <w:rPr>
                <w:rFonts w:ascii="Times New Roman" w:hAnsi="Times New Roman"/>
                <w:sz w:val="18"/>
                <w:szCs w:val="18"/>
              </w:rPr>
            </w:pPr>
            <w:hyperlink r:id="rId10" w:anchor="sDC823C07CE9E569098548C462A5200DF" w:history="1">
              <w:r>
                <w:rPr>
                  <w:rStyle w:val="a5"/>
                  <w:rFonts w:ascii="sans-serif" w:eastAsia="sans-serif" w:hAnsi="sans-serif" w:cs="sans-serif"/>
                  <w:b/>
                  <w:bCs/>
                  <w:color w:val="000000"/>
                  <w:sz w:val="18"/>
                  <w:szCs w:val="18"/>
                  <w:u w:val="none"/>
                </w:rPr>
                <w:t>ITEM 1.</w:t>
              </w:r>
            </w:hyperlink>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68C9" w14:textId="77777777" w:rsidR="00FB67F9" w:rsidRDefault="00E839DF">
            <w:pPr>
              <w:textAlignment w:val="bottom"/>
              <w:rPr>
                <w:rFonts w:ascii="Times New Roman" w:hAnsi="Times New Roman"/>
                <w:sz w:val="16"/>
                <w:szCs w:val="16"/>
              </w:rPr>
            </w:pPr>
            <w:hyperlink r:id="rId11" w:anchor="s51C873EEDE885110A6D58A305963A913" w:history="1">
              <w:r>
                <w:rPr>
                  <w:rStyle w:val="a5"/>
                  <w:rFonts w:ascii="sans-serif" w:eastAsia="sans-serif" w:hAnsi="sans-serif" w:cs="sans-serif"/>
                  <w:color w:val="000000"/>
                  <w:sz w:val="16"/>
                  <w:szCs w:val="16"/>
                  <w:u w:val="none"/>
                </w:rPr>
                <w:t>Financial Statements</w:t>
              </w:r>
            </w:hyperlink>
          </w:p>
        </w:tc>
        <w:tc>
          <w:tcPr>
            <w:tcW w:w="0" w:type="auto"/>
            <w:shd w:val="clear" w:color="auto" w:fill="auto"/>
            <w:tcMar>
              <w:top w:w="40" w:type="dxa"/>
              <w:left w:w="40" w:type="dxa"/>
              <w:bottom w:w="40" w:type="dxa"/>
              <w:right w:w="40" w:type="dxa"/>
            </w:tcMar>
            <w:vAlign w:val="bottom"/>
          </w:tcPr>
          <w:p w14:paraId="606F68CA" w14:textId="77777777" w:rsidR="00FB67F9" w:rsidRDefault="00E839DF">
            <w:pPr>
              <w:jc w:val="right"/>
              <w:textAlignment w:val="bottom"/>
              <w:rPr>
                <w:rFonts w:ascii="Times New Roman" w:hAnsi="Times New Roman"/>
                <w:sz w:val="16"/>
                <w:szCs w:val="16"/>
              </w:rPr>
            </w:pPr>
            <w:hyperlink r:id="rId12" w:anchor="s51C873EEDE885110A6D58A305963A913" w:history="1">
              <w:r>
                <w:rPr>
                  <w:rStyle w:val="a5"/>
                  <w:rFonts w:ascii="sans-serif" w:eastAsia="sans-serif" w:hAnsi="sans-serif" w:cs="sans-serif"/>
                  <w:color w:val="000000"/>
                  <w:sz w:val="16"/>
                  <w:szCs w:val="16"/>
                  <w:u w:val="none"/>
                </w:rPr>
                <w:t>1</w:t>
              </w:r>
            </w:hyperlink>
          </w:p>
        </w:tc>
      </w:tr>
      <w:tr w:rsidR="00FB67F9" w14:paraId="606F68CF" w14:textId="77777777">
        <w:tc>
          <w:tcPr>
            <w:tcW w:w="0" w:type="auto"/>
            <w:shd w:val="clear" w:color="auto" w:fill="auto"/>
            <w:tcMar>
              <w:top w:w="40" w:type="dxa"/>
              <w:left w:w="40" w:type="dxa"/>
              <w:bottom w:w="40" w:type="dxa"/>
              <w:right w:w="40" w:type="dxa"/>
            </w:tcMar>
            <w:vAlign w:val="bottom"/>
          </w:tcPr>
          <w:p w14:paraId="606F68C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CD" w14:textId="77777777" w:rsidR="00FB67F9" w:rsidRDefault="00E839DF">
            <w:pPr>
              <w:textAlignment w:val="bottom"/>
              <w:rPr>
                <w:rFonts w:ascii="Times New Roman" w:hAnsi="Times New Roman"/>
                <w:sz w:val="16"/>
                <w:szCs w:val="16"/>
              </w:rPr>
            </w:pPr>
            <w:hyperlink r:id="rId13" w:anchor="s5956870E89D25AE5BF7EEB4CF1C2F896" w:history="1">
              <w:r>
                <w:rPr>
                  <w:rStyle w:val="a5"/>
                  <w:rFonts w:ascii="sans-serif" w:eastAsia="sans-serif" w:hAnsi="sans-serif" w:cs="sans-serif"/>
                  <w:color w:val="000000"/>
                  <w:sz w:val="16"/>
                  <w:szCs w:val="16"/>
                  <w:u w:val="none"/>
                </w:rPr>
                <w:t>Unaudited Condensed Consolidated Statements of Income</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8CE" w14:textId="77777777" w:rsidR="00FB67F9" w:rsidRDefault="00E839DF">
            <w:pPr>
              <w:jc w:val="right"/>
              <w:textAlignment w:val="bottom"/>
              <w:rPr>
                <w:rFonts w:ascii="Times New Roman" w:hAnsi="Times New Roman"/>
                <w:sz w:val="16"/>
                <w:szCs w:val="16"/>
              </w:rPr>
            </w:pPr>
            <w:hyperlink r:id="rId14" w:anchor="s5956870E89D25AE5BF7EEB4CF1C2F896" w:history="1">
              <w:r>
                <w:rPr>
                  <w:rStyle w:val="a5"/>
                  <w:rFonts w:ascii="sans-serif" w:eastAsia="sans-serif" w:hAnsi="sans-serif" w:cs="sans-serif"/>
                  <w:color w:val="000000"/>
                  <w:sz w:val="16"/>
                  <w:szCs w:val="16"/>
                  <w:u w:val="none"/>
                </w:rPr>
                <w:t>1</w:t>
              </w:r>
            </w:hyperlink>
          </w:p>
        </w:tc>
      </w:tr>
      <w:tr w:rsidR="00FB67F9" w14:paraId="606F68D3" w14:textId="77777777">
        <w:tc>
          <w:tcPr>
            <w:tcW w:w="0" w:type="auto"/>
            <w:shd w:val="clear" w:color="auto" w:fill="auto"/>
            <w:tcMar>
              <w:top w:w="40" w:type="dxa"/>
              <w:left w:w="40" w:type="dxa"/>
              <w:bottom w:w="40" w:type="dxa"/>
              <w:right w:w="40" w:type="dxa"/>
            </w:tcMar>
            <w:vAlign w:val="bottom"/>
          </w:tcPr>
          <w:p w14:paraId="606F68D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D1" w14:textId="77777777" w:rsidR="00FB67F9" w:rsidRDefault="00E839DF">
            <w:pPr>
              <w:textAlignment w:val="bottom"/>
              <w:rPr>
                <w:rFonts w:ascii="Times New Roman" w:hAnsi="Times New Roman"/>
                <w:sz w:val="16"/>
                <w:szCs w:val="16"/>
              </w:rPr>
            </w:pPr>
            <w:hyperlink r:id="rId15" w:anchor="s53AB7D87F9595C239B12C3D6D8D04A5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8D2" w14:textId="77777777" w:rsidR="00FB67F9" w:rsidRDefault="00E839DF">
            <w:pPr>
              <w:jc w:val="right"/>
              <w:textAlignment w:val="bottom"/>
              <w:rPr>
                <w:rFonts w:ascii="Times New Roman" w:hAnsi="Times New Roman"/>
                <w:sz w:val="16"/>
                <w:szCs w:val="16"/>
              </w:rPr>
            </w:pPr>
            <w:hyperlink r:id="rId16" w:anchor="s53AB7D87F9595C239B12C3D6D8D04A59" w:history="1">
              <w:r>
                <w:rPr>
                  <w:rStyle w:val="a5"/>
                  <w:rFonts w:ascii="sans-serif" w:eastAsia="sans-serif" w:hAnsi="sans-serif" w:cs="sans-serif"/>
                  <w:color w:val="000000"/>
                  <w:sz w:val="16"/>
                  <w:szCs w:val="16"/>
                  <w:u w:val="none"/>
                </w:rPr>
                <w:t>2</w:t>
              </w:r>
            </w:hyperlink>
          </w:p>
        </w:tc>
      </w:tr>
      <w:tr w:rsidR="00FB67F9" w14:paraId="606F68D7" w14:textId="77777777">
        <w:tc>
          <w:tcPr>
            <w:tcW w:w="0" w:type="auto"/>
            <w:shd w:val="clear" w:color="auto" w:fill="auto"/>
            <w:tcMar>
              <w:top w:w="40" w:type="dxa"/>
              <w:left w:w="40" w:type="dxa"/>
              <w:bottom w:w="40" w:type="dxa"/>
              <w:right w:w="40" w:type="dxa"/>
            </w:tcMar>
            <w:vAlign w:val="bottom"/>
          </w:tcPr>
          <w:p w14:paraId="606F68D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D5" w14:textId="77777777" w:rsidR="00FB67F9" w:rsidRDefault="00E839DF">
            <w:pPr>
              <w:textAlignment w:val="bottom"/>
              <w:rPr>
                <w:rFonts w:ascii="Times New Roman" w:hAnsi="Times New Roman"/>
                <w:sz w:val="16"/>
                <w:szCs w:val="16"/>
              </w:rPr>
            </w:pPr>
            <w:hyperlink r:id="rId17" w:anchor="s03649DFEDFB1591A848902B5FD15D94A" w:history="1">
              <w:r>
                <w:rPr>
                  <w:rStyle w:val="a5"/>
                  <w:rFonts w:ascii="sans-serif" w:eastAsia="sans-serif" w:hAnsi="sans-serif" w:cs="sans-serif"/>
                  <w:color w:val="000000"/>
                  <w:sz w:val="16"/>
                  <w:szCs w:val="16"/>
                  <w:u w:val="none"/>
                </w:rPr>
                <w:t>Unaudited Condensed Consolidated Balance Sheets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8D6" w14:textId="77777777" w:rsidR="00FB67F9" w:rsidRDefault="00E839DF">
            <w:pPr>
              <w:jc w:val="right"/>
              <w:textAlignment w:val="bottom"/>
              <w:rPr>
                <w:rFonts w:ascii="Times New Roman" w:hAnsi="Times New Roman"/>
                <w:sz w:val="16"/>
                <w:szCs w:val="16"/>
              </w:rPr>
            </w:pPr>
            <w:hyperlink r:id="rId18" w:anchor="s03649DFEDFB1591A848902B5FD15D94A" w:history="1">
              <w:r>
                <w:rPr>
                  <w:rStyle w:val="a5"/>
                  <w:rFonts w:ascii="sans-serif" w:eastAsia="sans-serif" w:hAnsi="sans-serif" w:cs="sans-serif"/>
                  <w:color w:val="000000"/>
                  <w:sz w:val="16"/>
                  <w:szCs w:val="16"/>
                  <w:u w:val="none"/>
                </w:rPr>
                <w:t>3</w:t>
              </w:r>
            </w:hyperlink>
          </w:p>
        </w:tc>
      </w:tr>
      <w:tr w:rsidR="00FB67F9" w14:paraId="606F68DB" w14:textId="77777777">
        <w:tc>
          <w:tcPr>
            <w:tcW w:w="0" w:type="auto"/>
            <w:shd w:val="clear" w:color="auto" w:fill="auto"/>
            <w:tcMar>
              <w:top w:w="40" w:type="dxa"/>
              <w:left w:w="40" w:type="dxa"/>
              <w:bottom w:w="40" w:type="dxa"/>
              <w:right w:w="40" w:type="dxa"/>
            </w:tcMar>
            <w:vAlign w:val="bottom"/>
          </w:tcPr>
          <w:p w14:paraId="606F68D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D9" w14:textId="77777777" w:rsidR="00FB67F9" w:rsidRDefault="00E839DF">
            <w:pPr>
              <w:textAlignment w:val="bottom"/>
              <w:rPr>
                <w:rFonts w:ascii="Times New Roman" w:hAnsi="Times New Roman"/>
                <w:sz w:val="16"/>
                <w:szCs w:val="16"/>
              </w:rPr>
            </w:pPr>
            <w:hyperlink r:id="rId19" w:anchor="sF7645E2E42E85395B0586A13F0AD882B" w:history="1">
              <w:r>
                <w:rPr>
                  <w:rStyle w:val="a5"/>
                  <w:rFonts w:ascii="sans-serif" w:eastAsia="sans-serif" w:hAnsi="sans-serif" w:cs="sans-serif"/>
                  <w:color w:val="000000"/>
                  <w:sz w:val="16"/>
                  <w:szCs w:val="16"/>
                  <w:u w:val="none"/>
                </w:rPr>
                <w:t>Una</w:t>
              </w:r>
              <w:r>
                <w:rPr>
                  <w:rStyle w:val="a5"/>
                  <w:rFonts w:ascii="sans-serif" w:eastAsia="sans-serif" w:hAnsi="sans-serif" w:cs="sans-serif"/>
                  <w:color w:val="000000"/>
                  <w:sz w:val="16"/>
                  <w:szCs w:val="16"/>
                  <w:u w:val="none"/>
                </w:rPr>
                <w:t>udited Condensed Consolidated Statements of Cash Flows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8DA" w14:textId="77777777" w:rsidR="00FB67F9" w:rsidRDefault="00E839DF">
            <w:pPr>
              <w:jc w:val="right"/>
              <w:textAlignment w:val="bottom"/>
              <w:rPr>
                <w:rFonts w:ascii="Times New Roman" w:hAnsi="Times New Roman"/>
                <w:sz w:val="16"/>
                <w:szCs w:val="16"/>
              </w:rPr>
            </w:pPr>
            <w:hyperlink r:id="rId20" w:anchor="sF7645E2E42E85395B0586A13F0AD882B" w:history="1">
              <w:r>
                <w:rPr>
                  <w:rStyle w:val="a5"/>
                  <w:rFonts w:ascii="sans-serif" w:eastAsia="sans-serif" w:hAnsi="sans-serif" w:cs="sans-serif"/>
                  <w:color w:val="000000"/>
                  <w:sz w:val="16"/>
                  <w:szCs w:val="16"/>
                  <w:u w:val="none"/>
                </w:rPr>
                <w:t>4</w:t>
              </w:r>
            </w:hyperlink>
          </w:p>
        </w:tc>
      </w:tr>
      <w:tr w:rsidR="00FB67F9" w14:paraId="606F68DF" w14:textId="77777777">
        <w:tc>
          <w:tcPr>
            <w:tcW w:w="0" w:type="auto"/>
            <w:shd w:val="clear" w:color="auto" w:fill="auto"/>
            <w:tcMar>
              <w:top w:w="40" w:type="dxa"/>
              <w:left w:w="40" w:type="dxa"/>
              <w:bottom w:w="40" w:type="dxa"/>
              <w:right w:w="40" w:type="dxa"/>
            </w:tcMar>
            <w:vAlign w:val="bottom"/>
          </w:tcPr>
          <w:p w14:paraId="606F68D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DD" w14:textId="77777777" w:rsidR="00FB67F9" w:rsidRDefault="00E839DF">
            <w:pPr>
              <w:textAlignment w:val="bottom"/>
              <w:rPr>
                <w:rFonts w:ascii="Times New Roman" w:hAnsi="Times New Roman"/>
                <w:sz w:val="16"/>
                <w:szCs w:val="16"/>
              </w:rPr>
            </w:pPr>
            <w:hyperlink r:id="rId21" w:anchor="s6DDB465AC07A57B79C39B36C3B494FDF"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8DE" w14:textId="77777777" w:rsidR="00FB67F9" w:rsidRDefault="00E839DF">
            <w:pPr>
              <w:jc w:val="right"/>
              <w:textAlignment w:val="bottom"/>
              <w:rPr>
                <w:rFonts w:ascii="Times New Roman" w:hAnsi="Times New Roman"/>
                <w:sz w:val="16"/>
                <w:szCs w:val="16"/>
              </w:rPr>
            </w:pPr>
            <w:hyperlink r:id="rId22" w:anchor="s6DDB465AC07A57B79C39B36C3B494FDF" w:history="1">
              <w:r>
                <w:rPr>
                  <w:rStyle w:val="a5"/>
                  <w:rFonts w:ascii="sans-serif" w:eastAsia="sans-serif" w:hAnsi="sans-serif" w:cs="sans-serif"/>
                  <w:color w:val="000000"/>
                  <w:sz w:val="16"/>
                  <w:szCs w:val="16"/>
                  <w:u w:val="none"/>
                </w:rPr>
                <w:t>5</w:t>
              </w:r>
            </w:hyperlink>
          </w:p>
        </w:tc>
      </w:tr>
      <w:tr w:rsidR="00FB67F9" w14:paraId="606F68E3" w14:textId="77777777">
        <w:tc>
          <w:tcPr>
            <w:tcW w:w="0" w:type="auto"/>
            <w:shd w:val="clear" w:color="auto" w:fill="auto"/>
            <w:tcMar>
              <w:top w:w="40" w:type="dxa"/>
              <w:left w:w="40" w:type="dxa"/>
              <w:bottom w:w="40" w:type="dxa"/>
              <w:right w:w="40" w:type="dxa"/>
            </w:tcMar>
            <w:vAlign w:val="bottom"/>
          </w:tcPr>
          <w:p w14:paraId="606F68E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1" w14:textId="77777777" w:rsidR="00FB67F9" w:rsidRDefault="00E839DF">
            <w:pPr>
              <w:textAlignment w:val="bottom"/>
              <w:rPr>
                <w:rFonts w:ascii="Times New Roman" w:hAnsi="Times New Roman"/>
                <w:sz w:val="16"/>
                <w:szCs w:val="16"/>
              </w:rPr>
            </w:pPr>
            <w:hyperlink r:id="rId23" w:anchor="sBB5B913647F555F2809711512A399916"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2" w14:textId="77777777" w:rsidR="00FB67F9" w:rsidRDefault="00E839DF">
            <w:pPr>
              <w:jc w:val="right"/>
              <w:textAlignment w:val="bottom"/>
              <w:rPr>
                <w:rFonts w:ascii="Times New Roman" w:hAnsi="Times New Roman"/>
                <w:sz w:val="16"/>
                <w:szCs w:val="16"/>
              </w:rPr>
            </w:pPr>
            <w:hyperlink r:id="rId24" w:anchor="sBB5B913647F555F2809711512A399916" w:history="1">
              <w:r>
                <w:rPr>
                  <w:rStyle w:val="a5"/>
                  <w:rFonts w:ascii="sans-serif" w:eastAsia="sans-serif" w:hAnsi="sans-serif" w:cs="sans-serif"/>
                  <w:color w:val="000000"/>
                  <w:sz w:val="16"/>
                  <w:szCs w:val="16"/>
                  <w:u w:val="none"/>
                </w:rPr>
                <w:t>7</w:t>
              </w:r>
            </w:hyperlink>
          </w:p>
        </w:tc>
      </w:tr>
      <w:tr w:rsidR="00FB67F9" w14:paraId="606F68E7" w14:textId="77777777">
        <w:tc>
          <w:tcPr>
            <w:tcW w:w="0" w:type="auto"/>
            <w:shd w:val="clear" w:color="auto" w:fill="auto"/>
            <w:tcMar>
              <w:top w:w="40" w:type="dxa"/>
              <w:left w:w="40" w:type="dxa"/>
              <w:bottom w:w="40" w:type="dxa"/>
              <w:right w:w="40" w:type="dxa"/>
            </w:tcMar>
            <w:vAlign w:val="bottom"/>
          </w:tcPr>
          <w:p w14:paraId="606F68E4" w14:textId="77777777" w:rsidR="00FB67F9" w:rsidRDefault="00E839DF">
            <w:pPr>
              <w:textAlignment w:val="bottom"/>
              <w:rPr>
                <w:rFonts w:ascii="Times New Roman" w:hAnsi="Times New Roman"/>
                <w:sz w:val="18"/>
                <w:szCs w:val="18"/>
              </w:rPr>
            </w:pPr>
            <w:hyperlink r:id="rId25" w:anchor="s39D9CD19B38852C0A101A005C9381167"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sz w:val="18"/>
                <w:szCs w:val="18"/>
              </w:rPr>
              <w:t>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5" w14:textId="77777777" w:rsidR="00FB67F9" w:rsidRDefault="00E839DF">
            <w:pPr>
              <w:textAlignment w:val="bottom"/>
              <w:rPr>
                <w:rFonts w:ascii="Times New Roman" w:hAnsi="Times New Roman"/>
                <w:sz w:val="16"/>
                <w:szCs w:val="16"/>
              </w:rPr>
            </w:pPr>
            <w:hyperlink r:id="rId26" w:anchor="s33A417FD57465B93AB45DCAF1C070629"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606F68E6" w14:textId="77777777" w:rsidR="00FB67F9" w:rsidRDefault="00E839DF">
            <w:pPr>
              <w:jc w:val="right"/>
              <w:textAlignment w:val="bottom"/>
              <w:rPr>
                <w:rFonts w:ascii="Times New Roman" w:hAnsi="Times New Roman"/>
                <w:sz w:val="16"/>
                <w:szCs w:val="16"/>
              </w:rPr>
            </w:pPr>
            <w:hyperlink r:id="rId27" w:anchor="s33A417FD57465B93AB45DCAF1C070629" w:history="1">
              <w:r>
                <w:rPr>
                  <w:rStyle w:val="a5"/>
                  <w:rFonts w:ascii="sans-serif" w:eastAsia="sans-serif" w:hAnsi="sans-serif" w:cs="sans-serif"/>
                  <w:color w:val="000000"/>
                  <w:sz w:val="16"/>
                  <w:szCs w:val="16"/>
                  <w:u w:val="none"/>
                </w:rPr>
                <w:t>26</w:t>
              </w:r>
            </w:hyperlink>
          </w:p>
        </w:tc>
      </w:tr>
      <w:tr w:rsidR="00FB67F9" w14:paraId="606F68E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8E8"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ITEM 3.</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9" w14:textId="77777777" w:rsidR="00FB67F9" w:rsidRDefault="00E839DF">
            <w:pPr>
              <w:textAlignment w:val="bottom"/>
              <w:rPr>
                <w:rFonts w:ascii="Times New Roman" w:hAnsi="Times New Roman"/>
                <w:sz w:val="16"/>
                <w:szCs w:val="16"/>
              </w:rPr>
            </w:pPr>
            <w:hyperlink r:id="rId28" w:anchor="sF4F1A45BE05658E4AD0760E9802F242B" w:history="1">
              <w:r>
                <w:rPr>
                  <w:rStyle w:val="a5"/>
                  <w:rFonts w:ascii="sans-serif" w:eastAsia="sans-serif" w:hAnsi="sans-serif" w:cs="sans-serif"/>
                  <w:color w:val="000000"/>
                  <w:sz w:val="16"/>
                  <w:szCs w:val="16"/>
                  <w:u w:val="none"/>
                </w:rPr>
                <w:t>Quantitative and Qualitative Disclosures about Market Risk</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A" w14:textId="77777777" w:rsidR="00FB67F9" w:rsidRDefault="00E839DF">
            <w:pPr>
              <w:jc w:val="right"/>
              <w:textAlignment w:val="bottom"/>
              <w:rPr>
                <w:rFonts w:ascii="Times New Roman" w:hAnsi="Times New Roman"/>
                <w:sz w:val="16"/>
                <w:szCs w:val="16"/>
              </w:rPr>
            </w:pPr>
            <w:hyperlink r:id="rId29" w:anchor="sF4F1A45BE05658E4AD0760E9802F242B" w:history="1">
              <w:r>
                <w:rPr>
                  <w:rStyle w:val="a5"/>
                  <w:rFonts w:ascii="sans-serif" w:eastAsia="sans-serif" w:hAnsi="sans-serif" w:cs="sans-serif"/>
                  <w:color w:val="000000"/>
                  <w:sz w:val="16"/>
                  <w:szCs w:val="16"/>
                  <w:u w:val="none"/>
                </w:rPr>
                <w:t>43</w:t>
              </w:r>
            </w:hyperlink>
          </w:p>
        </w:tc>
      </w:tr>
      <w:tr w:rsidR="00FB67F9" w14:paraId="606F68E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C"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ITEM 4.</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D" w14:textId="77777777" w:rsidR="00FB67F9" w:rsidRDefault="00E839DF">
            <w:pPr>
              <w:textAlignment w:val="bottom"/>
              <w:rPr>
                <w:rFonts w:ascii="Times New Roman" w:hAnsi="Times New Roman"/>
                <w:sz w:val="16"/>
                <w:szCs w:val="16"/>
              </w:rPr>
            </w:pPr>
            <w:hyperlink r:id="rId30" w:anchor="s4B0FE29F90E952F3B36630FA5D64265C" w:history="1">
              <w:r>
                <w:rPr>
                  <w:rStyle w:val="a5"/>
                  <w:rFonts w:ascii="sans-serif" w:eastAsia="sans-serif" w:hAnsi="sans-serif" w:cs="sans-serif"/>
                  <w:color w:val="000000"/>
                  <w:sz w:val="16"/>
                  <w:szCs w:val="16"/>
                  <w:u w:val="none"/>
                </w:rPr>
                <w:t>Controls and Procedures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8EE" w14:textId="77777777" w:rsidR="00FB67F9" w:rsidRDefault="00E839DF">
            <w:pPr>
              <w:jc w:val="right"/>
              <w:textAlignment w:val="bottom"/>
              <w:rPr>
                <w:rFonts w:ascii="Times New Roman" w:hAnsi="Times New Roman"/>
                <w:sz w:val="16"/>
                <w:szCs w:val="16"/>
              </w:rPr>
            </w:pPr>
            <w:hyperlink r:id="rId31" w:anchor="s4B0FE29F90E952F3B36630FA5D64265C" w:history="1">
              <w:r>
                <w:rPr>
                  <w:rStyle w:val="a5"/>
                  <w:rFonts w:ascii="sans-serif" w:eastAsia="sans-serif" w:hAnsi="sans-serif" w:cs="sans-serif"/>
                  <w:color w:val="000000"/>
                  <w:sz w:val="16"/>
                  <w:szCs w:val="16"/>
                  <w:u w:val="none"/>
                </w:rPr>
                <w:t>43</w:t>
              </w:r>
            </w:hyperlink>
          </w:p>
        </w:tc>
      </w:tr>
      <w:tr w:rsidR="00FB67F9" w14:paraId="606F68F2" w14:textId="77777777">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68F0" w14:textId="77777777" w:rsidR="00FB67F9" w:rsidRDefault="00E839DF">
            <w:pPr>
              <w:textAlignment w:val="bottom"/>
              <w:rPr>
                <w:rFonts w:ascii="Times New Roman" w:hAnsi="Times New Roman"/>
              </w:rPr>
            </w:pPr>
            <w:hyperlink r:id="rId32" w:anchor="sF1336ECA4846563BB4E9605AF6928FAC"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w:t>
            </w:r>
            <w:r>
              <w:rPr>
                <w:rFonts w:ascii="sans-serif" w:eastAsia="sans-serif" w:hAnsi="sans-serif" w:cs="sans-serif"/>
                <w:color w:val="E87722"/>
              </w:rPr>
              <w:t>INFORMATION</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8F1" w14:textId="77777777" w:rsidR="00FB67F9" w:rsidRDefault="00E839DF">
            <w:pPr>
              <w:jc w:val="right"/>
              <w:textAlignment w:val="bottom"/>
              <w:rPr>
                <w:rFonts w:ascii="Times New Roman" w:hAnsi="Times New Roman"/>
              </w:rPr>
            </w:pPr>
            <w:hyperlink r:id="rId33" w:anchor="sF1336ECA4846563BB4E9605AF6928FAC" w:history="1">
              <w:r>
                <w:rPr>
                  <w:rStyle w:val="a5"/>
                  <w:rFonts w:ascii="sans-serif" w:eastAsia="sans-serif" w:hAnsi="sans-serif" w:cs="sans-serif"/>
                  <w:color w:val="E87722"/>
                  <w:u w:val="none"/>
                </w:rPr>
                <w:t>45</w:t>
              </w:r>
            </w:hyperlink>
          </w:p>
        </w:tc>
      </w:tr>
      <w:tr w:rsidR="00FB67F9" w14:paraId="606F68F6" w14:textId="77777777">
        <w:tc>
          <w:tcPr>
            <w:tcW w:w="0" w:type="auto"/>
            <w:shd w:val="clear" w:color="auto" w:fill="auto"/>
            <w:tcMar>
              <w:top w:w="40" w:type="dxa"/>
              <w:left w:w="40" w:type="dxa"/>
              <w:bottom w:w="40" w:type="dxa"/>
              <w:right w:w="40" w:type="dxa"/>
            </w:tcMar>
            <w:vAlign w:val="bottom"/>
          </w:tcPr>
          <w:p w14:paraId="606F68F3"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ITEM 1.</w:t>
            </w:r>
          </w:p>
        </w:tc>
        <w:tc>
          <w:tcPr>
            <w:tcW w:w="0" w:type="auto"/>
            <w:shd w:val="clear" w:color="auto" w:fill="auto"/>
            <w:tcMar>
              <w:top w:w="40" w:type="dxa"/>
              <w:left w:w="40" w:type="dxa"/>
              <w:bottom w:w="40" w:type="dxa"/>
              <w:right w:w="40" w:type="dxa"/>
            </w:tcMar>
            <w:vAlign w:val="bottom"/>
          </w:tcPr>
          <w:p w14:paraId="606F68F4" w14:textId="77777777" w:rsidR="00FB67F9" w:rsidRDefault="00E839DF">
            <w:pPr>
              <w:textAlignment w:val="bottom"/>
              <w:rPr>
                <w:rFonts w:ascii="Times New Roman" w:hAnsi="Times New Roman"/>
                <w:sz w:val="16"/>
                <w:szCs w:val="16"/>
              </w:rPr>
            </w:pPr>
            <w:hyperlink r:id="rId34" w:anchor="s49509E6EC053516089A9683E1A022B54" w:history="1">
              <w:r>
                <w:rPr>
                  <w:rStyle w:val="a5"/>
                  <w:rFonts w:ascii="sans-serif" w:eastAsia="sans-serif" w:hAnsi="sans-serif" w:cs="sans-serif"/>
                  <w:color w:val="000000"/>
                  <w:sz w:val="16"/>
                  <w:szCs w:val="16"/>
                  <w:u w:val="none"/>
                </w:rPr>
                <w:t>Legal Proceedings</w:t>
              </w:r>
            </w:hyperlink>
          </w:p>
        </w:tc>
        <w:tc>
          <w:tcPr>
            <w:tcW w:w="0" w:type="auto"/>
            <w:shd w:val="clear" w:color="auto" w:fill="auto"/>
            <w:tcMar>
              <w:top w:w="40" w:type="dxa"/>
              <w:left w:w="40" w:type="dxa"/>
              <w:bottom w:w="40" w:type="dxa"/>
              <w:right w:w="40" w:type="dxa"/>
            </w:tcMar>
            <w:vAlign w:val="bottom"/>
          </w:tcPr>
          <w:p w14:paraId="606F68F5" w14:textId="77777777" w:rsidR="00FB67F9" w:rsidRDefault="00E839DF">
            <w:pPr>
              <w:jc w:val="right"/>
              <w:textAlignment w:val="bottom"/>
              <w:rPr>
                <w:rFonts w:ascii="Times New Roman" w:hAnsi="Times New Roman"/>
                <w:sz w:val="16"/>
                <w:szCs w:val="16"/>
              </w:rPr>
            </w:pPr>
            <w:hyperlink r:id="rId35" w:anchor="s49509E6EC053516089A9683E1A022B54" w:history="1">
              <w:r>
                <w:rPr>
                  <w:rStyle w:val="a5"/>
                  <w:rFonts w:ascii="sans-serif" w:eastAsia="sans-serif" w:hAnsi="sans-serif" w:cs="sans-serif"/>
                  <w:color w:val="000000"/>
                  <w:sz w:val="16"/>
                  <w:szCs w:val="16"/>
                  <w:u w:val="none"/>
                </w:rPr>
                <w:t>45</w:t>
              </w:r>
            </w:hyperlink>
          </w:p>
        </w:tc>
      </w:tr>
      <w:tr w:rsidR="00FB67F9" w14:paraId="606F68F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8F7"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ITEM 1A.</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8F8" w14:textId="77777777" w:rsidR="00FB67F9" w:rsidRDefault="00E839DF">
            <w:pPr>
              <w:textAlignment w:val="bottom"/>
              <w:rPr>
                <w:rFonts w:ascii="Times New Roman" w:hAnsi="Times New Roman"/>
                <w:sz w:val="16"/>
                <w:szCs w:val="16"/>
              </w:rPr>
            </w:pPr>
            <w:hyperlink r:id="rId36" w:anchor="s39D9CD19B38852C0A101A005C9381167" w:history="1">
              <w:r>
                <w:rPr>
                  <w:rStyle w:val="a5"/>
                  <w:rFonts w:ascii="sans-serif" w:eastAsia="sans-serif" w:hAnsi="sans-serif" w:cs="sans-serif"/>
                  <w:color w:val="000000"/>
                  <w:sz w:val="16"/>
                  <w:szCs w:val="16"/>
                  <w:u w:val="none"/>
                </w:rPr>
                <w:t>Risk Factors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8F9" w14:textId="77777777" w:rsidR="00FB67F9" w:rsidRDefault="00E839DF">
            <w:pPr>
              <w:jc w:val="right"/>
              <w:textAlignment w:val="bottom"/>
              <w:rPr>
                <w:rFonts w:ascii="Times New Roman" w:hAnsi="Times New Roman"/>
                <w:sz w:val="16"/>
                <w:szCs w:val="16"/>
              </w:rPr>
            </w:pPr>
            <w:hyperlink r:id="rId37" w:anchor="s39D9CD19B38852C0A101A005C9381167" w:history="1">
              <w:r>
                <w:rPr>
                  <w:rStyle w:val="a5"/>
                  <w:rFonts w:ascii="sans-serif" w:eastAsia="sans-serif" w:hAnsi="sans-serif" w:cs="sans-serif"/>
                  <w:color w:val="000000"/>
                  <w:sz w:val="16"/>
                  <w:szCs w:val="16"/>
                  <w:u w:val="none"/>
                </w:rPr>
                <w:t>45</w:t>
              </w:r>
            </w:hyperlink>
          </w:p>
        </w:tc>
      </w:tr>
      <w:tr w:rsidR="00FB67F9" w14:paraId="606F68F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8FB"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ITEM 2.</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8FC" w14:textId="77777777" w:rsidR="00FB67F9" w:rsidRDefault="00E839DF">
            <w:pPr>
              <w:textAlignment w:val="bottom"/>
              <w:rPr>
                <w:rFonts w:ascii="Times New Roman" w:hAnsi="Times New Roman"/>
                <w:sz w:val="16"/>
                <w:szCs w:val="16"/>
              </w:rPr>
            </w:pPr>
            <w:hyperlink r:id="rId38" w:anchor="s46B0AD779D285A02986F17E2C3E19BEA"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8FD" w14:textId="77777777" w:rsidR="00FB67F9" w:rsidRDefault="00E839DF">
            <w:pPr>
              <w:jc w:val="right"/>
              <w:textAlignment w:val="bottom"/>
              <w:rPr>
                <w:rFonts w:ascii="Times New Roman" w:hAnsi="Times New Roman"/>
                <w:sz w:val="16"/>
                <w:szCs w:val="16"/>
              </w:rPr>
            </w:pPr>
            <w:hyperlink r:id="rId39" w:anchor="s46B0AD779D285A02986F17E2C3E19BEA" w:history="1">
              <w:r>
                <w:rPr>
                  <w:rStyle w:val="a5"/>
                  <w:rFonts w:ascii="sans-serif" w:eastAsia="sans-serif" w:hAnsi="sans-serif" w:cs="sans-serif"/>
                  <w:color w:val="000000"/>
                  <w:sz w:val="16"/>
                  <w:szCs w:val="16"/>
                  <w:u w:val="none"/>
                </w:rPr>
                <w:t>45</w:t>
              </w:r>
            </w:hyperlink>
          </w:p>
        </w:tc>
      </w:tr>
      <w:tr w:rsidR="00FB67F9" w14:paraId="606F690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8FF"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ITEM 6.</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900" w14:textId="77777777" w:rsidR="00FB67F9" w:rsidRDefault="00E839DF">
            <w:pPr>
              <w:textAlignment w:val="bottom"/>
              <w:rPr>
                <w:rFonts w:ascii="Times New Roman" w:hAnsi="Times New Roman"/>
                <w:sz w:val="16"/>
                <w:szCs w:val="16"/>
              </w:rPr>
            </w:pPr>
            <w:hyperlink r:id="rId40" w:anchor="s1A57D8B34684523CAD6563C88F07F901" w:history="1">
              <w:r>
                <w:rPr>
                  <w:rStyle w:val="a5"/>
                  <w:rFonts w:ascii="sans-serif" w:eastAsia="sans-serif" w:hAnsi="sans-serif" w:cs="sans-serif"/>
                  <w:color w:val="000000"/>
                  <w:sz w:val="16"/>
                  <w:szCs w:val="16"/>
                  <w:u w:val="none"/>
                </w:rPr>
                <w:t>Exhibits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6901" w14:textId="77777777" w:rsidR="00FB67F9" w:rsidRDefault="00E839DF">
            <w:pPr>
              <w:jc w:val="right"/>
              <w:textAlignment w:val="bottom"/>
              <w:rPr>
                <w:rFonts w:ascii="Times New Roman" w:hAnsi="Times New Roman"/>
                <w:sz w:val="16"/>
                <w:szCs w:val="16"/>
              </w:rPr>
            </w:pPr>
            <w:hyperlink r:id="rId41" w:anchor="s1A57D8B34684523CAD6563C88F07F901" w:history="1">
              <w:r>
                <w:rPr>
                  <w:rStyle w:val="a5"/>
                  <w:rFonts w:ascii="sans-serif" w:eastAsia="sans-serif" w:hAnsi="sans-serif" w:cs="sans-serif"/>
                  <w:color w:val="000000"/>
                  <w:sz w:val="16"/>
                  <w:szCs w:val="16"/>
                  <w:u w:val="none"/>
                </w:rPr>
                <w:t>46</w:t>
              </w:r>
            </w:hyperlink>
          </w:p>
        </w:tc>
      </w:tr>
      <w:tr w:rsidR="00FB67F9" w14:paraId="606F690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0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04" w14:textId="77777777" w:rsidR="00FB67F9" w:rsidRDefault="00E839DF">
            <w:pPr>
              <w:textAlignment w:val="bottom"/>
              <w:rPr>
                <w:rFonts w:ascii="Times New Roman" w:hAnsi="Times New Roman"/>
                <w:sz w:val="16"/>
                <w:szCs w:val="16"/>
              </w:rPr>
            </w:pPr>
            <w:hyperlink r:id="rId42" w:anchor="s3D2105AEB9CB50EBB55B83383BA82DB5" w:history="1">
              <w:r>
                <w:rPr>
                  <w:rStyle w:val="a5"/>
                  <w:rFonts w:ascii="sans-serif" w:eastAsia="sans-serif" w:hAnsi="sans-serif" w:cs="sans-serif"/>
                  <w:color w:val="000000"/>
                  <w:sz w:val="16"/>
                  <w:szCs w:val="16"/>
                  <w:u w:val="none"/>
                </w:rPr>
                <w:t>Signatures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05" w14:textId="77777777" w:rsidR="00FB67F9" w:rsidRDefault="00E839DF">
            <w:pPr>
              <w:jc w:val="right"/>
              <w:textAlignment w:val="bottom"/>
              <w:rPr>
                <w:rFonts w:ascii="Times New Roman" w:hAnsi="Times New Roman"/>
                <w:sz w:val="16"/>
                <w:szCs w:val="16"/>
              </w:rPr>
            </w:pPr>
            <w:hyperlink r:id="rId43" w:anchor="s3D2105AEB9CB50EBB55B83383BA82DB5" w:history="1">
              <w:r>
                <w:rPr>
                  <w:rStyle w:val="a5"/>
                  <w:rFonts w:ascii="sans-serif" w:eastAsia="sans-serif" w:hAnsi="sans-serif" w:cs="sans-serif"/>
                  <w:color w:val="000000"/>
                  <w:sz w:val="16"/>
                  <w:szCs w:val="16"/>
                  <w:u w:val="none"/>
                </w:rPr>
                <w:t>47</w:t>
              </w:r>
            </w:hyperlink>
          </w:p>
        </w:tc>
      </w:tr>
    </w:tbl>
    <w:p w14:paraId="606F6907" w14:textId="77777777" w:rsidR="00FB67F9" w:rsidRDefault="00FB67F9">
      <w:pPr>
        <w:rPr>
          <w:rFonts w:ascii="Times New Roman" w:hAnsi="Times New Roman"/>
          <w:sz w:val="20"/>
          <w:szCs w:val="20"/>
        </w:rPr>
      </w:pPr>
    </w:p>
    <w:p w14:paraId="606F6908" w14:textId="77777777" w:rsidR="00FB67F9" w:rsidRDefault="00E839DF">
      <w:r>
        <w:rPr>
          <w:rFonts w:ascii="Times New Roman" w:hAnsi="Times New Roman"/>
          <w:sz w:val="20"/>
          <w:szCs w:val="20"/>
        </w:rPr>
        <w:pict w14:anchorId="606F8F7D">
          <v:rect id="_x0000_i1026" style="width:415.3pt;height:1.5pt" o:hralign="center" o:hrstd="t" o:hr="t" fillcolor="#a0a0a0" stroked="f"/>
        </w:pict>
      </w:r>
    </w:p>
    <w:p w14:paraId="606F6909" w14:textId="77777777" w:rsidR="00FB67F9" w:rsidRDefault="00FB67F9">
      <w:pPr>
        <w:rPr>
          <w:rFonts w:ascii="Times New Roman" w:hAnsi="Times New Roman"/>
          <w:sz w:val="17"/>
          <w:szCs w:val="17"/>
        </w:rPr>
      </w:pPr>
    </w:p>
    <w:p w14:paraId="606F690A" w14:textId="77777777" w:rsidR="00FB67F9" w:rsidRDefault="00E839DF">
      <w:pPr>
        <w:rPr>
          <w:rFonts w:ascii="Times New Roman" w:hAnsi="Times New Roman"/>
          <w:sz w:val="17"/>
          <w:szCs w:val="17"/>
        </w:rPr>
      </w:pPr>
      <w:hyperlink r:id="rId44" w:anchor="s42C493F7582652B69E70047AB812E6A5" w:history="1">
        <w:r>
          <w:rPr>
            <w:rStyle w:val="a5"/>
            <w:rFonts w:ascii="sans-serif" w:eastAsia="sans-serif" w:hAnsi="sans-serif" w:cs="sans-serif"/>
            <w:sz w:val="17"/>
            <w:szCs w:val="17"/>
          </w:rPr>
          <w:t>Table of Contents</w:t>
        </w:r>
      </w:hyperlink>
    </w:p>
    <w:p w14:paraId="606F690B" w14:textId="77777777" w:rsidR="00FB67F9" w:rsidRDefault="00FB67F9">
      <w:pPr>
        <w:rPr>
          <w:rFonts w:ascii="Times New Roman" w:hAnsi="Times New Roman"/>
          <w:sz w:val="17"/>
          <w:szCs w:val="17"/>
        </w:rPr>
      </w:pPr>
    </w:p>
    <w:p w14:paraId="606F690C" w14:textId="77777777" w:rsidR="00FB67F9" w:rsidRDefault="00FB67F9">
      <w:pPr>
        <w:rPr>
          <w:rFonts w:ascii="Times New Roman" w:hAnsi="Times New Roman"/>
          <w:sz w:val="20"/>
          <w:szCs w:val="20"/>
        </w:rPr>
      </w:pPr>
    </w:p>
    <w:p w14:paraId="606F690D" w14:textId="77777777" w:rsidR="00FB67F9" w:rsidRDefault="00E839DF">
      <w:pPr>
        <w:rPr>
          <w:rFonts w:ascii="Times New Roman" w:hAnsi="Times New Roman"/>
          <w:sz w:val="68"/>
          <w:szCs w:val="68"/>
        </w:rPr>
      </w:pPr>
      <w:r>
        <w:rPr>
          <w:rFonts w:ascii="sans-serif" w:eastAsia="sans-serif" w:hAnsi="sans-serif" w:cs="sans-serif"/>
          <w:color w:val="E87722"/>
          <w:sz w:val="68"/>
          <w:szCs w:val="68"/>
        </w:rPr>
        <w:t>PART I - FINANCIAL INFORMATION</w:t>
      </w:r>
    </w:p>
    <w:p w14:paraId="606F690E"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1. FINANCIAL STATEMENTS</w:t>
      </w:r>
    </w:p>
    <w:p w14:paraId="606F690F"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NIKE, INC.</w:t>
      </w:r>
    </w:p>
    <w:p w14:paraId="606F6910"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lastRenderedPageBreak/>
        <w:t xml:space="preserve">UNAUDITED </w:t>
      </w:r>
      <w:r>
        <w:rPr>
          <w:rFonts w:ascii="sans-serif" w:eastAsia="sans-serif" w:hAnsi="sans-serif" w:cs="sans-serif"/>
          <w:b/>
          <w:bCs/>
          <w:color w:val="000000"/>
          <w:sz w:val="28"/>
          <w:szCs w:val="28"/>
        </w:rPr>
        <w:t>CONDENSED CONSOLIDATED STATEMENTS OF INCOME</w:t>
      </w:r>
    </w:p>
    <w:tbl>
      <w:tblPr>
        <w:tblW w:w="5000" w:type="pct"/>
        <w:tblCellMar>
          <w:left w:w="0" w:type="dxa"/>
          <w:right w:w="0" w:type="dxa"/>
        </w:tblCellMar>
        <w:tblLook w:val="04A0" w:firstRow="1" w:lastRow="0" w:firstColumn="1" w:lastColumn="0" w:noHBand="0" w:noVBand="1"/>
      </w:tblPr>
      <w:tblGrid>
        <w:gridCol w:w="3522"/>
        <w:gridCol w:w="135"/>
        <w:gridCol w:w="947"/>
        <w:gridCol w:w="97"/>
        <w:gridCol w:w="136"/>
        <w:gridCol w:w="947"/>
        <w:gridCol w:w="97"/>
        <w:gridCol w:w="130"/>
        <w:gridCol w:w="135"/>
        <w:gridCol w:w="947"/>
        <w:gridCol w:w="97"/>
        <w:gridCol w:w="135"/>
        <w:gridCol w:w="947"/>
        <w:gridCol w:w="34"/>
      </w:tblGrid>
      <w:tr w:rsidR="00FB67F9" w14:paraId="606F6912" w14:textId="77777777">
        <w:tc>
          <w:tcPr>
            <w:tcW w:w="0" w:type="auto"/>
            <w:gridSpan w:val="14"/>
            <w:shd w:val="clear" w:color="auto" w:fill="auto"/>
            <w:vAlign w:val="center"/>
          </w:tcPr>
          <w:p w14:paraId="606F6911" w14:textId="77777777" w:rsidR="00FB67F9" w:rsidRDefault="00FB67F9">
            <w:pPr>
              <w:rPr>
                <w:rFonts w:ascii="Times New Roman" w:hAnsi="Times New Roman"/>
                <w:sz w:val="20"/>
                <w:szCs w:val="20"/>
              </w:rPr>
            </w:pPr>
          </w:p>
        </w:tc>
      </w:tr>
      <w:tr w:rsidR="00FB67F9" w14:paraId="606F6921" w14:textId="77777777">
        <w:tc>
          <w:tcPr>
            <w:tcW w:w="2150" w:type="pct"/>
            <w:shd w:val="clear" w:color="auto" w:fill="auto"/>
            <w:vAlign w:val="center"/>
          </w:tcPr>
          <w:p w14:paraId="606F6913" w14:textId="77777777" w:rsidR="00FB67F9" w:rsidRDefault="00FB67F9">
            <w:pPr>
              <w:rPr>
                <w:rFonts w:ascii="Times New Roman" w:hAnsi="Times New Roman"/>
                <w:sz w:val="20"/>
                <w:szCs w:val="20"/>
              </w:rPr>
            </w:pPr>
          </w:p>
        </w:tc>
        <w:tc>
          <w:tcPr>
            <w:tcW w:w="50" w:type="pct"/>
            <w:shd w:val="clear" w:color="auto" w:fill="auto"/>
            <w:vAlign w:val="center"/>
          </w:tcPr>
          <w:p w14:paraId="606F6914" w14:textId="77777777" w:rsidR="00FB67F9" w:rsidRDefault="00FB67F9">
            <w:pPr>
              <w:rPr>
                <w:rFonts w:ascii="Times New Roman" w:hAnsi="Times New Roman"/>
                <w:sz w:val="20"/>
                <w:szCs w:val="20"/>
              </w:rPr>
            </w:pPr>
          </w:p>
        </w:tc>
        <w:tc>
          <w:tcPr>
            <w:tcW w:w="600" w:type="pct"/>
            <w:shd w:val="clear" w:color="auto" w:fill="auto"/>
            <w:vAlign w:val="center"/>
          </w:tcPr>
          <w:p w14:paraId="606F6915" w14:textId="77777777" w:rsidR="00FB67F9" w:rsidRDefault="00FB67F9">
            <w:pPr>
              <w:rPr>
                <w:rFonts w:ascii="Times New Roman" w:hAnsi="Times New Roman"/>
                <w:sz w:val="20"/>
                <w:szCs w:val="20"/>
              </w:rPr>
            </w:pPr>
          </w:p>
        </w:tc>
        <w:tc>
          <w:tcPr>
            <w:tcW w:w="50" w:type="pct"/>
            <w:shd w:val="clear" w:color="auto" w:fill="auto"/>
            <w:vAlign w:val="center"/>
          </w:tcPr>
          <w:p w14:paraId="606F6916" w14:textId="77777777" w:rsidR="00FB67F9" w:rsidRDefault="00FB67F9">
            <w:pPr>
              <w:rPr>
                <w:rFonts w:ascii="Times New Roman" w:hAnsi="Times New Roman"/>
                <w:sz w:val="20"/>
                <w:szCs w:val="20"/>
              </w:rPr>
            </w:pPr>
          </w:p>
        </w:tc>
        <w:tc>
          <w:tcPr>
            <w:tcW w:w="50" w:type="pct"/>
            <w:shd w:val="clear" w:color="auto" w:fill="auto"/>
            <w:vAlign w:val="center"/>
          </w:tcPr>
          <w:p w14:paraId="606F6917" w14:textId="77777777" w:rsidR="00FB67F9" w:rsidRDefault="00FB67F9">
            <w:pPr>
              <w:rPr>
                <w:rFonts w:ascii="Times New Roman" w:hAnsi="Times New Roman"/>
                <w:sz w:val="20"/>
                <w:szCs w:val="20"/>
              </w:rPr>
            </w:pPr>
          </w:p>
        </w:tc>
        <w:tc>
          <w:tcPr>
            <w:tcW w:w="600" w:type="pct"/>
            <w:shd w:val="clear" w:color="auto" w:fill="auto"/>
            <w:vAlign w:val="center"/>
          </w:tcPr>
          <w:p w14:paraId="606F6918" w14:textId="77777777" w:rsidR="00FB67F9" w:rsidRDefault="00FB67F9">
            <w:pPr>
              <w:rPr>
                <w:rFonts w:ascii="Times New Roman" w:hAnsi="Times New Roman"/>
                <w:sz w:val="20"/>
                <w:szCs w:val="20"/>
              </w:rPr>
            </w:pPr>
          </w:p>
        </w:tc>
        <w:tc>
          <w:tcPr>
            <w:tcW w:w="50" w:type="pct"/>
            <w:shd w:val="clear" w:color="auto" w:fill="auto"/>
            <w:vAlign w:val="center"/>
          </w:tcPr>
          <w:p w14:paraId="606F6919" w14:textId="77777777" w:rsidR="00FB67F9" w:rsidRDefault="00FB67F9">
            <w:pPr>
              <w:rPr>
                <w:rFonts w:ascii="Times New Roman" w:hAnsi="Times New Roman"/>
                <w:sz w:val="20"/>
                <w:szCs w:val="20"/>
              </w:rPr>
            </w:pPr>
          </w:p>
        </w:tc>
        <w:tc>
          <w:tcPr>
            <w:tcW w:w="50" w:type="pct"/>
            <w:shd w:val="clear" w:color="auto" w:fill="auto"/>
            <w:vAlign w:val="center"/>
          </w:tcPr>
          <w:p w14:paraId="606F691A" w14:textId="77777777" w:rsidR="00FB67F9" w:rsidRDefault="00FB67F9">
            <w:pPr>
              <w:rPr>
                <w:rFonts w:ascii="Times New Roman" w:hAnsi="Times New Roman"/>
                <w:sz w:val="20"/>
                <w:szCs w:val="20"/>
              </w:rPr>
            </w:pPr>
          </w:p>
        </w:tc>
        <w:tc>
          <w:tcPr>
            <w:tcW w:w="50" w:type="pct"/>
            <w:shd w:val="clear" w:color="auto" w:fill="auto"/>
            <w:vAlign w:val="center"/>
          </w:tcPr>
          <w:p w14:paraId="606F691B" w14:textId="77777777" w:rsidR="00FB67F9" w:rsidRDefault="00FB67F9">
            <w:pPr>
              <w:rPr>
                <w:rFonts w:ascii="Times New Roman" w:hAnsi="Times New Roman"/>
                <w:sz w:val="20"/>
                <w:szCs w:val="20"/>
              </w:rPr>
            </w:pPr>
          </w:p>
        </w:tc>
        <w:tc>
          <w:tcPr>
            <w:tcW w:w="600" w:type="pct"/>
            <w:shd w:val="clear" w:color="auto" w:fill="auto"/>
            <w:vAlign w:val="center"/>
          </w:tcPr>
          <w:p w14:paraId="606F691C" w14:textId="77777777" w:rsidR="00FB67F9" w:rsidRDefault="00FB67F9">
            <w:pPr>
              <w:rPr>
                <w:rFonts w:ascii="Times New Roman" w:hAnsi="Times New Roman"/>
                <w:sz w:val="20"/>
                <w:szCs w:val="20"/>
              </w:rPr>
            </w:pPr>
          </w:p>
        </w:tc>
        <w:tc>
          <w:tcPr>
            <w:tcW w:w="50" w:type="pct"/>
            <w:shd w:val="clear" w:color="auto" w:fill="auto"/>
            <w:vAlign w:val="center"/>
          </w:tcPr>
          <w:p w14:paraId="606F691D" w14:textId="77777777" w:rsidR="00FB67F9" w:rsidRDefault="00FB67F9">
            <w:pPr>
              <w:rPr>
                <w:rFonts w:ascii="Times New Roman" w:hAnsi="Times New Roman"/>
                <w:sz w:val="20"/>
                <w:szCs w:val="20"/>
              </w:rPr>
            </w:pPr>
          </w:p>
        </w:tc>
        <w:tc>
          <w:tcPr>
            <w:tcW w:w="50" w:type="pct"/>
            <w:shd w:val="clear" w:color="auto" w:fill="auto"/>
            <w:vAlign w:val="center"/>
          </w:tcPr>
          <w:p w14:paraId="606F691E" w14:textId="77777777" w:rsidR="00FB67F9" w:rsidRDefault="00FB67F9">
            <w:pPr>
              <w:rPr>
                <w:rFonts w:ascii="Times New Roman" w:hAnsi="Times New Roman"/>
                <w:sz w:val="20"/>
                <w:szCs w:val="20"/>
              </w:rPr>
            </w:pPr>
          </w:p>
        </w:tc>
        <w:tc>
          <w:tcPr>
            <w:tcW w:w="600" w:type="pct"/>
            <w:shd w:val="clear" w:color="auto" w:fill="auto"/>
            <w:vAlign w:val="center"/>
          </w:tcPr>
          <w:p w14:paraId="606F691F" w14:textId="77777777" w:rsidR="00FB67F9" w:rsidRDefault="00FB67F9">
            <w:pPr>
              <w:rPr>
                <w:rFonts w:ascii="Times New Roman" w:hAnsi="Times New Roman"/>
                <w:sz w:val="20"/>
                <w:szCs w:val="20"/>
              </w:rPr>
            </w:pPr>
          </w:p>
        </w:tc>
        <w:tc>
          <w:tcPr>
            <w:tcW w:w="50" w:type="pct"/>
            <w:shd w:val="clear" w:color="auto" w:fill="auto"/>
            <w:vAlign w:val="center"/>
          </w:tcPr>
          <w:p w14:paraId="606F6920" w14:textId="77777777" w:rsidR="00FB67F9" w:rsidRDefault="00FB67F9">
            <w:pPr>
              <w:rPr>
                <w:rFonts w:ascii="Times New Roman" w:hAnsi="Times New Roman"/>
                <w:sz w:val="20"/>
                <w:szCs w:val="20"/>
              </w:rPr>
            </w:pPr>
          </w:p>
        </w:tc>
      </w:tr>
      <w:tr w:rsidR="00FB67F9" w14:paraId="606F6926" w14:textId="77777777">
        <w:tc>
          <w:tcPr>
            <w:tcW w:w="0" w:type="auto"/>
            <w:shd w:val="clear" w:color="auto" w:fill="auto"/>
            <w:tcMar>
              <w:top w:w="40" w:type="dxa"/>
              <w:left w:w="40" w:type="dxa"/>
              <w:bottom w:w="40" w:type="dxa"/>
              <w:right w:w="40" w:type="dxa"/>
            </w:tcMar>
            <w:vAlign w:val="bottom"/>
          </w:tcPr>
          <w:p w14:paraId="606F692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692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692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692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692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927"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92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92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92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692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692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693C" w14:textId="77777777">
        <w:tc>
          <w:tcPr>
            <w:tcW w:w="0" w:type="auto"/>
            <w:shd w:val="clear" w:color="auto" w:fill="auto"/>
            <w:tcMar>
              <w:top w:w="40" w:type="dxa"/>
              <w:left w:w="40" w:type="dxa"/>
              <w:bottom w:w="40" w:type="dxa"/>
              <w:right w:w="40" w:type="dxa"/>
            </w:tcMar>
            <w:vAlign w:val="bottom"/>
          </w:tcPr>
          <w:p w14:paraId="606F692E"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E87722"/>
            </w:tcBorders>
            <w:shd w:val="clear" w:color="auto" w:fill="FFF1E7"/>
            <w:tcMar>
              <w:top w:w="40" w:type="dxa"/>
              <w:left w:w="40" w:type="dxa"/>
              <w:bottom w:w="40" w:type="dxa"/>
            </w:tcMar>
            <w:vAlign w:val="bottom"/>
          </w:tcPr>
          <w:p w14:paraId="606F692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693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10,326</w:t>
            </w:r>
          </w:p>
        </w:tc>
        <w:tc>
          <w:tcPr>
            <w:tcW w:w="0" w:type="auto"/>
            <w:tcBorders>
              <w:top w:val="single" w:sz="8" w:space="0" w:color="E87722"/>
            </w:tcBorders>
            <w:shd w:val="clear" w:color="auto" w:fill="FFF1E7"/>
            <w:vAlign w:val="bottom"/>
          </w:tcPr>
          <w:p w14:paraId="606F6931"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693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69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9,374</w:t>
            </w:r>
          </w:p>
        </w:tc>
        <w:tc>
          <w:tcPr>
            <w:tcW w:w="0" w:type="auto"/>
            <w:tcBorders>
              <w:top w:val="single" w:sz="8" w:space="0" w:color="E87722"/>
            </w:tcBorders>
            <w:shd w:val="clear" w:color="auto" w:fill="auto"/>
            <w:vAlign w:val="bottom"/>
          </w:tcPr>
          <w:p w14:paraId="606F6934"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93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693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69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20,986</w:t>
            </w:r>
          </w:p>
        </w:tc>
        <w:tc>
          <w:tcPr>
            <w:tcW w:w="0" w:type="auto"/>
            <w:shd w:val="clear" w:color="auto" w:fill="FFF1E7"/>
            <w:vAlign w:val="bottom"/>
          </w:tcPr>
          <w:p w14:paraId="606F6938"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693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69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19,322</w:t>
            </w:r>
          </w:p>
        </w:tc>
        <w:tc>
          <w:tcPr>
            <w:tcW w:w="0" w:type="auto"/>
            <w:tcBorders>
              <w:top w:val="single" w:sz="8" w:space="0" w:color="E87722"/>
            </w:tcBorders>
            <w:shd w:val="clear" w:color="auto" w:fill="auto"/>
            <w:vAlign w:val="bottom"/>
          </w:tcPr>
          <w:p w14:paraId="606F693B" w14:textId="77777777" w:rsidR="00FB67F9" w:rsidRDefault="00FB67F9">
            <w:pPr>
              <w:textAlignment w:val="bottom"/>
              <w:rPr>
                <w:rFonts w:ascii="Times New Roman" w:hAnsi="Times New Roman"/>
                <w:sz w:val="20"/>
                <w:szCs w:val="20"/>
              </w:rPr>
            </w:pPr>
          </w:p>
        </w:tc>
      </w:tr>
      <w:tr w:rsidR="00FB67F9" w14:paraId="606F6947"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93D"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Cost of </w:t>
            </w:r>
            <w:r>
              <w:rPr>
                <w:rFonts w:ascii="Arial" w:eastAsia="宋体" w:hAnsi="Arial" w:cs="Arial"/>
                <w:sz w:val="17"/>
                <w:szCs w:val="17"/>
              </w:rPr>
              <w:t>sales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93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5,782</w:t>
            </w:r>
          </w:p>
        </w:tc>
        <w:tc>
          <w:tcPr>
            <w:tcW w:w="0" w:type="auto"/>
            <w:tcBorders>
              <w:top w:val="single" w:sz="8" w:space="0" w:color="808080"/>
              <w:bottom w:val="single" w:sz="8" w:space="0" w:color="E87722"/>
            </w:tcBorders>
            <w:shd w:val="clear" w:color="auto" w:fill="FFF1E7"/>
            <w:vAlign w:val="bottom"/>
          </w:tcPr>
          <w:p w14:paraId="606F693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694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5,269</w:t>
            </w:r>
          </w:p>
        </w:tc>
        <w:tc>
          <w:tcPr>
            <w:tcW w:w="0" w:type="auto"/>
            <w:tcBorders>
              <w:top w:val="single" w:sz="8" w:space="0" w:color="808080"/>
              <w:bottom w:val="single" w:sz="8" w:space="0" w:color="E87722"/>
            </w:tcBorders>
            <w:shd w:val="clear" w:color="auto" w:fill="auto"/>
            <w:vAlign w:val="bottom"/>
          </w:tcPr>
          <w:p w14:paraId="606F694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94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9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11,571</w:t>
            </w:r>
          </w:p>
        </w:tc>
        <w:tc>
          <w:tcPr>
            <w:tcW w:w="0" w:type="auto"/>
            <w:tcBorders>
              <w:top w:val="single" w:sz="8" w:space="0" w:color="808080"/>
              <w:bottom w:val="single" w:sz="8" w:space="0" w:color="E87722"/>
            </w:tcBorders>
            <w:shd w:val="clear" w:color="auto" w:fill="FFF1E7"/>
            <w:vAlign w:val="bottom"/>
          </w:tcPr>
          <w:p w14:paraId="606F694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69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10,820</w:t>
            </w:r>
          </w:p>
        </w:tc>
        <w:tc>
          <w:tcPr>
            <w:tcW w:w="0" w:type="auto"/>
            <w:tcBorders>
              <w:top w:val="single" w:sz="8" w:space="0" w:color="808080"/>
              <w:bottom w:val="single" w:sz="8" w:space="0" w:color="E87722"/>
            </w:tcBorders>
            <w:shd w:val="clear" w:color="auto" w:fill="auto"/>
            <w:vAlign w:val="bottom"/>
          </w:tcPr>
          <w:p w14:paraId="606F6946" w14:textId="77777777" w:rsidR="00FB67F9" w:rsidRDefault="00FB67F9">
            <w:pPr>
              <w:textAlignment w:val="bottom"/>
              <w:rPr>
                <w:rFonts w:ascii="Times New Roman" w:hAnsi="Times New Roman"/>
                <w:sz w:val="20"/>
                <w:szCs w:val="20"/>
              </w:rPr>
            </w:pPr>
          </w:p>
        </w:tc>
      </w:tr>
      <w:tr w:rsidR="00FB67F9" w14:paraId="606F6952" w14:textId="77777777">
        <w:tc>
          <w:tcPr>
            <w:tcW w:w="0" w:type="auto"/>
            <w:shd w:val="clear" w:color="auto" w:fill="auto"/>
            <w:tcMar>
              <w:top w:w="40" w:type="dxa"/>
              <w:left w:w="240" w:type="dxa"/>
              <w:bottom w:w="40" w:type="dxa"/>
              <w:right w:w="40" w:type="dxa"/>
            </w:tcMar>
            <w:vAlign w:val="bottom"/>
          </w:tcPr>
          <w:p w14:paraId="606F6948" w14:textId="77777777" w:rsidR="00FB67F9" w:rsidRDefault="00E839DF">
            <w:pPr>
              <w:textAlignment w:val="bottom"/>
              <w:rPr>
                <w:rFonts w:ascii="Times New Roman" w:hAnsi="Times New Roman"/>
                <w:sz w:val="17"/>
                <w:szCs w:val="17"/>
              </w:rPr>
            </w:pPr>
            <w:r>
              <w:rPr>
                <w:rFonts w:ascii="Arial" w:eastAsia="宋体" w:hAnsi="Arial" w:cs="Arial"/>
                <w:sz w:val="17"/>
                <w:szCs w:val="17"/>
              </w:rPr>
              <w:t>Gross profit</w:t>
            </w:r>
          </w:p>
        </w:tc>
        <w:tc>
          <w:tcPr>
            <w:tcW w:w="0" w:type="auto"/>
            <w:gridSpan w:val="2"/>
            <w:tcBorders>
              <w:bottom w:val="single" w:sz="8" w:space="0" w:color="808080"/>
            </w:tcBorders>
            <w:shd w:val="clear" w:color="auto" w:fill="FFF1E7"/>
            <w:tcMar>
              <w:top w:w="40" w:type="dxa"/>
              <w:left w:w="40" w:type="dxa"/>
              <w:bottom w:w="40" w:type="dxa"/>
            </w:tcMar>
            <w:vAlign w:val="bottom"/>
          </w:tcPr>
          <w:p w14:paraId="606F694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4,544</w:t>
            </w:r>
          </w:p>
        </w:tc>
        <w:tc>
          <w:tcPr>
            <w:tcW w:w="0" w:type="auto"/>
            <w:tcBorders>
              <w:bottom w:val="single" w:sz="8" w:space="0" w:color="808080"/>
            </w:tcBorders>
            <w:shd w:val="clear" w:color="auto" w:fill="FFF1E7"/>
            <w:vAlign w:val="bottom"/>
          </w:tcPr>
          <w:p w14:paraId="606F694A" w14:textId="77777777" w:rsidR="00FB67F9" w:rsidRDefault="00FB67F9">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bottom"/>
          </w:tcPr>
          <w:p w14:paraId="606F694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4,105</w:t>
            </w:r>
          </w:p>
        </w:tc>
        <w:tc>
          <w:tcPr>
            <w:tcW w:w="0" w:type="auto"/>
            <w:tcBorders>
              <w:bottom w:val="single" w:sz="8" w:space="0" w:color="808080"/>
            </w:tcBorders>
            <w:shd w:val="clear" w:color="auto" w:fill="auto"/>
            <w:vAlign w:val="bottom"/>
          </w:tcPr>
          <w:p w14:paraId="606F694C"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94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694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9,415</w:t>
            </w:r>
          </w:p>
        </w:tc>
        <w:tc>
          <w:tcPr>
            <w:tcW w:w="0" w:type="auto"/>
            <w:shd w:val="clear" w:color="auto" w:fill="FFF1E7"/>
            <w:vAlign w:val="bottom"/>
          </w:tcPr>
          <w:p w14:paraId="606F694F" w14:textId="77777777" w:rsidR="00FB67F9" w:rsidRDefault="00FB67F9">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bottom"/>
          </w:tcPr>
          <w:p w14:paraId="606F69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8,502</w:t>
            </w:r>
          </w:p>
        </w:tc>
        <w:tc>
          <w:tcPr>
            <w:tcW w:w="0" w:type="auto"/>
            <w:tcBorders>
              <w:bottom w:val="single" w:sz="8" w:space="0" w:color="808080"/>
            </w:tcBorders>
            <w:shd w:val="clear" w:color="auto" w:fill="auto"/>
            <w:vAlign w:val="bottom"/>
          </w:tcPr>
          <w:p w14:paraId="606F6951" w14:textId="77777777" w:rsidR="00FB67F9" w:rsidRDefault="00FB67F9">
            <w:pPr>
              <w:textAlignment w:val="bottom"/>
              <w:rPr>
                <w:rFonts w:ascii="Times New Roman" w:hAnsi="Times New Roman"/>
                <w:sz w:val="20"/>
                <w:szCs w:val="20"/>
              </w:rPr>
            </w:pPr>
          </w:p>
        </w:tc>
      </w:tr>
      <w:tr w:rsidR="00FB67F9" w14:paraId="606F695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53" w14:textId="77777777" w:rsidR="00FB67F9" w:rsidRDefault="00E839DF">
            <w:pPr>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95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881</w:t>
            </w:r>
          </w:p>
        </w:tc>
        <w:tc>
          <w:tcPr>
            <w:tcW w:w="0" w:type="auto"/>
            <w:tcBorders>
              <w:top w:val="single" w:sz="8" w:space="0" w:color="808080"/>
              <w:bottom w:val="single" w:sz="8" w:space="0" w:color="808080"/>
            </w:tcBorders>
            <w:shd w:val="clear" w:color="auto" w:fill="FFF1E7"/>
            <w:vAlign w:val="bottom"/>
          </w:tcPr>
          <w:p w14:paraId="606F695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95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910</w:t>
            </w:r>
          </w:p>
        </w:tc>
        <w:tc>
          <w:tcPr>
            <w:tcW w:w="0" w:type="auto"/>
            <w:tcBorders>
              <w:top w:val="single" w:sz="8" w:space="0" w:color="808080"/>
              <w:bottom w:val="single" w:sz="8" w:space="0" w:color="808080"/>
            </w:tcBorders>
            <w:shd w:val="clear" w:color="auto" w:fill="auto"/>
            <w:vAlign w:val="bottom"/>
          </w:tcPr>
          <w:p w14:paraId="606F695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5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95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1,899</w:t>
            </w:r>
          </w:p>
        </w:tc>
        <w:tc>
          <w:tcPr>
            <w:tcW w:w="0" w:type="auto"/>
            <w:tcBorders>
              <w:top w:val="single" w:sz="8" w:space="0" w:color="808080"/>
              <w:bottom w:val="single" w:sz="8" w:space="0" w:color="808080"/>
            </w:tcBorders>
            <w:shd w:val="clear" w:color="auto" w:fill="FFF1E7"/>
            <w:vAlign w:val="bottom"/>
          </w:tcPr>
          <w:p w14:paraId="606F695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95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1,874</w:t>
            </w:r>
          </w:p>
        </w:tc>
        <w:tc>
          <w:tcPr>
            <w:tcW w:w="0" w:type="auto"/>
            <w:tcBorders>
              <w:top w:val="single" w:sz="8" w:space="0" w:color="808080"/>
              <w:bottom w:val="single" w:sz="8" w:space="0" w:color="808080"/>
            </w:tcBorders>
            <w:shd w:val="clear" w:color="auto" w:fill="auto"/>
            <w:vAlign w:val="bottom"/>
          </w:tcPr>
          <w:p w14:paraId="606F695C" w14:textId="77777777" w:rsidR="00FB67F9" w:rsidRDefault="00FB67F9">
            <w:pPr>
              <w:textAlignment w:val="bottom"/>
              <w:rPr>
                <w:rFonts w:ascii="Times New Roman" w:hAnsi="Times New Roman"/>
                <w:sz w:val="20"/>
                <w:szCs w:val="20"/>
              </w:rPr>
            </w:pPr>
          </w:p>
        </w:tc>
      </w:tr>
      <w:tr w:rsidR="00FB67F9" w14:paraId="606F6968" w14:textId="77777777">
        <w:tc>
          <w:tcPr>
            <w:tcW w:w="0" w:type="auto"/>
            <w:shd w:val="clear" w:color="auto" w:fill="auto"/>
            <w:tcMar>
              <w:top w:w="40" w:type="dxa"/>
              <w:left w:w="40" w:type="dxa"/>
              <w:bottom w:w="40" w:type="dxa"/>
              <w:right w:w="40" w:type="dxa"/>
            </w:tcMar>
            <w:vAlign w:val="bottom"/>
          </w:tcPr>
          <w:p w14:paraId="606F695E" w14:textId="77777777" w:rsidR="00FB67F9" w:rsidRDefault="00E839DF">
            <w:pPr>
              <w:textAlignment w:val="bottom"/>
              <w:rPr>
                <w:rFonts w:ascii="Times New Roman" w:hAnsi="Times New Roman"/>
                <w:sz w:val="17"/>
                <w:szCs w:val="17"/>
              </w:rPr>
            </w:pPr>
            <w:r>
              <w:rPr>
                <w:rFonts w:ascii="Arial" w:eastAsia="宋体" w:hAnsi="Arial" w:cs="Arial"/>
                <w:sz w:val="17"/>
                <w:szCs w:val="17"/>
              </w:rPr>
              <w:t>Operating overhead expense</w:t>
            </w:r>
          </w:p>
        </w:tc>
        <w:tc>
          <w:tcPr>
            <w:tcW w:w="0" w:type="auto"/>
            <w:gridSpan w:val="2"/>
            <w:shd w:val="clear" w:color="auto" w:fill="FFF1E7"/>
            <w:tcMar>
              <w:top w:w="40" w:type="dxa"/>
              <w:left w:w="40" w:type="dxa"/>
              <w:bottom w:w="40" w:type="dxa"/>
            </w:tcMar>
            <w:vAlign w:val="bottom"/>
          </w:tcPr>
          <w:p w14:paraId="606F695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2,443</w:t>
            </w:r>
          </w:p>
        </w:tc>
        <w:tc>
          <w:tcPr>
            <w:tcW w:w="0" w:type="auto"/>
            <w:shd w:val="clear" w:color="auto" w:fill="FFF1E7"/>
            <w:vAlign w:val="bottom"/>
          </w:tcPr>
          <w:p w14:paraId="606F6960"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96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2,232</w:t>
            </w:r>
          </w:p>
        </w:tc>
        <w:tc>
          <w:tcPr>
            <w:tcW w:w="0" w:type="auto"/>
            <w:shd w:val="clear" w:color="auto" w:fill="auto"/>
            <w:vAlign w:val="bottom"/>
          </w:tcPr>
          <w:p w14:paraId="606F6962"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96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69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4,753</w:t>
            </w:r>
          </w:p>
        </w:tc>
        <w:tc>
          <w:tcPr>
            <w:tcW w:w="0" w:type="auto"/>
            <w:shd w:val="clear" w:color="auto" w:fill="FFF1E7"/>
            <w:vAlign w:val="bottom"/>
          </w:tcPr>
          <w:p w14:paraId="606F6965"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9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4,331</w:t>
            </w:r>
          </w:p>
        </w:tc>
        <w:tc>
          <w:tcPr>
            <w:tcW w:w="0" w:type="auto"/>
            <w:shd w:val="clear" w:color="auto" w:fill="auto"/>
            <w:vAlign w:val="bottom"/>
          </w:tcPr>
          <w:p w14:paraId="606F6967" w14:textId="77777777" w:rsidR="00FB67F9" w:rsidRDefault="00FB67F9">
            <w:pPr>
              <w:textAlignment w:val="bottom"/>
              <w:rPr>
                <w:rFonts w:ascii="Times New Roman" w:hAnsi="Times New Roman"/>
                <w:sz w:val="20"/>
                <w:szCs w:val="20"/>
              </w:rPr>
            </w:pPr>
          </w:p>
        </w:tc>
      </w:tr>
      <w:tr w:rsidR="00FB67F9" w14:paraId="606F6973" w14:textId="77777777">
        <w:tc>
          <w:tcPr>
            <w:tcW w:w="0" w:type="auto"/>
            <w:tcBorders>
              <w:top w:val="single" w:sz="8" w:space="0" w:color="E87722"/>
            </w:tcBorders>
            <w:shd w:val="clear" w:color="auto" w:fill="auto"/>
            <w:tcMar>
              <w:top w:w="40" w:type="dxa"/>
              <w:left w:w="240" w:type="dxa"/>
              <w:bottom w:w="40" w:type="dxa"/>
              <w:right w:w="40" w:type="dxa"/>
            </w:tcMar>
            <w:vAlign w:val="bottom"/>
          </w:tcPr>
          <w:p w14:paraId="606F6969"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selling and administrative expense</w:t>
            </w:r>
          </w:p>
        </w:tc>
        <w:tc>
          <w:tcPr>
            <w:tcW w:w="0" w:type="auto"/>
            <w:gridSpan w:val="2"/>
            <w:tcBorders>
              <w:top w:val="single" w:sz="8" w:space="0" w:color="E87722"/>
              <w:bottom w:val="single" w:sz="8" w:space="0" w:color="808080"/>
            </w:tcBorders>
            <w:shd w:val="clear" w:color="auto" w:fill="FFF1E7"/>
            <w:tcMar>
              <w:top w:w="40" w:type="dxa"/>
              <w:left w:w="40" w:type="dxa"/>
              <w:bottom w:w="40" w:type="dxa"/>
            </w:tcMar>
            <w:vAlign w:val="bottom"/>
          </w:tcPr>
          <w:p w14:paraId="606F696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3,324</w:t>
            </w:r>
          </w:p>
        </w:tc>
        <w:tc>
          <w:tcPr>
            <w:tcW w:w="0" w:type="auto"/>
            <w:tcBorders>
              <w:top w:val="single" w:sz="8" w:space="0" w:color="E87722"/>
              <w:bottom w:val="single" w:sz="8" w:space="0" w:color="808080"/>
            </w:tcBorders>
            <w:shd w:val="clear" w:color="auto" w:fill="FFF1E7"/>
            <w:vAlign w:val="bottom"/>
          </w:tcPr>
          <w:p w14:paraId="606F696B"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808080"/>
            </w:tcBorders>
            <w:shd w:val="clear" w:color="auto" w:fill="auto"/>
            <w:tcMar>
              <w:top w:w="40" w:type="dxa"/>
              <w:left w:w="40" w:type="dxa"/>
              <w:bottom w:w="40" w:type="dxa"/>
            </w:tcMar>
            <w:vAlign w:val="bottom"/>
          </w:tcPr>
          <w:p w14:paraId="606F696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3,142</w:t>
            </w:r>
          </w:p>
        </w:tc>
        <w:tc>
          <w:tcPr>
            <w:tcW w:w="0" w:type="auto"/>
            <w:tcBorders>
              <w:top w:val="single" w:sz="8" w:space="0" w:color="E87722"/>
              <w:bottom w:val="single" w:sz="8" w:space="0" w:color="808080"/>
            </w:tcBorders>
            <w:shd w:val="clear" w:color="auto" w:fill="auto"/>
            <w:vAlign w:val="bottom"/>
          </w:tcPr>
          <w:p w14:paraId="606F696D"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606F696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606F696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6,652</w:t>
            </w:r>
          </w:p>
        </w:tc>
        <w:tc>
          <w:tcPr>
            <w:tcW w:w="0" w:type="auto"/>
            <w:tcBorders>
              <w:top w:val="single" w:sz="8" w:space="0" w:color="E87722"/>
            </w:tcBorders>
            <w:shd w:val="clear" w:color="auto" w:fill="FFF1E7"/>
            <w:vAlign w:val="bottom"/>
          </w:tcPr>
          <w:p w14:paraId="606F6970"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808080"/>
            </w:tcBorders>
            <w:shd w:val="clear" w:color="auto" w:fill="auto"/>
            <w:tcMar>
              <w:top w:w="40" w:type="dxa"/>
              <w:left w:w="40" w:type="dxa"/>
              <w:bottom w:w="40" w:type="dxa"/>
            </w:tcMar>
            <w:vAlign w:val="bottom"/>
          </w:tcPr>
          <w:p w14:paraId="606F697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6,205</w:t>
            </w:r>
          </w:p>
        </w:tc>
        <w:tc>
          <w:tcPr>
            <w:tcW w:w="0" w:type="auto"/>
            <w:tcBorders>
              <w:top w:val="single" w:sz="8" w:space="0" w:color="E87722"/>
              <w:bottom w:val="single" w:sz="8" w:space="0" w:color="808080"/>
            </w:tcBorders>
            <w:shd w:val="clear" w:color="auto" w:fill="auto"/>
            <w:vAlign w:val="bottom"/>
          </w:tcPr>
          <w:p w14:paraId="606F6972" w14:textId="77777777" w:rsidR="00FB67F9" w:rsidRDefault="00FB67F9">
            <w:pPr>
              <w:textAlignment w:val="bottom"/>
              <w:rPr>
                <w:rFonts w:ascii="Times New Roman" w:hAnsi="Times New Roman"/>
                <w:sz w:val="20"/>
                <w:szCs w:val="20"/>
              </w:rPr>
            </w:pPr>
          </w:p>
        </w:tc>
      </w:tr>
      <w:tr w:rsidR="00FB67F9" w14:paraId="606F697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74"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97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FFF1E7"/>
            <w:vAlign w:val="bottom"/>
          </w:tcPr>
          <w:p w14:paraId="606F697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97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vAlign w:val="bottom"/>
          </w:tcPr>
          <w:p w14:paraId="606F697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7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97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w:t>
            </w:r>
          </w:p>
        </w:tc>
        <w:tc>
          <w:tcPr>
            <w:tcW w:w="0" w:type="auto"/>
            <w:tcBorders>
              <w:top w:val="single" w:sz="8" w:space="0" w:color="808080"/>
              <w:bottom w:val="single" w:sz="8" w:space="0" w:color="808080"/>
            </w:tcBorders>
            <w:shd w:val="clear" w:color="auto" w:fill="FFF1E7"/>
            <w:vAlign w:val="bottom"/>
          </w:tcPr>
          <w:p w14:paraId="606F697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97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auto"/>
            <w:vAlign w:val="bottom"/>
          </w:tcPr>
          <w:p w14:paraId="606F697D" w14:textId="77777777" w:rsidR="00FB67F9" w:rsidRDefault="00FB67F9">
            <w:pPr>
              <w:textAlignment w:val="bottom"/>
              <w:rPr>
                <w:rFonts w:ascii="Times New Roman" w:hAnsi="Times New Roman"/>
                <w:sz w:val="20"/>
                <w:szCs w:val="20"/>
              </w:rPr>
            </w:pPr>
          </w:p>
        </w:tc>
      </w:tr>
      <w:tr w:rsidR="00FB67F9" w14:paraId="606F6989"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97F"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9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w:t>
            </w:r>
          </w:p>
        </w:tc>
        <w:tc>
          <w:tcPr>
            <w:tcW w:w="0" w:type="auto"/>
            <w:tcBorders>
              <w:bottom w:val="single" w:sz="8" w:space="0" w:color="E87722"/>
            </w:tcBorders>
            <w:shd w:val="clear" w:color="auto" w:fill="FFF1E7"/>
            <w:tcMar>
              <w:top w:w="40" w:type="dxa"/>
              <w:bottom w:w="40" w:type="dxa"/>
              <w:right w:w="40" w:type="dxa"/>
            </w:tcMar>
            <w:vAlign w:val="bottom"/>
          </w:tcPr>
          <w:p w14:paraId="606F698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69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w:t>
            </w:r>
          </w:p>
        </w:tc>
        <w:tc>
          <w:tcPr>
            <w:tcW w:w="0" w:type="auto"/>
            <w:tcBorders>
              <w:bottom w:val="single" w:sz="8" w:space="0" w:color="E87722"/>
            </w:tcBorders>
            <w:shd w:val="clear" w:color="auto" w:fill="auto"/>
            <w:tcMar>
              <w:top w:w="40" w:type="dxa"/>
              <w:bottom w:w="40" w:type="dxa"/>
              <w:right w:w="40" w:type="dxa"/>
            </w:tcMar>
            <w:vAlign w:val="bottom"/>
          </w:tcPr>
          <w:p w14:paraId="606F698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98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98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(74</w:t>
            </w:r>
          </w:p>
        </w:tc>
        <w:tc>
          <w:tcPr>
            <w:tcW w:w="0" w:type="auto"/>
            <w:tcBorders>
              <w:bottom w:val="single" w:sz="8" w:space="0" w:color="E87722"/>
            </w:tcBorders>
            <w:shd w:val="clear" w:color="auto" w:fill="FFF1E7"/>
            <w:tcMar>
              <w:top w:w="40" w:type="dxa"/>
              <w:bottom w:w="40" w:type="dxa"/>
              <w:right w:w="40" w:type="dxa"/>
            </w:tcMar>
            <w:vAlign w:val="bottom"/>
          </w:tcPr>
          <w:p w14:paraId="606F698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698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bottom w:val="single" w:sz="8" w:space="0" w:color="E87722"/>
            </w:tcBorders>
            <w:shd w:val="clear" w:color="auto" w:fill="auto"/>
            <w:vAlign w:val="bottom"/>
          </w:tcPr>
          <w:p w14:paraId="606F6988" w14:textId="77777777" w:rsidR="00FB67F9" w:rsidRDefault="00FB67F9">
            <w:pPr>
              <w:textAlignment w:val="bottom"/>
              <w:rPr>
                <w:rFonts w:ascii="Times New Roman" w:hAnsi="Times New Roman"/>
                <w:sz w:val="20"/>
                <w:szCs w:val="20"/>
              </w:rPr>
            </w:pPr>
          </w:p>
        </w:tc>
      </w:tr>
      <w:tr w:rsidR="00FB67F9" w14:paraId="606F6994" w14:textId="77777777">
        <w:tc>
          <w:tcPr>
            <w:tcW w:w="0" w:type="auto"/>
            <w:tcBorders>
              <w:bottom w:val="single" w:sz="8" w:space="0" w:color="808080"/>
            </w:tcBorders>
            <w:shd w:val="clear" w:color="auto" w:fill="auto"/>
            <w:tcMar>
              <w:top w:w="40" w:type="dxa"/>
              <w:left w:w="40" w:type="dxa"/>
              <w:bottom w:w="40" w:type="dxa"/>
              <w:right w:w="40" w:type="dxa"/>
            </w:tcMar>
            <w:vAlign w:val="bottom"/>
          </w:tcPr>
          <w:p w14:paraId="606F698A" w14:textId="77777777" w:rsidR="00FB67F9" w:rsidRDefault="00E839DF">
            <w:pPr>
              <w:textAlignment w:val="bottom"/>
              <w:rPr>
                <w:rFonts w:ascii="Times New Roman" w:hAnsi="Times New Roman"/>
                <w:sz w:val="17"/>
                <w:szCs w:val="17"/>
              </w:rPr>
            </w:pPr>
            <w:r>
              <w:rPr>
                <w:rFonts w:ascii="Arial" w:eastAsia="宋体" w:hAnsi="Arial" w:cs="Arial"/>
                <w:sz w:val="17"/>
                <w:szCs w:val="17"/>
              </w:rPr>
              <w:t>Income before income taxes</w:t>
            </w:r>
          </w:p>
        </w:tc>
        <w:tc>
          <w:tcPr>
            <w:tcW w:w="0" w:type="auto"/>
            <w:gridSpan w:val="2"/>
            <w:tcBorders>
              <w:bottom w:val="single" w:sz="8" w:space="0" w:color="808080"/>
            </w:tcBorders>
            <w:shd w:val="clear" w:color="auto" w:fill="FFF1E7"/>
            <w:tcMar>
              <w:top w:w="40" w:type="dxa"/>
              <w:left w:w="40" w:type="dxa"/>
              <w:bottom w:w="40" w:type="dxa"/>
            </w:tcMar>
            <w:vAlign w:val="bottom"/>
          </w:tcPr>
          <w:p w14:paraId="606F698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1,249</w:t>
            </w:r>
          </w:p>
        </w:tc>
        <w:tc>
          <w:tcPr>
            <w:tcW w:w="0" w:type="auto"/>
            <w:tcBorders>
              <w:bottom w:val="single" w:sz="8" w:space="0" w:color="808080"/>
            </w:tcBorders>
            <w:shd w:val="clear" w:color="auto" w:fill="FFF1E7"/>
            <w:vAlign w:val="bottom"/>
          </w:tcPr>
          <w:p w14:paraId="606F698C" w14:textId="77777777" w:rsidR="00FB67F9" w:rsidRDefault="00FB67F9">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bottom"/>
          </w:tcPr>
          <w:p w14:paraId="606F698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997</w:t>
            </w:r>
          </w:p>
        </w:tc>
        <w:tc>
          <w:tcPr>
            <w:tcW w:w="0" w:type="auto"/>
            <w:tcBorders>
              <w:bottom w:val="single" w:sz="8" w:space="0" w:color="808080"/>
            </w:tcBorders>
            <w:shd w:val="clear" w:color="auto" w:fill="auto"/>
            <w:vAlign w:val="bottom"/>
          </w:tcPr>
          <w:p w14:paraId="606F698E"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right w:w="40" w:type="dxa"/>
            </w:tcMar>
            <w:vAlign w:val="bottom"/>
          </w:tcPr>
          <w:p w14:paraId="606F698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808080"/>
            </w:tcBorders>
            <w:shd w:val="clear" w:color="auto" w:fill="FFF1E7"/>
            <w:tcMar>
              <w:top w:w="40" w:type="dxa"/>
              <w:left w:w="40" w:type="dxa"/>
              <w:bottom w:w="40" w:type="dxa"/>
            </w:tcMar>
            <w:vAlign w:val="bottom"/>
          </w:tcPr>
          <w:p w14:paraId="606F699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2,810</w:t>
            </w:r>
          </w:p>
        </w:tc>
        <w:tc>
          <w:tcPr>
            <w:tcW w:w="0" w:type="auto"/>
            <w:tcBorders>
              <w:bottom w:val="single" w:sz="8" w:space="0" w:color="808080"/>
            </w:tcBorders>
            <w:shd w:val="clear" w:color="auto" w:fill="FFF1E7"/>
            <w:vAlign w:val="bottom"/>
          </w:tcPr>
          <w:p w14:paraId="606F699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bottom"/>
          </w:tcPr>
          <w:p w14:paraId="606F699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2,267</w:t>
            </w:r>
          </w:p>
        </w:tc>
        <w:tc>
          <w:tcPr>
            <w:tcW w:w="0" w:type="auto"/>
            <w:tcBorders>
              <w:bottom w:val="single" w:sz="8" w:space="0" w:color="808080"/>
            </w:tcBorders>
            <w:shd w:val="clear" w:color="auto" w:fill="auto"/>
            <w:vAlign w:val="bottom"/>
          </w:tcPr>
          <w:p w14:paraId="606F6993" w14:textId="77777777" w:rsidR="00FB67F9" w:rsidRDefault="00FB67F9">
            <w:pPr>
              <w:textAlignment w:val="bottom"/>
              <w:rPr>
                <w:rFonts w:ascii="Times New Roman" w:hAnsi="Times New Roman"/>
                <w:sz w:val="20"/>
                <w:szCs w:val="20"/>
              </w:rPr>
            </w:pPr>
          </w:p>
        </w:tc>
      </w:tr>
      <w:tr w:rsidR="00FB67F9" w14:paraId="606F699F" w14:textId="77777777">
        <w:tc>
          <w:tcPr>
            <w:tcW w:w="0" w:type="auto"/>
            <w:shd w:val="clear" w:color="auto" w:fill="auto"/>
            <w:tcMar>
              <w:top w:w="40" w:type="dxa"/>
              <w:left w:w="40" w:type="dxa"/>
              <w:bottom w:w="40" w:type="dxa"/>
              <w:right w:w="40" w:type="dxa"/>
            </w:tcMar>
            <w:vAlign w:val="bottom"/>
          </w:tcPr>
          <w:p w14:paraId="606F6995" w14:textId="77777777" w:rsidR="00FB67F9" w:rsidRDefault="00E839DF">
            <w:pPr>
              <w:textAlignment w:val="bottom"/>
              <w:rPr>
                <w:rFonts w:ascii="Times New Roman" w:hAnsi="Times New Roman"/>
                <w:sz w:val="17"/>
                <w:szCs w:val="17"/>
              </w:rPr>
            </w:pPr>
            <w:r>
              <w:rPr>
                <w:rFonts w:ascii="Arial" w:eastAsia="宋体" w:hAnsi="Arial" w:cs="Arial"/>
                <w:sz w:val="17"/>
                <w:szCs w:val="17"/>
              </w:rPr>
              <w:t>Income tax expense</w:t>
            </w:r>
          </w:p>
        </w:tc>
        <w:tc>
          <w:tcPr>
            <w:tcW w:w="0" w:type="auto"/>
            <w:gridSpan w:val="2"/>
            <w:shd w:val="clear" w:color="auto" w:fill="FFF1E7"/>
            <w:tcMar>
              <w:top w:w="40" w:type="dxa"/>
              <w:left w:w="40" w:type="dxa"/>
              <w:bottom w:w="40" w:type="dxa"/>
            </w:tcMar>
            <w:vAlign w:val="bottom"/>
          </w:tcPr>
          <w:p w14:paraId="606F699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134</w:t>
            </w:r>
          </w:p>
        </w:tc>
        <w:tc>
          <w:tcPr>
            <w:tcW w:w="0" w:type="auto"/>
            <w:shd w:val="clear" w:color="auto" w:fill="FFF1E7"/>
            <w:vAlign w:val="bottom"/>
          </w:tcPr>
          <w:p w14:paraId="606F6997"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99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150</w:t>
            </w:r>
          </w:p>
        </w:tc>
        <w:tc>
          <w:tcPr>
            <w:tcW w:w="0" w:type="auto"/>
            <w:shd w:val="clear" w:color="auto" w:fill="auto"/>
            <w:vAlign w:val="bottom"/>
          </w:tcPr>
          <w:p w14:paraId="606F6999"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99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699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328</w:t>
            </w:r>
          </w:p>
        </w:tc>
        <w:tc>
          <w:tcPr>
            <w:tcW w:w="0" w:type="auto"/>
            <w:shd w:val="clear" w:color="auto" w:fill="FFF1E7"/>
            <w:vAlign w:val="bottom"/>
          </w:tcPr>
          <w:p w14:paraId="606F699C"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99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328</w:t>
            </w:r>
          </w:p>
        </w:tc>
        <w:tc>
          <w:tcPr>
            <w:tcW w:w="0" w:type="auto"/>
            <w:shd w:val="clear" w:color="auto" w:fill="auto"/>
            <w:vAlign w:val="bottom"/>
          </w:tcPr>
          <w:p w14:paraId="606F699E" w14:textId="77777777" w:rsidR="00FB67F9" w:rsidRDefault="00FB67F9">
            <w:pPr>
              <w:textAlignment w:val="bottom"/>
              <w:rPr>
                <w:rFonts w:ascii="Times New Roman" w:hAnsi="Times New Roman"/>
                <w:sz w:val="20"/>
                <w:szCs w:val="20"/>
              </w:rPr>
            </w:pPr>
          </w:p>
        </w:tc>
      </w:tr>
      <w:tr w:rsidR="00FB67F9" w14:paraId="606F69AE"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9A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NET INCOME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9A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9A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1,115</w:t>
            </w:r>
          </w:p>
        </w:tc>
        <w:tc>
          <w:tcPr>
            <w:tcW w:w="0" w:type="auto"/>
            <w:tcBorders>
              <w:top w:val="single" w:sz="8" w:space="0" w:color="E87722"/>
              <w:bottom w:val="single" w:sz="8" w:space="0" w:color="E87722"/>
            </w:tcBorders>
            <w:shd w:val="clear" w:color="auto" w:fill="FFF1E7"/>
            <w:vAlign w:val="bottom"/>
          </w:tcPr>
          <w:p w14:paraId="606F69A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9A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9A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847</w:t>
            </w:r>
          </w:p>
        </w:tc>
        <w:tc>
          <w:tcPr>
            <w:tcW w:w="0" w:type="auto"/>
            <w:tcBorders>
              <w:top w:val="single" w:sz="8" w:space="0" w:color="E87722"/>
              <w:bottom w:val="single" w:sz="8" w:space="0" w:color="E87722"/>
            </w:tcBorders>
            <w:shd w:val="clear" w:color="auto" w:fill="auto"/>
            <w:vAlign w:val="bottom"/>
          </w:tcPr>
          <w:p w14:paraId="606F69A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9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9A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9A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2,482</w:t>
            </w:r>
          </w:p>
        </w:tc>
        <w:tc>
          <w:tcPr>
            <w:tcW w:w="0" w:type="auto"/>
            <w:tcBorders>
              <w:top w:val="single" w:sz="8" w:space="0" w:color="E87722"/>
              <w:bottom w:val="single" w:sz="8" w:space="0" w:color="E87722"/>
            </w:tcBorders>
            <w:shd w:val="clear" w:color="auto" w:fill="FFF1E7"/>
            <w:vAlign w:val="bottom"/>
          </w:tcPr>
          <w:p w14:paraId="606F69A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9A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9A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1,939</w:t>
            </w:r>
          </w:p>
        </w:tc>
        <w:tc>
          <w:tcPr>
            <w:tcW w:w="0" w:type="auto"/>
            <w:tcBorders>
              <w:top w:val="single" w:sz="8" w:space="0" w:color="E87722"/>
              <w:bottom w:val="single" w:sz="8" w:space="0" w:color="E87722"/>
            </w:tcBorders>
            <w:shd w:val="clear" w:color="auto" w:fill="auto"/>
            <w:vAlign w:val="bottom"/>
          </w:tcPr>
          <w:p w14:paraId="606F69AD" w14:textId="77777777" w:rsidR="00FB67F9" w:rsidRDefault="00FB67F9">
            <w:pPr>
              <w:textAlignment w:val="bottom"/>
              <w:rPr>
                <w:rFonts w:ascii="Times New Roman" w:hAnsi="Times New Roman"/>
                <w:sz w:val="20"/>
                <w:szCs w:val="20"/>
              </w:rPr>
            </w:pPr>
          </w:p>
        </w:tc>
      </w:tr>
      <w:tr w:rsidR="00FB67F9" w14:paraId="606F69B5" w14:textId="77777777">
        <w:tc>
          <w:tcPr>
            <w:tcW w:w="0" w:type="auto"/>
            <w:shd w:val="clear" w:color="auto" w:fill="auto"/>
            <w:tcMar>
              <w:top w:w="40" w:type="dxa"/>
              <w:left w:w="40" w:type="dxa"/>
              <w:bottom w:w="40" w:type="dxa"/>
              <w:right w:w="40" w:type="dxa"/>
            </w:tcMar>
            <w:vAlign w:val="bottom"/>
          </w:tcPr>
          <w:p w14:paraId="606F69AF" w14:textId="77777777" w:rsidR="00FB67F9" w:rsidRDefault="00E839DF">
            <w:pPr>
              <w:textAlignment w:val="bottom"/>
              <w:rPr>
                <w:rFonts w:ascii="Times New Roman" w:hAnsi="Times New Roman"/>
                <w:sz w:val="17"/>
                <w:szCs w:val="17"/>
              </w:rPr>
            </w:pPr>
            <w:r>
              <w:rPr>
                <w:rFonts w:ascii="Arial" w:eastAsia="宋体" w:hAnsi="Arial" w:cs="Arial"/>
                <w:sz w:val="17"/>
                <w:szCs w:val="17"/>
              </w:rPr>
              <w:t>Earnings per common share:</w:t>
            </w:r>
          </w:p>
        </w:tc>
        <w:tc>
          <w:tcPr>
            <w:tcW w:w="0" w:type="auto"/>
            <w:gridSpan w:val="3"/>
            <w:shd w:val="clear" w:color="auto" w:fill="FFF1E7"/>
            <w:tcMar>
              <w:top w:w="40" w:type="dxa"/>
              <w:left w:w="40" w:type="dxa"/>
              <w:bottom w:w="40" w:type="dxa"/>
              <w:right w:w="40" w:type="dxa"/>
            </w:tcMar>
            <w:vAlign w:val="bottom"/>
          </w:tcPr>
          <w:p w14:paraId="606F69B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69B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69B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69B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69B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9C4"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9B6" w14:textId="77777777" w:rsidR="00FB67F9" w:rsidRDefault="00E839DF">
            <w:pPr>
              <w:textAlignment w:val="bottom"/>
              <w:rPr>
                <w:rFonts w:ascii="Times New Roman" w:hAnsi="Times New Roman"/>
                <w:sz w:val="17"/>
                <w:szCs w:val="17"/>
              </w:rPr>
            </w:pPr>
            <w:r>
              <w:rPr>
                <w:rFonts w:ascii="Arial" w:eastAsia="宋体" w:hAnsi="Arial" w:cs="Arial"/>
                <w:sz w:val="17"/>
                <w:szCs w:val="17"/>
              </w:rPr>
              <w:t>Basic</w:t>
            </w:r>
          </w:p>
        </w:tc>
        <w:tc>
          <w:tcPr>
            <w:tcW w:w="0" w:type="auto"/>
            <w:tcBorders>
              <w:top w:val="single" w:sz="8" w:space="0" w:color="808080"/>
            </w:tcBorders>
            <w:shd w:val="clear" w:color="auto" w:fill="FFF1E7"/>
            <w:tcMar>
              <w:top w:w="40" w:type="dxa"/>
              <w:left w:w="40" w:type="dxa"/>
              <w:bottom w:w="40" w:type="dxa"/>
            </w:tcMar>
            <w:vAlign w:val="bottom"/>
          </w:tcPr>
          <w:p w14:paraId="606F69B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69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0.71</w:t>
            </w:r>
          </w:p>
        </w:tc>
        <w:tc>
          <w:tcPr>
            <w:tcW w:w="0" w:type="auto"/>
            <w:tcBorders>
              <w:top w:val="single" w:sz="8" w:space="0" w:color="808080"/>
            </w:tcBorders>
            <w:shd w:val="clear" w:color="auto" w:fill="FFF1E7"/>
            <w:vAlign w:val="bottom"/>
          </w:tcPr>
          <w:p w14:paraId="606F69B9"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69B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69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0.54</w:t>
            </w:r>
          </w:p>
        </w:tc>
        <w:tc>
          <w:tcPr>
            <w:tcW w:w="0" w:type="auto"/>
            <w:tcBorders>
              <w:top w:val="single" w:sz="8" w:space="0" w:color="808080"/>
            </w:tcBorders>
            <w:shd w:val="clear" w:color="auto" w:fill="auto"/>
            <w:vAlign w:val="bottom"/>
          </w:tcPr>
          <w:p w14:paraId="606F69B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9B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9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69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1.59</w:t>
            </w:r>
          </w:p>
        </w:tc>
        <w:tc>
          <w:tcPr>
            <w:tcW w:w="0" w:type="auto"/>
            <w:tcBorders>
              <w:top w:val="single" w:sz="8" w:space="0" w:color="808080"/>
            </w:tcBorders>
            <w:shd w:val="clear" w:color="auto" w:fill="FFF1E7"/>
            <w:vAlign w:val="bottom"/>
          </w:tcPr>
          <w:p w14:paraId="606F69C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69C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69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1.22</w:t>
            </w:r>
          </w:p>
        </w:tc>
        <w:tc>
          <w:tcPr>
            <w:tcW w:w="0" w:type="auto"/>
            <w:tcBorders>
              <w:top w:val="single" w:sz="8" w:space="0" w:color="808080"/>
            </w:tcBorders>
            <w:shd w:val="clear" w:color="auto" w:fill="auto"/>
            <w:vAlign w:val="bottom"/>
          </w:tcPr>
          <w:p w14:paraId="606F69C3" w14:textId="77777777" w:rsidR="00FB67F9" w:rsidRDefault="00FB67F9">
            <w:pPr>
              <w:textAlignment w:val="bottom"/>
              <w:rPr>
                <w:rFonts w:ascii="Times New Roman" w:hAnsi="Times New Roman"/>
                <w:sz w:val="20"/>
                <w:szCs w:val="20"/>
              </w:rPr>
            </w:pPr>
          </w:p>
        </w:tc>
      </w:tr>
      <w:tr w:rsidR="00FB67F9" w14:paraId="606F69D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9C5" w14:textId="77777777" w:rsidR="00FB67F9" w:rsidRDefault="00E839DF">
            <w:pPr>
              <w:textAlignment w:val="bottom"/>
              <w:rPr>
                <w:rFonts w:ascii="Times New Roman" w:hAnsi="Times New Roman"/>
                <w:sz w:val="17"/>
                <w:szCs w:val="17"/>
              </w:rPr>
            </w:pPr>
            <w:r>
              <w:rPr>
                <w:rFonts w:ascii="Arial" w:eastAsia="宋体" w:hAnsi="Arial" w:cs="Arial"/>
                <w:sz w:val="17"/>
                <w:szCs w:val="17"/>
              </w:rPr>
              <w:t>Diluted</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69C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69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0.70</w:t>
            </w:r>
          </w:p>
        </w:tc>
        <w:tc>
          <w:tcPr>
            <w:tcW w:w="0" w:type="auto"/>
            <w:tcBorders>
              <w:top w:val="single" w:sz="8" w:space="0" w:color="808080"/>
              <w:bottom w:val="single" w:sz="8" w:space="0" w:color="808080"/>
            </w:tcBorders>
            <w:shd w:val="clear" w:color="auto" w:fill="FFF1E7"/>
            <w:vAlign w:val="bottom"/>
          </w:tcPr>
          <w:p w14:paraId="606F69C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69C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69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0.52</w:t>
            </w:r>
          </w:p>
        </w:tc>
        <w:tc>
          <w:tcPr>
            <w:tcW w:w="0" w:type="auto"/>
            <w:tcBorders>
              <w:top w:val="single" w:sz="8" w:space="0" w:color="808080"/>
              <w:bottom w:val="single" w:sz="8" w:space="0" w:color="808080"/>
            </w:tcBorders>
            <w:shd w:val="clear" w:color="auto" w:fill="auto"/>
            <w:vAlign w:val="bottom"/>
          </w:tcPr>
          <w:p w14:paraId="606F69C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9C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9C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69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1.56</w:t>
            </w:r>
          </w:p>
        </w:tc>
        <w:tc>
          <w:tcPr>
            <w:tcW w:w="0" w:type="auto"/>
            <w:tcBorders>
              <w:top w:val="single" w:sz="8" w:space="0" w:color="808080"/>
            </w:tcBorders>
            <w:shd w:val="clear" w:color="auto" w:fill="FFF1E7"/>
            <w:vAlign w:val="bottom"/>
          </w:tcPr>
          <w:p w14:paraId="606F69C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69D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69D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1.19</w:t>
            </w:r>
          </w:p>
        </w:tc>
        <w:tc>
          <w:tcPr>
            <w:tcW w:w="0" w:type="auto"/>
            <w:tcBorders>
              <w:top w:val="single" w:sz="8" w:space="0" w:color="808080"/>
              <w:bottom w:val="single" w:sz="8" w:space="0" w:color="808080"/>
            </w:tcBorders>
            <w:shd w:val="clear" w:color="auto" w:fill="auto"/>
            <w:vAlign w:val="bottom"/>
          </w:tcPr>
          <w:p w14:paraId="606F69D2" w14:textId="77777777" w:rsidR="00FB67F9" w:rsidRDefault="00FB67F9">
            <w:pPr>
              <w:textAlignment w:val="bottom"/>
              <w:rPr>
                <w:rFonts w:ascii="Times New Roman" w:hAnsi="Times New Roman"/>
                <w:sz w:val="20"/>
                <w:szCs w:val="20"/>
              </w:rPr>
            </w:pPr>
          </w:p>
        </w:tc>
      </w:tr>
      <w:tr w:rsidR="00FB67F9" w14:paraId="606F69D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9D4" w14:textId="77777777" w:rsidR="00FB67F9" w:rsidRDefault="00E839DF">
            <w:pPr>
              <w:textAlignment w:val="bottom"/>
              <w:rPr>
                <w:rFonts w:ascii="Times New Roman" w:hAnsi="Times New Roman"/>
                <w:sz w:val="17"/>
                <w:szCs w:val="17"/>
              </w:rPr>
            </w:pPr>
            <w:r>
              <w:rPr>
                <w:rFonts w:ascii="Arial" w:eastAsia="宋体" w:hAnsi="Arial" w:cs="Arial"/>
                <w:sz w:val="17"/>
                <w:szCs w:val="17"/>
              </w:rPr>
              <w:t>Weighted average common shares outstanding:</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9D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9D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9D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9D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9D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9E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9DB" w14:textId="77777777" w:rsidR="00FB67F9" w:rsidRDefault="00E839DF">
            <w:pPr>
              <w:textAlignment w:val="bottom"/>
              <w:rPr>
                <w:rFonts w:ascii="Times New Roman" w:hAnsi="Times New Roman"/>
                <w:sz w:val="17"/>
                <w:szCs w:val="17"/>
              </w:rPr>
            </w:pPr>
            <w:r>
              <w:rPr>
                <w:rFonts w:ascii="Arial" w:eastAsia="宋体" w:hAnsi="Arial" w:cs="Arial"/>
                <w:sz w:val="17"/>
                <w:szCs w:val="17"/>
              </w:rPr>
              <w:t>Basic</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9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1,560.6</w:t>
            </w:r>
          </w:p>
        </w:tc>
        <w:tc>
          <w:tcPr>
            <w:tcW w:w="0" w:type="auto"/>
            <w:tcBorders>
              <w:top w:val="single" w:sz="8" w:space="0" w:color="808080"/>
              <w:bottom w:val="single" w:sz="8" w:space="0" w:color="808080"/>
            </w:tcBorders>
            <w:shd w:val="clear" w:color="auto" w:fill="FFF1E7"/>
            <w:vAlign w:val="bottom"/>
          </w:tcPr>
          <w:p w14:paraId="606F69D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9D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1,581.4</w:t>
            </w:r>
          </w:p>
        </w:tc>
        <w:tc>
          <w:tcPr>
            <w:tcW w:w="0" w:type="auto"/>
            <w:tcBorders>
              <w:top w:val="single" w:sz="8" w:space="0" w:color="808080"/>
              <w:bottom w:val="single" w:sz="8" w:space="0" w:color="808080"/>
            </w:tcBorders>
            <w:shd w:val="clear" w:color="auto" w:fill="auto"/>
            <w:vAlign w:val="bottom"/>
          </w:tcPr>
          <w:p w14:paraId="606F69D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9E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9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1,561.5</w:t>
            </w:r>
          </w:p>
        </w:tc>
        <w:tc>
          <w:tcPr>
            <w:tcW w:w="0" w:type="auto"/>
            <w:tcBorders>
              <w:top w:val="single" w:sz="8" w:space="0" w:color="808080"/>
              <w:bottom w:val="single" w:sz="8" w:space="0" w:color="808080"/>
            </w:tcBorders>
            <w:shd w:val="clear" w:color="auto" w:fill="FFF1E7"/>
            <w:vAlign w:val="bottom"/>
          </w:tcPr>
          <w:p w14:paraId="606F69E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9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1,587.7</w:t>
            </w:r>
          </w:p>
        </w:tc>
        <w:tc>
          <w:tcPr>
            <w:tcW w:w="0" w:type="auto"/>
            <w:tcBorders>
              <w:top w:val="single" w:sz="8" w:space="0" w:color="808080"/>
              <w:bottom w:val="single" w:sz="8" w:space="0" w:color="808080"/>
            </w:tcBorders>
            <w:shd w:val="clear" w:color="auto" w:fill="auto"/>
            <w:vAlign w:val="bottom"/>
          </w:tcPr>
          <w:p w14:paraId="606F69E4" w14:textId="77777777" w:rsidR="00FB67F9" w:rsidRDefault="00FB67F9">
            <w:pPr>
              <w:textAlignment w:val="bottom"/>
              <w:rPr>
                <w:rFonts w:ascii="Times New Roman" w:hAnsi="Times New Roman"/>
                <w:sz w:val="20"/>
                <w:szCs w:val="20"/>
              </w:rPr>
            </w:pPr>
          </w:p>
        </w:tc>
      </w:tr>
      <w:tr w:rsidR="00FB67F9" w14:paraId="606F69F0"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69E6" w14:textId="77777777" w:rsidR="00FB67F9" w:rsidRDefault="00E839DF">
            <w:pPr>
              <w:textAlignment w:val="bottom"/>
              <w:rPr>
                <w:rFonts w:ascii="Times New Roman" w:hAnsi="Times New Roman"/>
                <w:sz w:val="17"/>
                <w:szCs w:val="17"/>
              </w:rPr>
            </w:pPr>
            <w:r>
              <w:rPr>
                <w:rFonts w:ascii="Arial" w:eastAsia="宋体" w:hAnsi="Arial" w:cs="Arial"/>
                <w:sz w:val="17"/>
                <w:szCs w:val="17"/>
              </w:rPr>
              <w:t>Diluted</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9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1,594.4</w:t>
            </w:r>
          </w:p>
        </w:tc>
        <w:tc>
          <w:tcPr>
            <w:tcW w:w="0" w:type="auto"/>
            <w:tcBorders>
              <w:bottom w:val="single" w:sz="8" w:space="0" w:color="E87722"/>
            </w:tcBorders>
            <w:shd w:val="clear" w:color="auto" w:fill="FFF1E7"/>
            <w:vAlign w:val="bottom"/>
          </w:tcPr>
          <w:p w14:paraId="606F69E8"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69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1,620.7</w:t>
            </w:r>
          </w:p>
        </w:tc>
        <w:tc>
          <w:tcPr>
            <w:tcW w:w="0" w:type="auto"/>
            <w:tcBorders>
              <w:bottom w:val="single" w:sz="8" w:space="0" w:color="E87722"/>
            </w:tcBorders>
            <w:shd w:val="clear" w:color="auto" w:fill="auto"/>
            <w:vAlign w:val="bottom"/>
          </w:tcPr>
          <w:p w14:paraId="606F69EA"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9E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9E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1,596.0</w:t>
            </w:r>
          </w:p>
        </w:tc>
        <w:tc>
          <w:tcPr>
            <w:tcW w:w="0" w:type="auto"/>
            <w:tcBorders>
              <w:bottom w:val="single" w:sz="8" w:space="0" w:color="E87722"/>
            </w:tcBorders>
            <w:shd w:val="clear" w:color="auto" w:fill="FFF1E7"/>
            <w:vAlign w:val="bottom"/>
          </w:tcPr>
          <w:p w14:paraId="606F69ED"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69E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1,627.2</w:t>
            </w:r>
          </w:p>
        </w:tc>
        <w:tc>
          <w:tcPr>
            <w:tcW w:w="0" w:type="auto"/>
            <w:tcBorders>
              <w:bottom w:val="single" w:sz="8" w:space="0" w:color="E87722"/>
            </w:tcBorders>
            <w:shd w:val="clear" w:color="auto" w:fill="auto"/>
            <w:vAlign w:val="bottom"/>
          </w:tcPr>
          <w:p w14:paraId="606F69EF" w14:textId="77777777" w:rsidR="00FB67F9" w:rsidRDefault="00FB67F9">
            <w:pPr>
              <w:textAlignment w:val="bottom"/>
              <w:rPr>
                <w:rFonts w:ascii="Times New Roman" w:hAnsi="Times New Roman"/>
                <w:sz w:val="20"/>
                <w:szCs w:val="20"/>
              </w:rPr>
            </w:pPr>
          </w:p>
        </w:tc>
      </w:tr>
    </w:tbl>
    <w:p w14:paraId="606F69F1"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The accompanying Notes to the Unaudited Condensed Consolidated Financial Statements are an integral part of this statement.</w:t>
      </w:r>
    </w:p>
    <w:p w14:paraId="606F69F2" w14:textId="77777777" w:rsidR="00FB67F9" w:rsidRDefault="00FB67F9">
      <w:pPr>
        <w:rPr>
          <w:rFonts w:ascii="Times New Roman" w:hAnsi="Times New Roman"/>
          <w:sz w:val="20"/>
          <w:szCs w:val="20"/>
        </w:rPr>
      </w:pPr>
    </w:p>
    <w:p w14:paraId="606F69F3"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1</w:t>
      </w:r>
    </w:p>
    <w:p w14:paraId="606F69F4" w14:textId="77777777" w:rsidR="00FB67F9" w:rsidRDefault="00E839DF">
      <w:r>
        <w:rPr>
          <w:rFonts w:ascii="Times New Roman" w:hAnsi="Times New Roman"/>
          <w:sz w:val="17"/>
          <w:szCs w:val="17"/>
        </w:rPr>
        <w:pict w14:anchorId="606F8F7E">
          <v:rect id="_x0000_i1027" style="width:415.3pt;height:1.5pt" o:hralign="center" o:hrstd="t" o:hr="t" fillcolor="#a0a0a0" stroked="f"/>
        </w:pict>
      </w:r>
    </w:p>
    <w:p w14:paraId="606F69F5" w14:textId="77777777" w:rsidR="00FB67F9" w:rsidRDefault="00FB67F9">
      <w:pPr>
        <w:rPr>
          <w:rFonts w:ascii="Times New Roman" w:hAnsi="Times New Roman"/>
          <w:sz w:val="17"/>
          <w:szCs w:val="17"/>
        </w:rPr>
      </w:pPr>
    </w:p>
    <w:p w14:paraId="606F69F6" w14:textId="77777777" w:rsidR="00FB67F9" w:rsidRDefault="00E839DF">
      <w:pPr>
        <w:rPr>
          <w:rFonts w:ascii="Times New Roman" w:hAnsi="Times New Roman"/>
          <w:sz w:val="17"/>
          <w:szCs w:val="17"/>
        </w:rPr>
      </w:pPr>
      <w:hyperlink r:id="rId45" w:anchor="s42C493F7582652B69E70047AB812E6A5" w:history="1">
        <w:r>
          <w:rPr>
            <w:rStyle w:val="a5"/>
            <w:rFonts w:ascii="sans-serif" w:eastAsia="sans-serif" w:hAnsi="sans-serif" w:cs="sans-serif"/>
            <w:sz w:val="17"/>
            <w:szCs w:val="17"/>
          </w:rPr>
          <w:t>Table of Contents</w:t>
        </w:r>
      </w:hyperlink>
    </w:p>
    <w:p w14:paraId="606F69F7" w14:textId="77777777" w:rsidR="00FB67F9" w:rsidRDefault="00FB67F9">
      <w:pPr>
        <w:rPr>
          <w:rFonts w:ascii="Times New Roman" w:hAnsi="Times New Roman"/>
          <w:sz w:val="17"/>
          <w:szCs w:val="17"/>
        </w:rPr>
      </w:pPr>
    </w:p>
    <w:p w14:paraId="606F69F8" w14:textId="77777777" w:rsidR="00FB67F9" w:rsidRDefault="00FB67F9">
      <w:pPr>
        <w:rPr>
          <w:rFonts w:ascii="Times New Roman" w:hAnsi="Times New Roman"/>
          <w:sz w:val="20"/>
          <w:szCs w:val="20"/>
        </w:rPr>
      </w:pPr>
    </w:p>
    <w:p w14:paraId="606F69F9"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NIKE, INC.</w:t>
      </w:r>
    </w:p>
    <w:p w14:paraId="606F69FA"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UNAUDITED CONDENSED CONSOLIDATED STATEMENTS OF COMPREHENSIVE INCOME</w:t>
      </w:r>
    </w:p>
    <w:tbl>
      <w:tblPr>
        <w:tblW w:w="5000" w:type="pct"/>
        <w:tblCellMar>
          <w:left w:w="0" w:type="dxa"/>
          <w:right w:w="0" w:type="dxa"/>
        </w:tblCellMar>
        <w:tblLook w:val="04A0" w:firstRow="1" w:lastRow="0" w:firstColumn="1" w:lastColumn="0" w:noHBand="0" w:noVBand="1"/>
      </w:tblPr>
      <w:tblGrid>
        <w:gridCol w:w="3509"/>
        <w:gridCol w:w="135"/>
        <w:gridCol w:w="934"/>
        <w:gridCol w:w="97"/>
        <w:gridCol w:w="135"/>
        <w:gridCol w:w="935"/>
        <w:gridCol w:w="97"/>
        <w:gridCol w:w="130"/>
        <w:gridCol w:w="135"/>
        <w:gridCol w:w="935"/>
        <w:gridCol w:w="97"/>
        <w:gridCol w:w="135"/>
        <w:gridCol w:w="935"/>
        <w:gridCol w:w="97"/>
      </w:tblGrid>
      <w:tr w:rsidR="00FB67F9" w14:paraId="606F69FC" w14:textId="77777777">
        <w:tc>
          <w:tcPr>
            <w:tcW w:w="0" w:type="auto"/>
            <w:gridSpan w:val="14"/>
            <w:shd w:val="clear" w:color="auto" w:fill="auto"/>
            <w:vAlign w:val="center"/>
          </w:tcPr>
          <w:p w14:paraId="606F69FB" w14:textId="77777777" w:rsidR="00FB67F9" w:rsidRDefault="00FB67F9">
            <w:pPr>
              <w:rPr>
                <w:rFonts w:ascii="Times New Roman" w:hAnsi="Times New Roman"/>
                <w:sz w:val="20"/>
                <w:szCs w:val="20"/>
              </w:rPr>
            </w:pPr>
          </w:p>
        </w:tc>
      </w:tr>
      <w:tr w:rsidR="00FB67F9" w14:paraId="606F6A0B" w14:textId="77777777">
        <w:tc>
          <w:tcPr>
            <w:tcW w:w="2150" w:type="pct"/>
            <w:shd w:val="clear" w:color="auto" w:fill="auto"/>
            <w:vAlign w:val="center"/>
          </w:tcPr>
          <w:p w14:paraId="606F69FD" w14:textId="77777777" w:rsidR="00FB67F9" w:rsidRDefault="00FB67F9">
            <w:pPr>
              <w:rPr>
                <w:rFonts w:ascii="Times New Roman" w:hAnsi="Times New Roman"/>
                <w:sz w:val="20"/>
                <w:szCs w:val="20"/>
              </w:rPr>
            </w:pPr>
          </w:p>
        </w:tc>
        <w:tc>
          <w:tcPr>
            <w:tcW w:w="50" w:type="pct"/>
            <w:shd w:val="clear" w:color="auto" w:fill="auto"/>
            <w:vAlign w:val="center"/>
          </w:tcPr>
          <w:p w14:paraId="606F69FE" w14:textId="77777777" w:rsidR="00FB67F9" w:rsidRDefault="00FB67F9">
            <w:pPr>
              <w:rPr>
                <w:rFonts w:ascii="Times New Roman" w:hAnsi="Times New Roman"/>
                <w:sz w:val="20"/>
                <w:szCs w:val="20"/>
              </w:rPr>
            </w:pPr>
          </w:p>
        </w:tc>
        <w:tc>
          <w:tcPr>
            <w:tcW w:w="600" w:type="pct"/>
            <w:shd w:val="clear" w:color="auto" w:fill="auto"/>
            <w:vAlign w:val="center"/>
          </w:tcPr>
          <w:p w14:paraId="606F69FF" w14:textId="77777777" w:rsidR="00FB67F9" w:rsidRDefault="00FB67F9">
            <w:pPr>
              <w:rPr>
                <w:rFonts w:ascii="Times New Roman" w:hAnsi="Times New Roman"/>
                <w:sz w:val="20"/>
                <w:szCs w:val="20"/>
              </w:rPr>
            </w:pPr>
          </w:p>
        </w:tc>
        <w:tc>
          <w:tcPr>
            <w:tcW w:w="50" w:type="pct"/>
            <w:shd w:val="clear" w:color="auto" w:fill="auto"/>
            <w:vAlign w:val="center"/>
          </w:tcPr>
          <w:p w14:paraId="606F6A00" w14:textId="77777777" w:rsidR="00FB67F9" w:rsidRDefault="00FB67F9">
            <w:pPr>
              <w:rPr>
                <w:rFonts w:ascii="Times New Roman" w:hAnsi="Times New Roman"/>
                <w:sz w:val="20"/>
                <w:szCs w:val="20"/>
              </w:rPr>
            </w:pPr>
          </w:p>
        </w:tc>
        <w:tc>
          <w:tcPr>
            <w:tcW w:w="50" w:type="pct"/>
            <w:shd w:val="clear" w:color="auto" w:fill="auto"/>
            <w:vAlign w:val="center"/>
          </w:tcPr>
          <w:p w14:paraId="606F6A01" w14:textId="77777777" w:rsidR="00FB67F9" w:rsidRDefault="00FB67F9">
            <w:pPr>
              <w:rPr>
                <w:rFonts w:ascii="Times New Roman" w:hAnsi="Times New Roman"/>
                <w:sz w:val="20"/>
                <w:szCs w:val="20"/>
              </w:rPr>
            </w:pPr>
          </w:p>
        </w:tc>
        <w:tc>
          <w:tcPr>
            <w:tcW w:w="600" w:type="pct"/>
            <w:shd w:val="clear" w:color="auto" w:fill="auto"/>
            <w:vAlign w:val="center"/>
          </w:tcPr>
          <w:p w14:paraId="606F6A02" w14:textId="77777777" w:rsidR="00FB67F9" w:rsidRDefault="00FB67F9">
            <w:pPr>
              <w:rPr>
                <w:rFonts w:ascii="Times New Roman" w:hAnsi="Times New Roman"/>
                <w:sz w:val="20"/>
                <w:szCs w:val="20"/>
              </w:rPr>
            </w:pPr>
          </w:p>
        </w:tc>
        <w:tc>
          <w:tcPr>
            <w:tcW w:w="50" w:type="pct"/>
            <w:shd w:val="clear" w:color="auto" w:fill="auto"/>
            <w:vAlign w:val="center"/>
          </w:tcPr>
          <w:p w14:paraId="606F6A03" w14:textId="77777777" w:rsidR="00FB67F9" w:rsidRDefault="00FB67F9">
            <w:pPr>
              <w:rPr>
                <w:rFonts w:ascii="Times New Roman" w:hAnsi="Times New Roman"/>
                <w:sz w:val="20"/>
                <w:szCs w:val="20"/>
              </w:rPr>
            </w:pPr>
          </w:p>
        </w:tc>
        <w:tc>
          <w:tcPr>
            <w:tcW w:w="50" w:type="pct"/>
            <w:shd w:val="clear" w:color="auto" w:fill="auto"/>
            <w:vAlign w:val="center"/>
          </w:tcPr>
          <w:p w14:paraId="606F6A04" w14:textId="77777777" w:rsidR="00FB67F9" w:rsidRDefault="00FB67F9">
            <w:pPr>
              <w:rPr>
                <w:rFonts w:ascii="Times New Roman" w:hAnsi="Times New Roman"/>
                <w:sz w:val="20"/>
                <w:szCs w:val="20"/>
              </w:rPr>
            </w:pPr>
          </w:p>
        </w:tc>
        <w:tc>
          <w:tcPr>
            <w:tcW w:w="50" w:type="pct"/>
            <w:shd w:val="clear" w:color="auto" w:fill="auto"/>
            <w:vAlign w:val="center"/>
          </w:tcPr>
          <w:p w14:paraId="606F6A05" w14:textId="77777777" w:rsidR="00FB67F9" w:rsidRDefault="00FB67F9">
            <w:pPr>
              <w:rPr>
                <w:rFonts w:ascii="Times New Roman" w:hAnsi="Times New Roman"/>
                <w:sz w:val="20"/>
                <w:szCs w:val="20"/>
              </w:rPr>
            </w:pPr>
          </w:p>
        </w:tc>
        <w:tc>
          <w:tcPr>
            <w:tcW w:w="600" w:type="pct"/>
            <w:shd w:val="clear" w:color="auto" w:fill="auto"/>
            <w:vAlign w:val="center"/>
          </w:tcPr>
          <w:p w14:paraId="606F6A06" w14:textId="77777777" w:rsidR="00FB67F9" w:rsidRDefault="00FB67F9">
            <w:pPr>
              <w:rPr>
                <w:rFonts w:ascii="Times New Roman" w:hAnsi="Times New Roman"/>
                <w:sz w:val="20"/>
                <w:szCs w:val="20"/>
              </w:rPr>
            </w:pPr>
          </w:p>
        </w:tc>
        <w:tc>
          <w:tcPr>
            <w:tcW w:w="50" w:type="pct"/>
            <w:shd w:val="clear" w:color="auto" w:fill="auto"/>
            <w:vAlign w:val="center"/>
          </w:tcPr>
          <w:p w14:paraId="606F6A07" w14:textId="77777777" w:rsidR="00FB67F9" w:rsidRDefault="00FB67F9">
            <w:pPr>
              <w:rPr>
                <w:rFonts w:ascii="Times New Roman" w:hAnsi="Times New Roman"/>
                <w:sz w:val="20"/>
                <w:szCs w:val="20"/>
              </w:rPr>
            </w:pPr>
          </w:p>
        </w:tc>
        <w:tc>
          <w:tcPr>
            <w:tcW w:w="50" w:type="pct"/>
            <w:shd w:val="clear" w:color="auto" w:fill="auto"/>
            <w:vAlign w:val="center"/>
          </w:tcPr>
          <w:p w14:paraId="606F6A08" w14:textId="77777777" w:rsidR="00FB67F9" w:rsidRDefault="00FB67F9">
            <w:pPr>
              <w:rPr>
                <w:rFonts w:ascii="Times New Roman" w:hAnsi="Times New Roman"/>
                <w:sz w:val="20"/>
                <w:szCs w:val="20"/>
              </w:rPr>
            </w:pPr>
          </w:p>
        </w:tc>
        <w:tc>
          <w:tcPr>
            <w:tcW w:w="600" w:type="pct"/>
            <w:shd w:val="clear" w:color="auto" w:fill="auto"/>
            <w:vAlign w:val="center"/>
          </w:tcPr>
          <w:p w14:paraId="606F6A09" w14:textId="77777777" w:rsidR="00FB67F9" w:rsidRDefault="00FB67F9">
            <w:pPr>
              <w:rPr>
                <w:rFonts w:ascii="Times New Roman" w:hAnsi="Times New Roman"/>
                <w:sz w:val="20"/>
                <w:szCs w:val="20"/>
              </w:rPr>
            </w:pPr>
          </w:p>
        </w:tc>
        <w:tc>
          <w:tcPr>
            <w:tcW w:w="50" w:type="pct"/>
            <w:shd w:val="clear" w:color="auto" w:fill="auto"/>
            <w:vAlign w:val="center"/>
          </w:tcPr>
          <w:p w14:paraId="606F6A0A" w14:textId="77777777" w:rsidR="00FB67F9" w:rsidRDefault="00FB67F9">
            <w:pPr>
              <w:rPr>
                <w:rFonts w:ascii="Times New Roman" w:hAnsi="Times New Roman"/>
                <w:sz w:val="20"/>
                <w:szCs w:val="20"/>
              </w:rPr>
            </w:pPr>
          </w:p>
        </w:tc>
      </w:tr>
      <w:tr w:rsidR="00FB67F9" w14:paraId="606F6A10" w14:textId="77777777">
        <w:tc>
          <w:tcPr>
            <w:tcW w:w="0" w:type="auto"/>
            <w:shd w:val="clear" w:color="auto" w:fill="auto"/>
            <w:tcMar>
              <w:top w:w="40" w:type="dxa"/>
              <w:left w:w="40" w:type="dxa"/>
              <w:bottom w:w="40" w:type="dxa"/>
              <w:right w:w="40" w:type="dxa"/>
            </w:tcMar>
            <w:vAlign w:val="bottom"/>
          </w:tcPr>
          <w:p w14:paraId="606F6A0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6A0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6A0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6A0F"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6A1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A11"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A1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A1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shd w:val="clear" w:color="auto" w:fill="auto"/>
            <w:tcMar>
              <w:top w:w="40" w:type="dxa"/>
              <w:left w:w="40" w:type="dxa"/>
              <w:bottom w:w="40" w:type="dxa"/>
              <w:right w:w="40" w:type="dxa"/>
            </w:tcMar>
            <w:vAlign w:val="bottom"/>
          </w:tcPr>
          <w:p w14:paraId="606F6A1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6A1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6A1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6A26" w14:textId="77777777">
        <w:tc>
          <w:tcPr>
            <w:tcW w:w="0" w:type="auto"/>
            <w:shd w:val="clear" w:color="auto" w:fill="auto"/>
            <w:tcMar>
              <w:top w:w="40" w:type="dxa"/>
              <w:left w:w="40" w:type="dxa"/>
              <w:bottom w:w="40" w:type="dxa"/>
              <w:right w:w="40" w:type="dxa"/>
            </w:tcMar>
            <w:vAlign w:val="bottom"/>
          </w:tcPr>
          <w:p w14:paraId="606F6A18" w14:textId="77777777" w:rsidR="00FB67F9" w:rsidRDefault="00E839DF">
            <w:pPr>
              <w:textAlignment w:val="bottom"/>
              <w:rPr>
                <w:rFonts w:ascii="Times New Roman" w:hAnsi="Times New Roman"/>
                <w:sz w:val="17"/>
                <w:szCs w:val="17"/>
              </w:rPr>
            </w:pPr>
            <w:r>
              <w:rPr>
                <w:rFonts w:ascii="Arial" w:eastAsia="宋体" w:hAnsi="Arial" w:cs="Arial"/>
                <w:sz w:val="17"/>
                <w:szCs w:val="17"/>
              </w:rPr>
              <w:t>Net income</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6A1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6A1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1,115</w:t>
            </w:r>
          </w:p>
        </w:tc>
        <w:tc>
          <w:tcPr>
            <w:tcW w:w="0" w:type="auto"/>
            <w:tcBorders>
              <w:top w:val="single" w:sz="8" w:space="0" w:color="E87722"/>
              <w:bottom w:val="single" w:sz="8" w:space="0" w:color="808080"/>
            </w:tcBorders>
            <w:shd w:val="clear" w:color="auto" w:fill="FFF1E7"/>
            <w:vAlign w:val="bottom"/>
          </w:tcPr>
          <w:p w14:paraId="606F6A1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6A1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6A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847</w:t>
            </w:r>
          </w:p>
        </w:tc>
        <w:tc>
          <w:tcPr>
            <w:tcW w:w="0" w:type="auto"/>
            <w:tcBorders>
              <w:top w:val="single" w:sz="8" w:space="0" w:color="E87722"/>
              <w:bottom w:val="single" w:sz="8" w:space="0" w:color="808080"/>
            </w:tcBorders>
            <w:shd w:val="clear" w:color="auto" w:fill="auto"/>
            <w:vAlign w:val="bottom"/>
          </w:tcPr>
          <w:p w14:paraId="606F6A1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6A1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6A2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6A2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2,482</w:t>
            </w:r>
          </w:p>
        </w:tc>
        <w:tc>
          <w:tcPr>
            <w:tcW w:w="0" w:type="auto"/>
            <w:tcBorders>
              <w:top w:val="single" w:sz="8" w:space="0" w:color="E87722"/>
              <w:bottom w:val="single" w:sz="8" w:space="0" w:color="808080"/>
            </w:tcBorders>
            <w:shd w:val="clear" w:color="auto" w:fill="FFF1E7"/>
            <w:vAlign w:val="bottom"/>
          </w:tcPr>
          <w:p w14:paraId="606F6A2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6A2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6A2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1,939</w:t>
            </w:r>
          </w:p>
        </w:tc>
        <w:tc>
          <w:tcPr>
            <w:tcW w:w="0" w:type="auto"/>
            <w:tcBorders>
              <w:top w:val="single" w:sz="8" w:space="0" w:color="E87722"/>
              <w:bottom w:val="single" w:sz="8" w:space="0" w:color="808080"/>
            </w:tcBorders>
            <w:shd w:val="clear" w:color="auto" w:fill="auto"/>
            <w:vAlign w:val="bottom"/>
          </w:tcPr>
          <w:p w14:paraId="606F6A25" w14:textId="77777777" w:rsidR="00FB67F9" w:rsidRDefault="00FB67F9">
            <w:pPr>
              <w:textAlignment w:val="bottom"/>
              <w:rPr>
                <w:rFonts w:ascii="Times New Roman" w:hAnsi="Times New Roman"/>
                <w:sz w:val="20"/>
                <w:szCs w:val="20"/>
              </w:rPr>
            </w:pPr>
          </w:p>
        </w:tc>
      </w:tr>
      <w:tr w:rsidR="00FB67F9" w14:paraId="606F6A2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A27"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comprehensive income (loss), net of tax:</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A2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A2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A2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A2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A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A3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2E"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Change in net </w:t>
            </w:r>
            <w:r>
              <w:rPr>
                <w:rFonts w:ascii="Arial" w:eastAsia="宋体" w:hAnsi="Arial" w:cs="Arial"/>
                <w:sz w:val="17"/>
                <w:szCs w:val="17"/>
              </w:rPr>
              <w:t>foreign currency translation adjustment</w:t>
            </w:r>
          </w:p>
        </w:tc>
        <w:tc>
          <w:tcPr>
            <w:tcW w:w="0" w:type="auto"/>
            <w:gridSpan w:val="2"/>
            <w:tcBorders>
              <w:top w:val="single" w:sz="8" w:space="0" w:color="808080"/>
            </w:tcBorders>
            <w:shd w:val="clear" w:color="auto" w:fill="FFF1E7"/>
            <w:tcMar>
              <w:top w:w="40" w:type="dxa"/>
              <w:left w:w="40" w:type="dxa"/>
              <w:bottom w:w="40" w:type="dxa"/>
            </w:tcMar>
            <w:vAlign w:val="bottom"/>
          </w:tcPr>
          <w:p w14:paraId="606F6A2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tcBorders>
            <w:shd w:val="clear" w:color="auto" w:fill="FFF1E7"/>
            <w:vAlign w:val="bottom"/>
          </w:tcPr>
          <w:p w14:paraId="606F6A3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A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tcMar>
              <w:top w:w="40" w:type="dxa"/>
              <w:bottom w:w="40" w:type="dxa"/>
              <w:right w:w="40" w:type="dxa"/>
            </w:tcMar>
            <w:vAlign w:val="bottom"/>
          </w:tcPr>
          <w:p w14:paraId="606F6A3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A3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6A3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w:t>
            </w:r>
          </w:p>
        </w:tc>
        <w:tc>
          <w:tcPr>
            <w:tcW w:w="0" w:type="auto"/>
            <w:tcBorders>
              <w:top w:val="single" w:sz="8" w:space="0" w:color="808080"/>
            </w:tcBorders>
            <w:shd w:val="clear" w:color="auto" w:fill="FFF1E7"/>
            <w:tcMar>
              <w:top w:w="40" w:type="dxa"/>
              <w:bottom w:w="40" w:type="dxa"/>
              <w:right w:w="40" w:type="dxa"/>
            </w:tcMar>
            <w:vAlign w:val="bottom"/>
          </w:tcPr>
          <w:p w14:paraId="606F6A3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A3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(130</w:t>
            </w:r>
          </w:p>
        </w:tc>
        <w:tc>
          <w:tcPr>
            <w:tcW w:w="0" w:type="auto"/>
            <w:tcBorders>
              <w:top w:val="single" w:sz="8" w:space="0" w:color="808080"/>
            </w:tcBorders>
            <w:shd w:val="clear" w:color="auto" w:fill="auto"/>
            <w:tcMar>
              <w:top w:w="40" w:type="dxa"/>
              <w:bottom w:w="40" w:type="dxa"/>
              <w:right w:w="40" w:type="dxa"/>
            </w:tcMar>
            <w:vAlign w:val="bottom"/>
          </w:tcPr>
          <w:p w14:paraId="606F6A3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A4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A39" w14:textId="77777777" w:rsidR="00FB67F9" w:rsidRDefault="00E839DF">
            <w:pPr>
              <w:textAlignment w:val="bottom"/>
              <w:rPr>
                <w:rFonts w:ascii="Times New Roman" w:hAnsi="Times New Roman"/>
                <w:sz w:val="17"/>
                <w:szCs w:val="17"/>
              </w:rPr>
            </w:pPr>
            <w:r>
              <w:rPr>
                <w:rFonts w:ascii="Arial" w:eastAsia="宋体" w:hAnsi="Arial" w:cs="Arial"/>
                <w:sz w:val="17"/>
                <w:szCs w:val="17"/>
              </w:rPr>
              <w:t>Change in net gains (losses) on cash flow hedges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A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(155</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6A3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A3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241</w:t>
            </w:r>
          </w:p>
        </w:tc>
        <w:tc>
          <w:tcPr>
            <w:tcW w:w="0" w:type="auto"/>
            <w:tcBorders>
              <w:top w:val="single" w:sz="8" w:space="0" w:color="808080"/>
              <w:bottom w:val="single" w:sz="8" w:space="0" w:color="808080"/>
            </w:tcBorders>
            <w:shd w:val="clear" w:color="auto" w:fill="auto"/>
            <w:vAlign w:val="bottom"/>
          </w:tcPr>
          <w:p w14:paraId="606F6A3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A3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A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(119</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6A4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A4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434</w:t>
            </w:r>
          </w:p>
        </w:tc>
        <w:tc>
          <w:tcPr>
            <w:tcW w:w="0" w:type="auto"/>
            <w:tcBorders>
              <w:top w:val="single" w:sz="8" w:space="0" w:color="808080"/>
              <w:bottom w:val="single" w:sz="8" w:space="0" w:color="808080"/>
            </w:tcBorders>
            <w:shd w:val="clear" w:color="auto" w:fill="auto"/>
            <w:vAlign w:val="bottom"/>
          </w:tcPr>
          <w:p w14:paraId="606F6A42" w14:textId="77777777" w:rsidR="00FB67F9" w:rsidRDefault="00FB67F9">
            <w:pPr>
              <w:textAlignment w:val="bottom"/>
              <w:rPr>
                <w:rFonts w:ascii="Times New Roman" w:hAnsi="Times New Roman"/>
                <w:sz w:val="20"/>
                <w:szCs w:val="20"/>
              </w:rPr>
            </w:pPr>
          </w:p>
        </w:tc>
      </w:tr>
      <w:tr w:rsidR="00FB67F9" w14:paraId="606F6A4E" w14:textId="77777777">
        <w:tc>
          <w:tcPr>
            <w:tcW w:w="0" w:type="auto"/>
            <w:shd w:val="clear" w:color="auto" w:fill="auto"/>
            <w:tcMar>
              <w:top w:w="40" w:type="dxa"/>
              <w:left w:w="240" w:type="dxa"/>
              <w:bottom w:w="40" w:type="dxa"/>
              <w:right w:w="40" w:type="dxa"/>
            </w:tcMar>
            <w:vAlign w:val="bottom"/>
          </w:tcPr>
          <w:p w14:paraId="606F6A44" w14:textId="77777777" w:rsidR="00FB67F9" w:rsidRDefault="00E839DF">
            <w:pPr>
              <w:textAlignment w:val="bottom"/>
              <w:rPr>
                <w:rFonts w:ascii="Times New Roman" w:hAnsi="Times New Roman"/>
                <w:sz w:val="17"/>
                <w:szCs w:val="17"/>
              </w:rPr>
            </w:pPr>
            <w:r>
              <w:rPr>
                <w:rFonts w:ascii="Arial" w:eastAsia="宋体" w:hAnsi="Arial" w:cs="Arial"/>
                <w:sz w:val="17"/>
                <w:szCs w:val="17"/>
              </w:rPr>
              <w:t>Change in net gains (losses) on other</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A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6A4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6A4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vAlign w:val="bottom"/>
          </w:tcPr>
          <w:p w14:paraId="606F6A4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A4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A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E87722"/>
            </w:tcBorders>
            <w:shd w:val="clear" w:color="auto" w:fill="FFF1E7"/>
            <w:vAlign w:val="bottom"/>
          </w:tcPr>
          <w:p w14:paraId="606F6A4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6A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6A4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A5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A4F"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other comprehensive income (loss), net of tax</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6A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(128</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6A5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606F6A5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239</w:t>
            </w:r>
          </w:p>
        </w:tc>
        <w:tc>
          <w:tcPr>
            <w:tcW w:w="0" w:type="auto"/>
            <w:tcBorders>
              <w:top w:val="single" w:sz="8" w:space="0" w:color="E87722"/>
            </w:tcBorders>
            <w:shd w:val="clear" w:color="auto" w:fill="auto"/>
            <w:vAlign w:val="bottom"/>
          </w:tcPr>
          <w:p w14:paraId="606F6A5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A5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6A5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(179</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6A5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606F6A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301</w:t>
            </w:r>
          </w:p>
        </w:tc>
        <w:tc>
          <w:tcPr>
            <w:tcW w:w="0" w:type="auto"/>
            <w:tcBorders>
              <w:top w:val="single" w:sz="8" w:space="0" w:color="E87722"/>
            </w:tcBorders>
            <w:shd w:val="clear" w:color="auto" w:fill="auto"/>
            <w:vAlign w:val="bottom"/>
          </w:tcPr>
          <w:p w14:paraId="606F6A58" w14:textId="77777777" w:rsidR="00FB67F9" w:rsidRDefault="00FB67F9">
            <w:pPr>
              <w:textAlignment w:val="bottom"/>
              <w:rPr>
                <w:rFonts w:ascii="Times New Roman" w:hAnsi="Times New Roman"/>
                <w:sz w:val="20"/>
                <w:szCs w:val="20"/>
              </w:rPr>
            </w:pPr>
          </w:p>
        </w:tc>
      </w:tr>
      <w:tr w:rsidR="00FB67F9" w14:paraId="606F6A68"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A5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A5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A5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987</w:t>
            </w:r>
          </w:p>
        </w:tc>
        <w:tc>
          <w:tcPr>
            <w:tcW w:w="0" w:type="auto"/>
            <w:tcBorders>
              <w:top w:val="single" w:sz="8" w:space="0" w:color="E87722"/>
              <w:bottom w:val="single" w:sz="8" w:space="0" w:color="E87722"/>
            </w:tcBorders>
            <w:shd w:val="clear" w:color="auto" w:fill="FFF1E7"/>
            <w:vAlign w:val="bottom"/>
          </w:tcPr>
          <w:p w14:paraId="606F6A5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A5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A5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1,086</w:t>
            </w:r>
          </w:p>
        </w:tc>
        <w:tc>
          <w:tcPr>
            <w:tcW w:w="0" w:type="auto"/>
            <w:tcBorders>
              <w:top w:val="single" w:sz="8" w:space="0" w:color="E87722"/>
              <w:bottom w:val="single" w:sz="8" w:space="0" w:color="E87722"/>
            </w:tcBorders>
            <w:shd w:val="clear" w:color="auto" w:fill="auto"/>
            <w:vAlign w:val="bottom"/>
          </w:tcPr>
          <w:p w14:paraId="606F6A60"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A6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FFF1E7"/>
            <w:tcMar>
              <w:top w:w="40" w:type="dxa"/>
              <w:left w:w="40" w:type="dxa"/>
              <w:bottom w:w="40" w:type="dxa"/>
            </w:tcMar>
            <w:vAlign w:val="bottom"/>
          </w:tcPr>
          <w:p w14:paraId="606F6A6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606F6A6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2,303</w:t>
            </w:r>
          </w:p>
        </w:tc>
        <w:tc>
          <w:tcPr>
            <w:tcW w:w="0" w:type="auto"/>
            <w:tcBorders>
              <w:bottom w:val="single" w:sz="8" w:space="0" w:color="E87722"/>
            </w:tcBorders>
            <w:shd w:val="clear" w:color="auto" w:fill="FFF1E7"/>
            <w:vAlign w:val="bottom"/>
          </w:tcPr>
          <w:p w14:paraId="606F6A6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A6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A6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2,240</w:t>
            </w:r>
          </w:p>
        </w:tc>
        <w:tc>
          <w:tcPr>
            <w:tcW w:w="0" w:type="auto"/>
            <w:tcBorders>
              <w:top w:val="single" w:sz="8" w:space="0" w:color="E87722"/>
              <w:bottom w:val="single" w:sz="8" w:space="0" w:color="E87722"/>
            </w:tcBorders>
            <w:shd w:val="clear" w:color="auto" w:fill="auto"/>
            <w:vAlign w:val="bottom"/>
          </w:tcPr>
          <w:p w14:paraId="606F6A67" w14:textId="77777777" w:rsidR="00FB67F9" w:rsidRDefault="00FB67F9">
            <w:pPr>
              <w:textAlignment w:val="bottom"/>
              <w:rPr>
                <w:rFonts w:ascii="Times New Roman" w:hAnsi="Times New Roman"/>
                <w:sz w:val="20"/>
                <w:szCs w:val="20"/>
              </w:rPr>
            </w:pPr>
          </w:p>
        </w:tc>
      </w:tr>
    </w:tbl>
    <w:p w14:paraId="606F6A69" w14:textId="77777777" w:rsidR="00FB67F9" w:rsidRDefault="00FB67F9">
      <w:pPr>
        <w:spacing w:line="312" w:lineRule="auto"/>
        <w:rPr>
          <w:rFonts w:ascii="Times New Roman" w:hAnsi="Times New Roman"/>
          <w:sz w:val="20"/>
          <w:szCs w:val="20"/>
        </w:rPr>
      </w:pPr>
    </w:p>
    <w:p w14:paraId="606F6A6A"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The accompanying Notes to the Unaudited Condensed Consolidated Financial Statements are an integral part of this statement.</w:t>
      </w:r>
    </w:p>
    <w:p w14:paraId="606F6A6B" w14:textId="77777777" w:rsidR="00FB67F9" w:rsidRDefault="00FB67F9">
      <w:pPr>
        <w:rPr>
          <w:rFonts w:ascii="Times New Roman" w:hAnsi="Times New Roman"/>
          <w:sz w:val="20"/>
          <w:szCs w:val="20"/>
        </w:rPr>
      </w:pPr>
    </w:p>
    <w:p w14:paraId="606F6A6C"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2</w:t>
      </w:r>
      <w:r>
        <w:rPr>
          <w:rFonts w:ascii="sans-serif" w:eastAsia="sans-serif" w:hAnsi="sans-serif" w:cs="sans-serif"/>
          <w:sz w:val="17"/>
          <w:szCs w:val="17"/>
        </w:rPr>
        <w:t xml:space="preserve"> </w:t>
      </w:r>
    </w:p>
    <w:p w14:paraId="606F6A6D" w14:textId="77777777" w:rsidR="00FB67F9" w:rsidRDefault="00E839DF">
      <w:r>
        <w:rPr>
          <w:rFonts w:ascii="Times New Roman" w:hAnsi="Times New Roman"/>
          <w:sz w:val="17"/>
          <w:szCs w:val="17"/>
        </w:rPr>
        <w:pict w14:anchorId="606F8F7F">
          <v:rect id="_x0000_i1028" style="width:415.3pt;height:1.5pt" o:hralign="center" o:hrstd="t" o:hr="t" fillcolor="#a0a0a0" stroked="f"/>
        </w:pict>
      </w:r>
    </w:p>
    <w:p w14:paraId="606F6A6E" w14:textId="77777777" w:rsidR="00FB67F9" w:rsidRDefault="00FB67F9">
      <w:pPr>
        <w:rPr>
          <w:rFonts w:ascii="Times New Roman" w:hAnsi="Times New Roman"/>
          <w:sz w:val="17"/>
          <w:szCs w:val="17"/>
        </w:rPr>
      </w:pPr>
    </w:p>
    <w:p w14:paraId="606F6A6F" w14:textId="77777777" w:rsidR="00FB67F9" w:rsidRDefault="00E839DF">
      <w:pPr>
        <w:rPr>
          <w:rFonts w:ascii="Times New Roman" w:hAnsi="Times New Roman"/>
          <w:sz w:val="17"/>
          <w:szCs w:val="17"/>
        </w:rPr>
      </w:pPr>
      <w:hyperlink r:id="rId46" w:anchor="s42C493F7582652B69E70047AB812E6A5" w:history="1">
        <w:r>
          <w:rPr>
            <w:rStyle w:val="a5"/>
            <w:rFonts w:ascii="sans-serif" w:eastAsia="sans-serif" w:hAnsi="sans-serif" w:cs="sans-serif"/>
            <w:sz w:val="17"/>
            <w:szCs w:val="17"/>
          </w:rPr>
          <w:t>Table of Contents</w:t>
        </w:r>
      </w:hyperlink>
    </w:p>
    <w:p w14:paraId="606F6A70" w14:textId="77777777" w:rsidR="00FB67F9" w:rsidRDefault="00FB67F9">
      <w:pPr>
        <w:rPr>
          <w:rFonts w:ascii="Times New Roman" w:hAnsi="Times New Roman"/>
          <w:sz w:val="17"/>
          <w:szCs w:val="17"/>
        </w:rPr>
      </w:pPr>
    </w:p>
    <w:p w14:paraId="606F6A71" w14:textId="77777777" w:rsidR="00FB67F9" w:rsidRDefault="00FB67F9">
      <w:pPr>
        <w:rPr>
          <w:rFonts w:ascii="Times New Roman" w:hAnsi="Times New Roman"/>
          <w:sz w:val="20"/>
          <w:szCs w:val="20"/>
        </w:rPr>
      </w:pPr>
    </w:p>
    <w:p w14:paraId="606F6A72"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NIKE, INC.</w:t>
      </w:r>
    </w:p>
    <w:p w14:paraId="606F6A73"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UNAUDITED CONDENSED CONSOLIDATED BALANCE SHEETS</w:t>
      </w:r>
    </w:p>
    <w:tbl>
      <w:tblPr>
        <w:tblW w:w="5000" w:type="pct"/>
        <w:tblCellMar>
          <w:left w:w="0" w:type="dxa"/>
          <w:right w:w="0" w:type="dxa"/>
        </w:tblCellMar>
        <w:tblLook w:val="04A0" w:firstRow="1" w:lastRow="0" w:firstColumn="1" w:lastColumn="0" w:noHBand="0" w:noVBand="1"/>
      </w:tblPr>
      <w:tblGrid>
        <w:gridCol w:w="5866"/>
        <w:gridCol w:w="136"/>
        <w:gridCol w:w="966"/>
        <w:gridCol w:w="65"/>
        <w:gridCol w:w="130"/>
        <w:gridCol w:w="135"/>
        <w:gridCol w:w="955"/>
        <w:gridCol w:w="53"/>
      </w:tblGrid>
      <w:tr w:rsidR="00FB67F9" w14:paraId="606F6A75" w14:textId="77777777">
        <w:tc>
          <w:tcPr>
            <w:tcW w:w="0" w:type="auto"/>
            <w:gridSpan w:val="8"/>
            <w:shd w:val="clear" w:color="auto" w:fill="auto"/>
            <w:vAlign w:val="center"/>
          </w:tcPr>
          <w:p w14:paraId="606F6A74" w14:textId="77777777" w:rsidR="00FB67F9" w:rsidRDefault="00FB67F9">
            <w:pPr>
              <w:rPr>
                <w:rFonts w:ascii="Times New Roman" w:hAnsi="Times New Roman"/>
                <w:sz w:val="20"/>
                <w:szCs w:val="20"/>
              </w:rPr>
            </w:pPr>
          </w:p>
        </w:tc>
      </w:tr>
      <w:tr w:rsidR="00FB67F9" w14:paraId="606F6A7E" w14:textId="77777777">
        <w:tc>
          <w:tcPr>
            <w:tcW w:w="3550" w:type="pct"/>
            <w:shd w:val="clear" w:color="auto" w:fill="auto"/>
            <w:vAlign w:val="center"/>
          </w:tcPr>
          <w:p w14:paraId="606F6A76" w14:textId="77777777" w:rsidR="00FB67F9" w:rsidRDefault="00FB67F9">
            <w:pPr>
              <w:rPr>
                <w:rFonts w:ascii="Times New Roman" w:hAnsi="Times New Roman"/>
                <w:sz w:val="20"/>
                <w:szCs w:val="20"/>
              </w:rPr>
            </w:pPr>
          </w:p>
        </w:tc>
        <w:tc>
          <w:tcPr>
            <w:tcW w:w="50" w:type="pct"/>
            <w:shd w:val="clear" w:color="auto" w:fill="auto"/>
            <w:vAlign w:val="center"/>
          </w:tcPr>
          <w:p w14:paraId="606F6A77" w14:textId="77777777" w:rsidR="00FB67F9" w:rsidRDefault="00FB67F9">
            <w:pPr>
              <w:rPr>
                <w:rFonts w:ascii="Times New Roman" w:hAnsi="Times New Roman"/>
                <w:sz w:val="20"/>
                <w:szCs w:val="20"/>
              </w:rPr>
            </w:pPr>
          </w:p>
        </w:tc>
        <w:tc>
          <w:tcPr>
            <w:tcW w:w="600" w:type="pct"/>
            <w:shd w:val="clear" w:color="auto" w:fill="auto"/>
            <w:vAlign w:val="center"/>
          </w:tcPr>
          <w:p w14:paraId="606F6A78" w14:textId="77777777" w:rsidR="00FB67F9" w:rsidRDefault="00FB67F9">
            <w:pPr>
              <w:rPr>
                <w:rFonts w:ascii="Times New Roman" w:hAnsi="Times New Roman"/>
                <w:sz w:val="20"/>
                <w:szCs w:val="20"/>
              </w:rPr>
            </w:pPr>
          </w:p>
        </w:tc>
        <w:tc>
          <w:tcPr>
            <w:tcW w:w="50" w:type="pct"/>
            <w:shd w:val="clear" w:color="auto" w:fill="auto"/>
            <w:vAlign w:val="center"/>
          </w:tcPr>
          <w:p w14:paraId="606F6A79" w14:textId="77777777" w:rsidR="00FB67F9" w:rsidRDefault="00FB67F9">
            <w:pPr>
              <w:rPr>
                <w:rFonts w:ascii="Times New Roman" w:hAnsi="Times New Roman"/>
                <w:sz w:val="20"/>
                <w:szCs w:val="20"/>
              </w:rPr>
            </w:pPr>
          </w:p>
        </w:tc>
        <w:tc>
          <w:tcPr>
            <w:tcW w:w="50" w:type="pct"/>
            <w:shd w:val="clear" w:color="auto" w:fill="auto"/>
            <w:vAlign w:val="center"/>
          </w:tcPr>
          <w:p w14:paraId="606F6A7A" w14:textId="77777777" w:rsidR="00FB67F9" w:rsidRDefault="00FB67F9">
            <w:pPr>
              <w:rPr>
                <w:rFonts w:ascii="Times New Roman" w:hAnsi="Times New Roman"/>
                <w:sz w:val="20"/>
                <w:szCs w:val="20"/>
              </w:rPr>
            </w:pPr>
          </w:p>
        </w:tc>
        <w:tc>
          <w:tcPr>
            <w:tcW w:w="50" w:type="pct"/>
            <w:shd w:val="clear" w:color="auto" w:fill="auto"/>
            <w:vAlign w:val="center"/>
          </w:tcPr>
          <w:p w14:paraId="606F6A7B" w14:textId="77777777" w:rsidR="00FB67F9" w:rsidRDefault="00FB67F9">
            <w:pPr>
              <w:rPr>
                <w:rFonts w:ascii="Times New Roman" w:hAnsi="Times New Roman"/>
                <w:sz w:val="20"/>
                <w:szCs w:val="20"/>
              </w:rPr>
            </w:pPr>
          </w:p>
        </w:tc>
        <w:tc>
          <w:tcPr>
            <w:tcW w:w="600" w:type="pct"/>
            <w:shd w:val="clear" w:color="auto" w:fill="auto"/>
            <w:vAlign w:val="center"/>
          </w:tcPr>
          <w:p w14:paraId="606F6A7C" w14:textId="77777777" w:rsidR="00FB67F9" w:rsidRDefault="00FB67F9">
            <w:pPr>
              <w:rPr>
                <w:rFonts w:ascii="Times New Roman" w:hAnsi="Times New Roman"/>
                <w:sz w:val="20"/>
                <w:szCs w:val="20"/>
              </w:rPr>
            </w:pPr>
          </w:p>
        </w:tc>
        <w:tc>
          <w:tcPr>
            <w:tcW w:w="50" w:type="pct"/>
            <w:shd w:val="clear" w:color="auto" w:fill="auto"/>
            <w:vAlign w:val="center"/>
          </w:tcPr>
          <w:p w14:paraId="606F6A7D" w14:textId="77777777" w:rsidR="00FB67F9" w:rsidRDefault="00FB67F9">
            <w:pPr>
              <w:rPr>
                <w:rFonts w:ascii="Times New Roman" w:hAnsi="Times New Roman"/>
                <w:sz w:val="20"/>
                <w:szCs w:val="20"/>
              </w:rPr>
            </w:pPr>
          </w:p>
        </w:tc>
      </w:tr>
      <w:tr w:rsidR="00FB67F9" w14:paraId="606F6A83" w14:textId="77777777">
        <w:tc>
          <w:tcPr>
            <w:tcW w:w="0" w:type="auto"/>
            <w:shd w:val="clear" w:color="auto" w:fill="auto"/>
            <w:tcMar>
              <w:top w:w="40" w:type="dxa"/>
              <w:left w:w="40" w:type="dxa"/>
              <w:bottom w:w="40" w:type="dxa"/>
              <w:right w:w="40" w:type="dxa"/>
            </w:tcMar>
            <w:vAlign w:val="bottom"/>
          </w:tcPr>
          <w:p w14:paraId="606F6A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6A8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w:t>
            </w:r>
          </w:p>
        </w:tc>
        <w:tc>
          <w:tcPr>
            <w:tcW w:w="0" w:type="auto"/>
            <w:shd w:val="clear" w:color="auto" w:fill="auto"/>
            <w:tcMar>
              <w:top w:w="40" w:type="dxa"/>
              <w:left w:w="40" w:type="dxa"/>
              <w:bottom w:w="40" w:type="dxa"/>
              <w:right w:w="40" w:type="dxa"/>
            </w:tcMar>
            <w:vAlign w:val="bottom"/>
          </w:tcPr>
          <w:p w14:paraId="606F6A8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6A8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FB67F9" w14:paraId="606F6A88"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A84"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6A8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6A8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6A8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FB67F9" w14:paraId="606F6A8D" w14:textId="77777777">
        <w:tc>
          <w:tcPr>
            <w:tcW w:w="0" w:type="auto"/>
            <w:shd w:val="clear" w:color="auto" w:fill="auto"/>
            <w:tcMar>
              <w:top w:w="40" w:type="dxa"/>
              <w:left w:w="40" w:type="dxa"/>
              <w:bottom w:w="40" w:type="dxa"/>
              <w:right w:w="40" w:type="dxa"/>
            </w:tcMar>
            <w:vAlign w:val="bottom"/>
          </w:tcPr>
          <w:p w14:paraId="606F6A8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ASSETS</w:t>
            </w:r>
          </w:p>
        </w:tc>
        <w:tc>
          <w:tcPr>
            <w:tcW w:w="0" w:type="auto"/>
            <w:gridSpan w:val="3"/>
            <w:shd w:val="clear" w:color="auto" w:fill="FFF1E7"/>
            <w:tcMar>
              <w:top w:w="40" w:type="dxa"/>
              <w:left w:w="40" w:type="dxa"/>
              <w:bottom w:w="40" w:type="dxa"/>
              <w:right w:w="40" w:type="dxa"/>
            </w:tcMar>
            <w:vAlign w:val="bottom"/>
          </w:tcPr>
          <w:p w14:paraId="606F6A8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6A8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6A8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A9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A8E" w14:textId="77777777" w:rsidR="00FB67F9" w:rsidRDefault="00E839DF">
            <w:pPr>
              <w:textAlignment w:val="bottom"/>
              <w:rPr>
                <w:rFonts w:ascii="Times New Roman" w:hAnsi="Times New Roman"/>
                <w:sz w:val="17"/>
                <w:szCs w:val="17"/>
              </w:rPr>
            </w:pPr>
            <w:r>
              <w:rPr>
                <w:rFonts w:ascii="Arial" w:eastAsia="宋体" w:hAnsi="Arial" w:cs="Arial"/>
                <w:sz w:val="17"/>
                <w:szCs w:val="17"/>
              </w:rPr>
              <w:t>Current assets: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A8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A9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A9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A9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93" w14:textId="77777777" w:rsidR="00FB67F9" w:rsidRDefault="00E839DF">
            <w:pPr>
              <w:textAlignment w:val="bottom"/>
              <w:rPr>
                <w:rFonts w:ascii="Times New Roman" w:hAnsi="Times New Roman"/>
                <w:sz w:val="17"/>
                <w:szCs w:val="17"/>
              </w:rPr>
            </w:pPr>
            <w:r>
              <w:rPr>
                <w:rFonts w:ascii="Arial" w:eastAsia="宋体" w:hAnsi="Arial" w:cs="Arial"/>
                <w:sz w:val="17"/>
                <w:szCs w:val="17"/>
              </w:rPr>
              <w:t>Cash and equivalents</w:t>
            </w:r>
          </w:p>
        </w:tc>
        <w:tc>
          <w:tcPr>
            <w:tcW w:w="0" w:type="auto"/>
            <w:tcBorders>
              <w:top w:val="single" w:sz="8" w:space="0" w:color="808080"/>
            </w:tcBorders>
            <w:shd w:val="clear" w:color="auto" w:fill="FFF1E7"/>
            <w:tcMar>
              <w:top w:w="40" w:type="dxa"/>
              <w:left w:w="40" w:type="dxa"/>
              <w:bottom w:w="40" w:type="dxa"/>
            </w:tcMar>
            <w:vAlign w:val="bottom"/>
          </w:tcPr>
          <w:p w14:paraId="606F6A9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6A9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3,070</w:t>
            </w:r>
          </w:p>
        </w:tc>
        <w:tc>
          <w:tcPr>
            <w:tcW w:w="0" w:type="auto"/>
            <w:tcBorders>
              <w:top w:val="single" w:sz="8" w:space="0" w:color="808080"/>
            </w:tcBorders>
            <w:shd w:val="clear" w:color="auto" w:fill="FFF1E7"/>
            <w:vAlign w:val="bottom"/>
          </w:tcPr>
          <w:p w14:paraId="606F6A9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A9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A9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6A9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4,466</w:t>
            </w:r>
          </w:p>
        </w:tc>
        <w:tc>
          <w:tcPr>
            <w:tcW w:w="0" w:type="auto"/>
            <w:tcBorders>
              <w:top w:val="single" w:sz="8" w:space="0" w:color="808080"/>
            </w:tcBorders>
            <w:shd w:val="clear" w:color="auto" w:fill="auto"/>
            <w:vAlign w:val="bottom"/>
          </w:tcPr>
          <w:p w14:paraId="606F6A9A" w14:textId="77777777" w:rsidR="00FB67F9" w:rsidRDefault="00FB67F9">
            <w:pPr>
              <w:textAlignment w:val="bottom"/>
              <w:rPr>
                <w:rFonts w:ascii="Times New Roman" w:hAnsi="Times New Roman"/>
                <w:sz w:val="20"/>
                <w:szCs w:val="20"/>
              </w:rPr>
            </w:pPr>
          </w:p>
        </w:tc>
      </w:tr>
      <w:tr w:rsidR="00FB67F9" w14:paraId="606F6AA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9C" w14:textId="77777777" w:rsidR="00FB67F9" w:rsidRDefault="00E839DF">
            <w:pPr>
              <w:textAlignment w:val="bottom"/>
              <w:rPr>
                <w:rFonts w:ascii="Times New Roman" w:hAnsi="Times New Roman"/>
                <w:sz w:val="17"/>
                <w:szCs w:val="17"/>
              </w:rPr>
            </w:pPr>
            <w:r>
              <w:rPr>
                <w:rFonts w:ascii="Arial" w:eastAsia="宋体" w:hAnsi="Arial" w:cs="Arial"/>
                <w:sz w:val="17"/>
                <w:szCs w:val="17"/>
              </w:rPr>
              <w:t>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606F6A9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432</w:t>
            </w:r>
          </w:p>
        </w:tc>
        <w:tc>
          <w:tcPr>
            <w:tcW w:w="0" w:type="auto"/>
            <w:tcBorders>
              <w:top w:val="single" w:sz="8" w:space="0" w:color="808080"/>
            </w:tcBorders>
            <w:shd w:val="clear" w:color="auto" w:fill="FFF1E7"/>
            <w:vAlign w:val="bottom"/>
          </w:tcPr>
          <w:p w14:paraId="606F6A9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A9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AA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197</w:t>
            </w:r>
          </w:p>
        </w:tc>
        <w:tc>
          <w:tcPr>
            <w:tcW w:w="0" w:type="auto"/>
            <w:tcBorders>
              <w:top w:val="single" w:sz="8" w:space="0" w:color="808080"/>
            </w:tcBorders>
            <w:shd w:val="clear" w:color="auto" w:fill="auto"/>
            <w:vAlign w:val="bottom"/>
          </w:tcPr>
          <w:p w14:paraId="606F6AA1" w14:textId="77777777" w:rsidR="00FB67F9" w:rsidRDefault="00FB67F9">
            <w:pPr>
              <w:textAlignment w:val="bottom"/>
              <w:rPr>
                <w:rFonts w:ascii="Times New Roman" w:hAnsi="Times New Roman"/>
                <w:sz w:val="20"/>
                <w:szCs w:val="20"/>
              </w:rPr>
            </w:pPr>
          </w:p>
        </w:tc>
      </w:tr>
      <w:tr w:rsidR="00FB67F9" w14:paraId="606F6AA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A3" w14:textId="77777777" w:rsidR="00FB67F9" w:rsidRDefault="00E839DF">
            <w:pPr>
              <w:textAlignment w:val="bottom"/>
              <w:rPr>
                <w:rFonts w:ascii="Times New Roman" w:hAnsi="Times New Roman"/>
                <w:sz w:val="17"/>
                <w:szCs w:val="17"/>
              </w:rPr>
            </w:pPr>
            <w:r>
              <w:rPr>
                <w:rFonts w:ascii="Arial" w:eastAsia="宋体" w:hAnsi="Arial" w:cs="Arial"/>
                <w:sz w:val="17"/>
                <w:szCs w:val="17"/>
              </w:rPr>
              <w:t>Accounts receivable, net</w:t>
            </w:r>
          </w:p>
        </w:tc>
        <w:tc>
          <w:tcPr>
            <w:tcW w:w="0" w:type="auto"/>
            <w:gridSpan w:val="2"/>
            <w:tcBorders>
              <w:top w:val="single" w:sz="8" w:space="0" w:color="808080"/>
            </w:tcBorders>
            <w:shd w:val="clear" w:color="auto" w:fill="FFF1E7"/>
            <w:tcMar>
              <w:top w:w="40" w:type="dxa"/>
              <w:left w:w="40" w:type="dxa"/>
              <w:bottom w:w="40" w:type="dxa"/>
            </w:tcMar>
            <w:vAlign w:val="bottom"/>
          </w:tcPr>
          <w:p w14:paraId="606F6AA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4,792</w:t>
            </w:r>
          </w:p>
        </w:tc>
        <w:tc>
          <w:tcPr>
            <w:tcW w:w="0" w:type="auto"/>
            <w:tcBorders>
              <w:top w:val="single" w:sz="8" w:space="0" w:color="808080"/>
            </w:tcBorders>
            <w:shd w:val="clear" w:color="auto" w:fill="FFF1E7"/>
            <w:vAlign w:val="bottom"/>
          </w:tcPr>
          <w:p w14:paraId="606F6AA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A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A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4,272</w:t>
            </w:r>
          </w:p>
        </w:tc>
        <w:tc>
          <w:tcPr>
            <w:tcW w:w="0" w:type="auto"/>
            <w:tcBorders>
              <w:top w:val="single" w:sz="8" w:space="0" w:color="808080"/>
            </w:tcBorders>
            <w:shd w:val="clear" w:color="auto" w:fill="auto"/>
            <w:vAlign w:val="bottom"/>
          </w:tcPr>
          <w:p w14:paraId="606F6AA8" w14:textId="77777777" w:rsidR="00FB67F9" w:rsidRDefault="00FB67F9">
            <w:pPr>
              <w:textAlignment w:val="bottom"/>
              <w:rPr>
                <w:rFonts w:ascii="Times New Roman" w:hAnsi="Times New Roman"/>
                <w:sz w:val="20"/>
                <w:szCs w:val="20"/>
              </w:rPr>
            </w:pPr>
          </w:p>
        </w:tc>
      </w:tr>
      <w:tr w:rsidR="00FB67F9" w14:paraId="606F6AB0"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AAA" w14:textId="77777777" w:rsidR="00FB67F9" w:rsidRDefault="00E839DF">
            <w:pPr>
              <w:textAlignment w:val="bottom"/>
              <w:rPr>
                <w:rFonts w:ascii="Times New Roman" w:hAnsi="Times New Roman"/>
                <w:sz w:val="17"/>
                <w:szCs w:val="17"/>
              </w:rPr>
            </w:pPr>
            <w:r>
              <w:rPr>
                <w:rFonts w:ascii="Arial" w:eastAsia="宋体" w:hAnsi="Arial" w:cs="Arial"/>
                <w:sz w:val="17"/>
                <w:szCs w:val="17"/>
              </w:rPr>
              <w:t>Inventories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A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6,199</w:t>
            </w:r>
          </w:p>
        </w:tc>
        <w:tc>
          <w:tcPr>
            <w:tcW w:w="0" w:type="auto"/>
            <w:tcBorders>
              <w:top w:val="single" w:sz="8" w:space="0" w:color="808080"/>
              <w:bottom w:val="single" w:sz="8" w:space="0" w:color="808080"/>
            </w:tcBorders>
            <w:shd w:val="clear" w:color="auto" w:fill="FFF1E7"/>
            <w:vAlign w:val="bottom"/>
          </w:tcPr>
          <w:p w14:paraId="606F6AA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A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A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5,622</w:t>
            </w:r>
          </w:p>
        </w:tc>
        <w:tc>
          <w:tcPr>
            <w:tcW w:w="0" w:type="auto"/>
            <w:tcBorders>
              <w:top w:val="single" w:sz="8" w:space="0" w:color="808080"/>
              <w:bottom w:val="single" w:sz="8" w:space="0" w:color="808080"/>
            </w:tcBorders>
            <w:shd w:val="clear" w:color="auto" w:fill="auto"/>
            <w:vAlign w:val="bottom"/>
          </w:tcPr>
          <w:p w14:paraId="606F6AAF" w14:textId="77777777" w:rsidR="00FB67F9" w:rsidRDefault="00FB67F9">
            <w:pPr>
              <w:textAlignment w:val="bottom"/>
              <w:rPr>
                <w:rFonts w:ascii="Times New Roman" w:hAnsi="Times New Roman"/>
                <w:sz w:val="20"/>
                <w:szCs w:val="20"/>
              </w:rPr>
            </w:pPr>
          </w:p>
        </w:tc>
      </w:tr>
      <w:tr w:rsidR="00FB67F9" w14:paraId="606F6AB7"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6AB1"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Prepaid </w:t>
            </w:r>
            <w:r>
              <w:rPr>
                <w:rFonts w:ascii="Arial" w:eastAsia="宋体" w:hAnsi="Arial" w:cs="Arial"/>
                <w:sz w:val="17"/>
                <w:szCs w:val="17"/>
              </w:rPr>
              <w:t>expenses and other current assets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A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1,876</w:t>
            </w:r>
          </w:p>
        </w:tc>
        <w:tc>
          <w:tcPr>
            <w:tcW w:w="0" w:type="auto"/>
            <w:tcBorders>
              <w:bottom w:val="single" w:sz="8" w:space="0" w:color="E87722"/>
            </w:tcBorders>
            <w:shd w:val="clear" w:color="auto" w:fill="FFF1E7"/>
            <w:vAlign w:val="bottom"/>
          </w:tcPr>
          <w:p w14:paraId="606F6AB3"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AB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6A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1,968</w:t>
            </w:r>
          </w:p>
        </w:tc>
        <w:tc>
          <w:tcPr>
            <w:tcW w:w="0" w:type="auto"/>
            <w:tcBorders>
              <w:bottom w:val="single" w:sz="8" w:space="0" w:color="E87722"/>
            </w:tcBorders>
            <w:shd w:val="clear" w:color="auto" w:fill="auto"/>
            <w:vAlign w:val="bottom"/>
          </w:tcPr>
          <w:p w14:paraId="606F6AB6" w14:textId="77777777" w:rsidR="00FB67F9" w:rsidRDefault="00FB67F9">
            <w:pPr>
              <w:textAlignment w:val="bottom"/>
              <w:rPr>
                <w:rFonts w:ascii="Times New Roman" w:hAnsi="Times New Roman"/>
                <w:sz w:val="20"/>
                <w:szCs w:val="20"/>
              </w:rPr>
            </w:pPr>
          </w:p>
        </w:tc>
      </w:tr>
      <w:tr w:rsidR="00FB67F9" w14:paraId="606F6ABE" w14:textId="77777777">
        <w:tc>
          <w:tcPr>
            <w:tcW w:w="0" w:type="auto"/>
            <w:shd w:val="clear" w:color="auto" w:fill="auto"/>
            <w:tcMar>
              <w:top w:w="40" w:type="dxa"/>
              <w:left w:w="40" w:type="dxa"/>
              <w:bottom w:w="40" w:type="dxa"/>
              <w:right w:w="40" w:type="dxa"/>
            </w:tcMar>
            <w:vAlign w:val="bottom"/>
          </w:tcPr>
          <w:p w14:paraId="606F6AB8"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current assets</w:t>
            </w:r>
          </w:p>
        </w:tc>
        <w:tc>
          <w:tcPr>
            <w:tcW w:w="0" w:type="auto"/>
            <w:gridSpan w:val="2"/>
            <w:shd w:val="clear" w:color="auto" w:fill="FFF1E7"/>
            <w:tcMar>
              <w:top w:w="40" w:type="dxa"/>
              <w:left w:w="40" w:type="dxa"/>
              <w:bottom w:w="40" w:type="dxa"/>
            </w:tcMar>
            <w:vAlign w:val="bottom"/>
          </w:tcPr>
          <w:p w14:paraId="606F6A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16,369</w:t>
            </w:r>
          </w:p>
        </w:tc>
        <w:tc>
          <w:tcPr>
            <w:tcW w:w="0" w:type="auto"/>
            <w:shd w:val="clear" w:color="auto" w:fill="FFF1E7"/>
            <w:vAlign w:val="bottom"/>
          </w:tcPr>
          <w:p w14:paraId="606F6ABA"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AB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6A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16,525</w:t>
            </w:r>
          </w:p>
        </w:tc>
        <w:tc>
          <w:tcPr>
            <w:tcW w:w="0" w:type="auto"/>
            <w:shd w:val="clear" w:color="auto" w:fill="auto"/>
            <w:vAlign w:val="bottom"/>
          </w:tcPr>
          <w:p w14:paraId="606F6ABD" w14:textId="77777777" w:rsidR="00FB67F9" w:rsidRDefault="00FB67F9">
            <w:pPr>
              <w:textAlignment w:val="bottom"/>
              <w:rPr>
                <w:rFonts w:ascii="Times New Roman" w:hAnsi="Times New Roman"/>
                <w:sz w:val="20"/>
                <w:szCs w:val="20"/>
              </w:rPr>
            </w:pPr>
          </w:p>
        </w:tc>
      </w:tr>
      <w:tr w:rsidR="00FB67F9" w14:paraId="606F6AC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BF" w14:textId="77777777" w:rsidR="00FB67F9" w:rsidRDefault="00E839DF">
            <w:pPr>
              <w:textAlignment w:val="bottom"/>
              <w:rPr>
                <w:rFonts w:ascii="Times New Roman" w:hAnsi="Times New Roman"/>
                <w:sz w:val="17"/>
                <w:szCs w:val="17"/>
              </w:rPr>
            </w:pPr>
            <w:r>
              <w:rPr>
                <w:rFonts w:ascii="Arial" w:eastAsia="宋体" w:hAnsi="Arial" w:cs="Arial"/>
                <w:sz w:val="17"/>
                <w:szCs w:val="17"/>
              </w:rPr>
              <w:t>Property, plant and equipment, net</w:t>
            </w:r>
          </w:p>
        </w:tc>
        <w:tc>
          <w:tcPr>
            <w:tcW w:w="0" w:type="auto"/>
            <w:gridSpan w:val="2"/>
            <w:tcBorders>
              <w:top w:val="single" w:sz="8" w:space="0" w:color="808080"/>
            </w:tcBorders>
            <w:shd w:val="clear" w:color="auto" w:fill="FFF1E7"/>
            <w:tcMar>
              <w:top w:w="40" w:type="dxa"/>
              <w:left w:w="40" w:type="dxa"/>
              <w:bottom w:w="40" w:type="dxa"/>
            </w:tcMar>
            <w:vAlign w:val="bottom"/>
          </w:tcPr>
          <w:p w14:paraId="606F6A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4,668</w:t>
            </w:r>
          </w:p>
        </w:tc>
        <w:tc>
          <w:tcPr>
            <w:tcW w:w="0" w:type="auto"/>
            <w:tcBorders>
              <w:top w:val="single" w:sz="8" w:space="0" w:color="808080"/>
            </w:tcBorders>
            <w:shd w:val="clear" w:color="auto" w:fill="FFF1E7"/>
            <w:vAlign w:val="bottom"/>
          </w:tcPr>
          <w:p w14:paraId="606F6AC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AC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A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4,744</w:t>
            </w:r>
          </w:p>
        </w:tc>
        <w:tc>
          <w:tcPr>
            <w:tcW w:w="0" w:type="auto"/>
            <w:tcBorders>
              <w:top w:val="single" w:sz="8" w:space="0" w:color="808080"/>
            </w:tcBorders>
            <w:shd w:val="clear" w:color="auto" w:fill="auto"/>
            <w:vAlign w:val="bottom"/>
          </w:tcPr>
          <w:p w14:paraId="606F6AC4" w14:textId="77777777" w:rsidR="00FB67F9" w:rsidRDefault="00FB67F9">
            <w:pPr>
              <w:textAlignment w:val="bottom"/>
              <w:rPr>
                <w:rFonts w:ascii="Times New Roman" w:hAnsi="Times New Roman"/>
                <w:sz w:val="20"/>
                <w:szCs w:val="20"/>
              </w:rPr>
            </w:pPr>
          </w:p>
        </w:tc>
      </w:tr>
      <w:tr w:rsidR="00FB67F9" w14:paraId="606F6AC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AC6" w14:textId="77777777" w:rsidR="00FB67F9" w:rsidRDefault="00E839DF">
            <w:pPr>
              <w:textAlignment w:val="bottom"/>
              <w:rPr>
                <w:rFonts w:ascii="Times New Roman" w:hAnsi="Times New Roman"/>
                <w:sz w:val="17"/>
                <w:szCs w:val="17"/>
              </w:rPr>
            </w:pPr>
            <w:r>
              <w:rPr>
                <w:rFonts w:ascii="Arial" w:eastAsia="宋体" w:hAnsi="Arial" w:cs="Arial"/>
                <w:sz w:val="17"/>
                <w:szCs w:val="17"/>
              </w:rPr>
              <w:t>Operating lease right-of-use assets,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A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2,882</w:t>
            </w:r>
          </w:p>
        </w:tc>
        <w:tc>
          <w:tcPr>
            <w:tcW w:w="0" w:type="auto"/>
            <w:tcBorders>
              <w:top w:val="single" w:sz="8" w:space="0" w:color="808080"/>
              <w:bottom w:val="single" w:sz="8" w:space="0" w:color="808080"/>
            </w:tcBorders>
            <w:shd w:val="clear" w:color="auto" w:fill="FFF1E7"/>
            <w:vAlign w:val="bottom"/>
          </w:tcPr>
          <w:p w14:paraId="606F6AC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A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A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6ACB" w14:textId="77777777" w:rsidR="00FB67F9" w:rsidRDefault="00FB67F9">
            <w:pPr>
              <w:textAlignment w:val="bottom"/>
              <w:rPr>
                <w:rFonts w:ascii="Times New Roman" w:hAnsi="Times New Roman"/>
                <w:sz w:val="20"/>
                <w:szCs w:val="20"/>
              </w:rPr>
            </w:pPr>
          </w:p>
        </w:tc>
      </w:tr>
      <w:tr w:rsidR="00FB67F9" w14:paraId="606F6AD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CD" w14:textId="77777777" w:rsidR="00FB67F9" w:rsidRDefault="00E839DF">
            <w:pPr>
              <w:textAlignment w:val="bottom"/>
              <w:rPr>
                <w:rFonts w:ascii="Times New Roman" w:hAnsi="Times New Roman"/>
                <w:sz w:val="17"/>
                <w:szCs w:val="17"/>
              </w:rPr>
            </w:pPr>
            <w:r>
              <w:rPr>
                <w:rFonts w:ascii="Arial" w:eastAsia="宋体" w:hAnsi="Arial" w:cs="Arial"/>
                <w:sz w:val="17"/>
                <w:szCs w:val="17"/>
              </w:rPr>
              <w:t>Identifiable intangible assets, net</w:t>
            </w:r>
          </w:p>
        </w:tc>
        <w:tc>
          <w:tcPr>
            <w:tcW w:w="0" w:type="auto"/>
            <w:gridSpan w:val="2"/>
            <w:tcBorders>
              <w:top w:val="single" w:sz="8" w:space="0" w:color="808080"/>
            </w:tcBorders>
            <w:shd w:val="clear" w:color="auto" w:fill="FFF1E7"/>
            <w:tcMar>
              <w:top w:w="40" w:type="dxa"/>
              <w:left w:w="40" w:type="dxa"/>
              <w:bottom w:w="40" w:type="dxa"/>
            </w:tcMar>
            <w:vAlign w:val="bottom"/>
          </w:tcPr>
          <w:p w14:paraId="606F6A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277</w:t>
            </w:r>
          </w:p>
        </w:tc>
        <w:tc>
          <w:tcPr>
            <w:tcW w:w="0" w:type="auto"/>
            <w:tcBorders>
              <w:top w:val="single" w:sz="8" w:space="0" w:color="808080"/>
            </w:tcBorders>
            <w:shd w:val="clear" w:color="auto" w:fill="FFF1E7"/>
            <w:vAlign w:val="bottom"/>
          </w:tcPr>
          <w:p w14:paraId="606F6AC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AD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AD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283</w:t>
            </w:r>
          </w:p>
        </w:tc>
        <w:tc>
          <w:tcPr>
            <w:tcW w:w="0" w:type="auto"/>
            <w:tcBorders>
              <w:top w:val="single" w:sz="8" w:space="0" w:color="808080"/>
            </w:tcBorders>
            <w:shd w:val="clear" w:color="auto" w:fill="auto"/>
            <w:vAlign w:val="bottom"/>
          </w:tcPr>
          <w:p w14:paraId="606F6AD2" w14:textId="77777777" w:rsidR="00FB67F9" w:rsidRDefault="00FB67F9">
            <w:pPr>
              <w:textAlignment w:val="bottom"/>
              <w:rPr>
                <w:rFonts w:ascii="Times New Roman" w:hAnsi="Times New Roman"/>
                <w:sz w:val="20"/>
                <w:szCs w:val="20"/>
              </w:rPr>
            </w:pPr>
          </w:p>
        </w:tc>
      </w:tr>
      <w:tr w:rsidR="00FB67F9" w14:paraId="606F6AD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AD4" w14:textId="77777777" w:rsidR="00FB67F9" w:rsidRDefault="00E839DF">
            <w:pPr>
              <w:textAlignment w:val="bottom"/>
              <w:rPr>
                <w:rFonts w:ascii="Times New Roman" w:hAnsi="Times New Roman"/>
                <w:sz w:val="17"/>
                <w:szCs w:val="17"/>
              </w:rPr>
            </w:pPr>
            <w:r>
              <w:rPr>
                <w:rFonts w:ascii="Arial" w:eastAsia="宋体" w:hAnsi="Arial" w:cs="Arial"/>
                <w:sz w:val="17"/>
                <w:szCs w:val="17"/>
              </w:rPr>
              <w:t>Goodwill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A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224</w:t>
            </w:r>
          </w:p>
        </w:tc>
        <w:tc>
          <w:tcPr>
            <w:tcW w:w="0" w:type="auto"/>
            <w:tcBorders>
              <w:top w:val="single" w:sz="8" w:space="0" w:color="808080"/>
              <w:bottom w:val="single" w:sz="8" w:space="0" w:color="808080"/>
            </w:tcBorders>
            <w:shd w:val="clear" w:color="auto" w:fill="FFF1E7"/>
            <w:vAlign w:val="bottom"/>
          </w:tcPr>
          <w:p w14:paraId="606F6AD6"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AD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A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154</w:t>
            </w:r>
          </w:p>
        </w:tc>
        <w:tc>
          <w:tcPr>
            <w:tcW w:w="0" w:type="auto"/>
            <w:tcBorders>
              <w:top w:val="single" w:sz="8" w:space="0" w:color="808080"/>
              <w:bottom w:val="single" w:sz="8" w:space="0" w:color="808080"/>
            </w:tcBorders>
            <w:shd w:val="clear" w:color="auto" w:fill="auto"/>
            <w:vAlign w:val="bottom"/>
          </w:tcPr>
          <w:p w14:paraId="606F6AD9" w14:textId="77777777" w:rsidR="00FB67F9" w:rsidRDefault="00FB67F9">
            <w:pPr>
              <w:textAlignment w:val="bottom"/>
              <w:rPr>
                <w:rFonts w:ascii="Times New Roman" w:hAnsi="Times New Roman"/>
                <w:sz w:val="20"/>
                <w:szCs w:val="20"/>
              </w:rPr>
            </w:pPr>
          </w:p>
        </w:tc>
      </w:tr>
      <w:tr w:rsidR="00FB67F9" w14:paraId="606F6AE1" w14:textId="77777777">
        <w:tc>
          <w:tcPr>
            <w:tcW w:w="0" w:type="auto"/>
            <w:shd w:val="clear" w:color="auto" w:fill="auto"/>
            <w:tcMar>
              <w:top w:w="40" w:type="dxa"/>
              <w:left w:w="240" w:type="dxa"/>
              <w:bottom w:w="40" w:type="dxa"/>
              <w:right w:w="40" w:type="dxa"/>
            </w:tcMar>
            <w:vAlign w:val="bottom"/>
          </w:tcPr>
          <w:p w14:paraId="606F6ADB" w14:textId="77777777" w:rsidR="00FB67F9" w:rsidRDefault="00E839DF">
            <w:pPr>
              <w:textAlignment w:val="bottom"/>
              <w:rPr>
                <w:rFonts w:ascii="Times New Roman" w:hAnsi="Times New Roman"/>
                <w:sz w:val="17"/>
                <w:szCs w:val="17"/>
              </w:rPr>
            </w:pPr>
            <w:r>
              <w:rPr>
                <w:rFonts w:ascii="Arial" w:eastAsia="宋体" w:hAnsi="Arial" w:cs="Arial"/>
                <w:sz w:val="17"/>
                <w:szCs w:val="17"/>
              </w:rPr>
              <w:t>Deferred income taxes and other assets</w:t>
            </w:r>
          </w:p>
        </w:tc>
        <w:tc>
          <w:tcPr>
            <w:tcW w:w="0" w:type="auto"/>
            <w:gridSpan w:val="2"/>
            <w:shd w:val="clear" w:color="auto" w:fill="FFF1E7"/>
            <w:tcMar>
              <w:top w:w="40" w:type="dxa"/>
              <w:left w:w="40" w:type="dxa"/>
              <w:bottom w:w="40" w:type="dxa"/>
            </w:tcMar>
            <w:vAlign w:val="bottom"/>
          </w:tcPr>
          <w:p w14:paraId="606F6A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2,182</w:t>
            </w:r>
          </w:p>
        </w:tc>
        <w:tc>
          <w:tcPr>
            <w:tcW w:w="0" w:type="auto"/>
            <w:shd w:val="clear" w:color="auto" w:fill="FFF1E7"/>
            <w:vAlign w:val="bottom"/>
          </w:tcPr>
          <w:p w14:paraId="606F6AD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AD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6AD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2,011</w:t>
            </w:r>
          </w:p>
        </w:tc>
        <w:tc>
          <w:tcPr>
            <w:tcW w:w="0" w:type="auto"/>
            <w:shd w:val="clear" w:color="auto" w:fill="auto"/>
            <w:vAlign w:val="bottom"/>
          </w:tcPr>
          <w:p w14:paraId="606F6AE0" w14:textId="77777777" w:rsidR="00FB67F9" w:rsidRDefault="00FB67F9">
            <w:pPr>
              <w:textAlignment w:val="bottom"/>
              <w:rPr>
                <w:rFonts w:ascii="Times New Roman" w:hAnsi="Times New Roman"/>
                <w:sz w:val="20"/>
                <w:szCs w:val="20"/>
              </w:rPr>
            </w:pPr>
          </w:p>
        </w:tc>
      </w:tr>
      <w:tr w:rsidR="00FB67F9" w14:paraId="606F6AEA"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AE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ASSETS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AE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AE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26,602</w:t>
            </w:r>
          </w:p>
        </w:tc>
        <w:tc>
          <w:tcPr>
            <w:tcW w:w="0" w:type="auto"/>
            <w:tcBorders>
              <w:top w:val="single" w:sz="8" w:space="0" w:color="E87722"/>
              <w:bottom w:val="single" w:sz="8" w:space="0" w:color="E87722"/>
            </w:tcBorders>
            <w:shd w:val="clear" w:color="auto" w:fill="FFF1E7"/>
            <w:vAlign w:val="bottom"/>
          </w:tcPr>
          <w:p w14:paraId="606F6AE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AE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AE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AE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23,717</w:t>
            </w:r>
          </w:p>
        </w:tc>
        <w:tc>
          <w:tcPr>
            <w:tcW w:w="0" w:type="auto"/>
            <w:tcBorders>
              <w:top w:val="single" w:sz="8" w:space="0" w:color="E87722"/>
              <w:bottom w:val="single" w:sz="8" w:space="0" w:color="E87722"/>
            </w:tcBorders>
            <w:shd w:val="clear" w:color="auto" w:fill="auto"/>
            <w:vAlign w:val="bottom"/>
          </w:tcPr>
          <w:p w14:paraId="606F6AE9" w14:textId="77777777" w:rsidR="00FB67F9" w:rsidRDefault="00FB67F9">
            <w:pPr>
              <w:textAlignment w:val="bottom"/>
              <w:rPr>
                <w:rFonts w:ascii="Times New Roman" w:hAnsi="Times New Roman"/>
                <w:sz w:val="20"/>
                <w:szCs w:val="20"/>
              </w:rPr>
            </w:pPr>
          </w:p>
        </w:tc>
      </w:tr>
      <w:tr w:rsidR="00FB67F9" w14:paraId="606F6AEF" w14:textId="77777777">
        <w:tc>
          <w:tcPr>
            <w:tcW w:w="0" w:type="auto"/>
            <w:shd w:val="clear" w:color="auto" w:fill="auto"/>
            <w:tcMar>
              <w:top w:w="40" w:type="dxa"/>
              <w:left w:w="40" w:type="dxa"/>
              <w:bottom w:w="40" w:type="dxa"/>
              <w:right w:w="40" w:type="dxa"/>
            </w:tcMar>
            <w:vAlign w:val="bottom"/>
          </w:tcPr>
          <w:p w14:paraId="606F6A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LIABILITIES AND SHAREHOLDERS' EQUITY</w:t>
            </w:r>
          </w:p>
        </w:tc>
        <w:tc>
          <w:tcPr>
            <w:tcW w:w="0" w:type="auto"/>
            <w:gridSpan w:val="3"/>
            <w:shd w:val="clear" w:color="auto" w:fill="FFF1E7"/>
            <w:tcMar>
              <w:top w:w="40" w:type="dxa"/>
              <w:left w:w="40" w:type="dxa"/>
              <w:bottom w:w="40" w:type="dxa"/>
              <w:right w:w="40" w:type="dxa"/>
            </w:tcMar>
            <w:vAlign w:val="bottom"/>
          </w:tcPr>
          <w:p w14:paraId="606F6AE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6AE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6AE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AF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AF0" w14:textId="77777777" w:rsidR="00FB67F9" w:rsidRDefault="00E839DF">
            <w:pPr>
              <w:textAlignment w:val="bottom"/>
              <w:rPr>
                <w:rFonts w:ascii="Times New Roman" w:hAnsi="Times New Roman"/>
                <w:sz w:val="17"/>
                <w:szCs w:val="17"/>
              </w:rPr>
            </w:pPr>
            <w:r>
              <w:rPr>
                <w:rFonts w:ascii="Arial" w:eastAsia="宋体" w:hAnsi="Arial" w:cs="Arial"/>
                <w:sz w:val="17"/>
                <w:szCs w:val="17"/>
              </w:rPr>
              <w:t>Current liabilities: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AF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AF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AF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AF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F5" w14:textId="77777777" w:rsidR="00FB67F9" w:rsidRDefault="00E839DF">
            <w:pPr>
              <w:textAlignment w:val="bottom"/>
              <w:rPr>
                <w:rFonts w:ascii="Times New Roman" w:hAnsi="Times New Roman"/>
                <w:sz w:val="17"/>
                <w:szCs w:val="17"/>
              </w:rPr>
            </w:pPr>
            <w:r>
              <w:rPr>
                <w:rFonts w:ascii="Arial" w:eastAsia="宋体" w:hAnsi="Arial" w:cs="Arial"/>
                <w:sz w:val="17"/>
                <w:szCs w:val="17"/>
              </w:rPr>
              <w:t>Current portion of long-term debt</w:t>
            </w:r>
          </w:p>
        </w:tc>
        <w:tc>
          <w:tcPr>
            <w:tcW w:w="0" w:type="auto"/>
            <w:tcBorders>
              <w:top w:val="single" w:sz="8" w:space="0" w:color="808080"/>
            </w:tcBorders>
            <w:shd w:val="clear" w:color="auto" w:fill="FFF1E7"/>
            <w:tcMar>
              <w:top w:w="40" w:type="dxa"/>
              <w:left w:w="40" w:type="dxa"/>
              <w:bottom w:w="40" w:type="dxa"/>
            </w:tcMar>
            <w:vAlign w:val="bottom"/>
          </w:tcPr>
          <w:p w14:paraId="606F6AF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6AF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FFF1E7"/>
            <w:vAlign w:val="bottom"/>
          </w:tcPr>
          <w:p w14:paraId="606F6AF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AF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AF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6AF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vAlign w:val="bottom"/>
          </w:tcPr>
          <w:p w14:paraId="606F6AFC" w14:textId="77777777" w:rsidR="00FB67F9" w:rsidRDefault="00FB67F9">
            <w:pPr>
              <w:textAlignment w:val="bottom"/>
              <w:rPr>
                <w:rFonts w:ascii="Times New Roman" w:hAnsi="Times New Roman"/>
                <w:sz w:val="20"/>
                <w:szCs w:val="20"/>
              </w:rPr>
            </w:pPr>
          </w:p>
        </w:tc>
      </w:tr>
      <w:tr w:rsidR="00FB67F9" w14:paraId="606F6B04"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AFE" w14:textId="77777777" w:rsidR="00FB67F9" w:rsidRDefault="00E839DF">
            <w:pPr>
              <w:textAlignment w:val="bottom"/>
              <w:rPr>
                <w:rFonts w:ascii="Times New Roman" w:hAnsi="Times New Roman"/>
                <w:sz w:val="17"/>
                <w:szCs w:val="17"/>
              </w:rPr>
            </w:pPr>
            <w:r>
              <w:rPr>
                <w:rFonts w:ascii="Arial" w:eastAsia="宋体" w:hAnsi="Arial" w:cs="Arial"/>
                <w:sz w:val="17"/>
                <w:szCs w:val="17"/>
              </w:rPr>
              <w:t>Notes payable</w:t>
            </w:r>
          </w:p>
        </w:tc>
        <w:tc>
          <w:tcPr>
            <w:tcW w:w="0" w:type="auto"/>
            <w:gridSpan w:val="2"/>
            <w:tcBorders>
              <w:top w:val="single" w:sz="8" w:space="0" w:color="808080"/>
            </w:tcBorders>
            <w:shd w:val="clear" w:color="auto" w:fill="FFF1E7"/>
            <w:tcMar>
              <w:top w:w="40" w:type="dxa"/>
              <w:left w:w="40" w:type="dxa"/>
              <w:bottom w:w="40" w:type="dxa"/>
            </w:tcMar>
            <w:vAlign w:val="bottom"/>
          </w:tcPr>
          <w:p w14:paraId="606F6AF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300</w:t>
            </w:r>
          </w:p>
        </w:tc>
        <w:tc>
          <w:tcPr>
            <w:tcW w:w="0" w:type="auto"/>
            <w:tcBorders>
              <w:top w:val="single" w:sz="8" w:space="0" w:color="808080"/>
            </w:tcBorders>
            <w:shd w:val="clear" w:color="auto" w:fill="FFF1E7"/>
            <w:vAlign w:val="bottom"/>
          </w:tcPr>
          <w:p w14:paraId="606F6B0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0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0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vAlign w:val="bottom"/>
          </w:tcPr>
          <w:p w14:paraId="606F6B03" w14:textId="77777777" w:rsidR="00FB67F9" w:rsidRDefault="00FB67F9">
            <w:pPr>
              <w:textAlignment w:val="bottom"/>
              <w:rPr>
                <w:rFonts w:ascii="Times New Roman" w:hAnsi="Times New Roman"/>
                <w:sz w:val="20"/>
                <w:szCs w:val="20"/>
              </w:rPr>
            </w:pPr>
          </w:p>
        </w:tc>
      </w:tr>
      <w:tr w:rsidR="00FB67F9" w14:paraId="606F6B0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05" w14:textId="77777777" w:rsidR="00FB67F9" w:rsidRDefault="00E839DF">
            <w:pPr>
              <w:textAlignment w:val="bottom"/>
              <w:rPr>
                <w:rFonts w:ascii="Times New Roman" w:hAnsi="Times New Roman"/>
                <w:sz w:val="17"/>
                <w:szCs w:val="17"/>
              </w:rPr>
            </w:pPr>
            <w:r>
              <w:rPr>
                <w:rFonts w:ascii="Arial" w:eastAsia="宋体" w:hAnsi="Arial" w:cs="Arial"/>
                <w:sz w:val="17"/>
                <w:szCs w:val="17"/>
              </w:rPr>
              <w:t>Accounts payable</w:t>
            </w:r>
          </w:p>
        </w:tc>
        <w:tc>
          <w:tcPr>
            <w:tcW w:w="0" w:type="auto"/>
            <w:gridSpan w:val="2"/>
            <w:tcBorders>
              <w:top w:val="single" w:sz="8" w:space="0" w:color="808080"/>
            </w:tcBorders>
            <w:shd w:val="clear" w:color="auto" w:fill="FFF1E7"/>
            <w:tcMar>
              <w:top w:w="40" w:type="dxa"/>
              <w:left w:w="40" w:type="dxa"/>
              <w:bottom w:w="40" w:type="dxa"/>
            </w:tcMar>
            <w:vAlign w:val="bottom"/>
          </w:tcPr>
          <w:p w14:paraId="606F6B0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2,627</w:t>
            </w:r>
          </w:p>
        </w:tc>
        <w:tc>
          <w:tcPr>
            <w:tcW w:w="0" w:type="auto"/>
            <w:tcBorders>
              <w:top w:val="single" w:sz="8" w:space="0" w:color="808080"/>
            </w:tcBorders>
            <w:shd w:val="clear" w:color="auto" w:fill="FFF1E7"/>
            <w:vAlign w:val="bottom"/>
          </w:tcPr>
          <w:p w14:paraId="606F6B0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0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0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2,612</w:t>
            </w:r>
          </w:p>
        </w:tc>
        <w:tc>
          <w:tcPr>
            <w:tcW w:w="0" w:type="auto"/>
            <w:tcBorders>
              <w:top w:val="single" w:sz="8" w:space="0" w:color="808080"/>
            </w:tcBorders>
            <w:shd w:val="clear" w:color="auto" w:fill="auto"/>
            <w:vAlign w:val="bottom"/>
          </w:tcPr>
          <w:p w14:paraId="606F6B0A" w14:textId="77777777" w:rsidR="00FB67F9" w:rsidRDefault="00FB67F9">
            <w:pPr>
              <w:textAlignment w:val="bottom"/>
              <w:rPr>
                <w:rFonts w:ascii="Times New Roman" w:hAnsi="Times New Roman"/>
                <w:sz w:val="20"/>
                <w:szCs w:val="20"/>
              </w:rPr>
            </w:pPr>
          </w:p>
        </w:tc>
      </w:tr>
      <w:tr w:rsidR="00FB67F9" w14:paraId="606F6B1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B0C" w14:textId="77777777" w:rsidR="00FB67F9" w:rsidRDefault="00E839DF">
            <w:pPr>
              <w:textAlignment w:val="bottom"/>
              <w:rPr>
                <w:rFonts w:ascii="Times New Roman" w:hAnsi="Times New Roman"/>
                <w:sz w:val="17"/>
                <w:szCs w:val="17"/>
              </w:rPr>
            </w:pPr>
            <w:r>
              <w:rPr>
                <w:rFonts w:ascii="Arial" w:eastAsia="宋体" w:hAnsi="Arial" w:cs="Arial"/>
                <w:sz w:val="17"/>
                <w:szCs w:val="17"/>
              </w:rPr>
              <w:t>Current portion of operating lease 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B0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431</w:t>
            </w:r>
          </w:p>
        </w:tc>
        <w:tc>
          <w:tcPr>
            <w:tcW w:w="0" w:type="auto"/>
            <w:tcBorders>
              <w:top w:val="single" w:sz="8" w:space="0" w:color="808080"/>
              <w:bottom w:val="single" w:sz="8" w:space="0" w:color="808080"/>
            </w:tcBorders>
            <w:shd w:val="clear" w:color="auto" w:fill="FFF1E7"/>
            <w:vAlign w:val="bottom"/>
          </w:tcPr>
          <w:p w14:paraId="606F6B0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B0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B1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6B11" w14:textId="77777777" w:rsidR="00FB67F9" w:rsidRDefault="00FB67F9">
            <w:pPr>
              <w:textAlignment w:val="bottom"/>
              <w:rPr>
                <w:rFonts w:ascii="Times New Roman" w:hAnsi="Times New Roman"/>
                <w:sz w:val="20"/>
                <w:szCs w:val="20"/>
              </w:rPr>
            </w:pPr>
          </w:p>
        </w:tc>
      </w:tr>
      <w:tr w:rsidR="00FB67F9" w14:paraId="606F6B1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B13" w14:textId="77777777" w:rsidR="00FB67F9" w:rsidRDefault="00E839DF">
            <w:pPr>
              <w:textAlignment w:val="bottom"/>
              <w:rPr>
                <w:rFonts w:ascii="Times New Roman" w:hAnsi="Times New Roman"/>
                <w:sz w:val="17"/>
                <w:szCs w:val="17"/>
              </w:rPr>
            </w:pPr>
            <w:r>
              <w:rPr>
                <w:rFonts w:ascii="Arial" w:eastAsia="宋体" w:hAnsi="Arial" w:cs="Arial"/>
                <w:sz w:val="17"/>
                <w:szCs w:val="17"/>
              </w:rPr>
              <w:t>Accrued 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B1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4,672</w:t>
            </w:r>
          </w:p>
        </w:tc>
        <w:tc>
          <w:tcPr>
            <w:tcW w:w="0" w:type="auto"/>
            <w:tcBorders>
              <w:top w:val="single" w:sz="8" w:space="0" w:color="808080"/>
              <w:bottom w:val="single" w:sz="8" w:space="0" w:color="808080"/>
            </w:tcBorders>
            <w:shd w:val="clear" w:color="auto" w:fill="FFF1E7"/>
            <w:vAlign w:val="bottom"/>
          </w:tcPr>
          <w:p w14:paraId="606F6B1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B1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B1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5,010</w:t>
            </w:r>
          </w:p>
        </w:tc>
        <w:tc>
          <w:tcPr>
            <w:tcW w:w="0" w:type="auto"/>
            <w:tcBorders>
              <w:top w:val="single" w:sz="8" w:space="0" w:color="808080"/>
              <w:bottom w:val="single" w:sz="8" w:space="0" w:color="808080"/>
            </w:tcBorders>
            <w:shd w:val="clear" w:color="auto" w:fill="auto"/>
            <w:vAlign w:val="bottom"/>
          </w:tcPr>
          <w:p w14:paraId="606F6B18" w14:textId="77777777" w:rsidR="00FB67F9" w:rsidRDefault="00FB67F9">
            <w:pPr>
              <w:textAlignment w:val="bottom"/>
              <w:rPr>
                <w:rFonts w:ascii="Times New Roman" w:hAnsi="Times New Roman"/>
                <w:sz w:val="20"/>
                <w:szCs w:val="20"/>
              </w:rPr>
            </w:pPr>
          </w:p>
        </w:tc>
      </w:tr>
      <w:tr w:rsidR="00FB67F9" w14:paraId="606F6B20"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6B1A" w14:textId="77777777" w:rsidR="00FB67F9" w:rsidRDefault="00E839DF">
            <w:pPr>
              <w:textAlignment w:val="bottom"/>
              <w:rPr>
                <w:rFonts w:ascii="Times New Roman" w:hAnsi="Times New Roman"/>
                <w:sz w:val="17"/>
                <w:szCs w:val="17"/>
              </w:rPr>
            </w:pPr>
            <w:r>
              <w:rPr>
                <w:rFonts w:ascii="Arial" w:eastAsia="宋体" w:hAnsi="Arial" w:cs="Arial"/>
                <w:sz w:val="17"/>
                <w:szCs w:val="17"/>
              </w:rPr>
              <w:t>Income taxes payable</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B1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228</w:t>
            </w:r>
          </w:p>
        </w:tc>
        <w:tc>
          <w:tcPr>
            <w:tcW w:w="0" w:type="auto"/>
            <w:tcBorders>
              <w:bottom w:val="single" w:sz="8" w:space="0" w:color="E87722"/>
            </w:tcBorders>
            <w:shd w:val="clear" w:color="auto" w:fill="FFF1E7"/>
            <w:vAlign w:val="bottom"/>
          </w:tcPr>
          <w:p w14:paraId="606F6B1C"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B1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6B1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229</w:t>
            </w:r>
          </w:p>
        </w:tc>
        <w:tc>
          <w:tcPr>
            <w:tcW w:w="0" w:type="auto"/>
            <w:tcBorders>
              <w:bottom w:val="single" w:sz="8" w:space="0" w:color="E87722"/>
            </w:tcBorders>
            <w:shd w:val="clear" w:color="auto" w:fill="auto"/>
            <w:vAlign w:val="bottom"/>
          </w:tcPr>
          <w:p w14:paraId="606F6B1F" w14:textId="77777777" w:rsidR="00FB67F9" w:rsidRDefault="00FB67F9">
            <w:pPr>
              <w:textAlignment w:val="bottom"/>
              <w:rPr>
                <w:rFonts w:ascii="Times New Roman" w:hAnsi="Times New Roman"/>
                <w:sz w:val="20"/>
                <w:szCs w:val="20"/>
              </w:rPr>
            </w:pPr>
          </w:p>
        </w:tc>
      </w:tr>
      <w:tr w:rsidR="00FB67F9" w14:paraId="606F6B27" w14:textId="77777777">
        <w:tc>
          <w:tcPr>
            <w:tcW w:w="0" w:type="auto"/>
            <w:shd w:val="clear" w:color="auto" w:fill="auto"/>
            <w:tcMar>
              <w:top w:w="40" w:type="dxa"/>
              <w:left w:w="40" w:type="dxa"/>
              <w:bottom w:w="40" w:type="dxa"/>
              <w:right w:w="40" w:type="dxa"/>
            </w:tcMar>
            <w:vAlign w:val="bottom"/>
          </w:tcPr>
          <w:p w14:paraId="606F6B21"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current liabilities</w:t>
            </w:r>
          </w:p>
        </w:tc>
        <w:tc>
          <w:tcPr>
            <w:tcW w:w="0" w:type="auto"/>
            <w:gridSpan w:val="2"/>
            <w:shd w:val="clear" w:color="auto" w:fill="FFF1E7"/>
            <w:tcMar>
              <w:top w:w="40" w:type="dxa"/>
              <w:left w:w="40" w:type="dxa"/>
              <w:bottom w:w="40" w:type="dxa"/>
            </w:tcMar>
            <w:vAlign w:val="bottom"/>
          </w:tcPr>
          <w:p w14:paraId="606F6B2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8,264</w:t>
            </w:r>
          </w:p>
        </w:tc>
        <w:tc>
          <w:tcPr>
            <w:tcW w:w="0" w:type="auto"/>
            <w:shd w:val="clear" w:color="auto" w:fill="FFF1E7"/>
            <w:vAlign w:val="bottom"/>
          </w:tcPr>
          <w:p w14:paraId="606F6B23"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B2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6B2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7,866</w:t>
            </w:r>
          </w:p>
        </w:tc>
        <w:tc>
          <w:tcPr>
            <w:tcW w:w="0" w:type="auto"/>
            <w:shd w:val="clear" w:color="auto" w:fill="auto"/>
            <w:vAlign w:val="bottom"/>
          </w:tcPr>
          <w:p w14:paraId="606F6B26" w14:textId="77777777" w:rsidR="00FB67F9" w:rsidRDefault="00FB67F9">
            <w:pPr>
              <w:textAlignment w:val="bottom"/>
              <w:rPr>
                <w:rFonts w:ascii="Times New Roman" w:hAnsi="Times New Roman"/>
                <w:sz w:val="20"/>
                <w:szCs w:val="20"/>
              </w:rPr>
            </w:pPr>
          </w:p>
        </w:tc>
      </w:tr>
      <w:tr w:rsidR="00FB67F9" w14:paraId="606F6B2E"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28" w14:textId="77777777" w:rsidR="00FB67F9" w:rsidRDefault="00E839DF">
            <w:pPr>
              <w:textAlignment w:val="bottom"/>
              <w:rPr>
                <w:rFonts w:ascii="Times New Roman" w:hAnsi="Times New Roman"/>
                <w:sz w:val="17"/>
                <w:szCs w:val="17"/>
              </w:rPr>
            </w:pPr>
            <w:r>
              <w:rPr>
                <w:rFonts w:ascii="Arial" w:eastAsia="宋体" w:hAnsi="Arial" w:cs="Arial"/>
                <w:sz w:val="17"/>
                <w:szCs w:val="17"/>
              </w:rPr>
              <w:t>Long-term debt</w:t>
            </w:r>
          </w:p>
        </w:tc>
        <w:tc>
          <w:tcPr>
            <w:tcW w:w="0" w:type="auto"/>
            <w:gridSpan w:val="2"/>
            <w:tcBorders>
              <w:top w:val="single" w:sz="8" w:space="0" w:color="808080"/>
            </w:tcBorders>
            <w:shd w:val="clear" w:color="auto" w:fill="FFF1E7"/>
            <w:tcMar>
              <w:top w:w="40" w:type="dxa"/>
              <w:left w:w="40" w:type="dxa"/>
              <w:bottom w:w="40" w:type="dxa"/>
            </w:tcMar>
            <w:vAlign w:val="bottom"/>
          </w:tcPr>
          <w:p w14:paraId="606F6B2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3,462</w:t>
            </w:r>
          </w:p>
        </w:tc>
        <w:tc>
          <w:tcPr>
            <w:tcW w:w="0" w:type="auto"/>
            <w:tcBorders>
              <w:top w:val="single" w:sz="8" w:space="0" w:color="808080"/>
            </w:tcBorders>
            <w:shd w:val="clear" w:color="auto" w:fill="FFF1E7"/>
            <w:vAlign w:val="bottom"/>
          </w:tcPr>
          <w:p w14:paraId="606F6B2A"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2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2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3,464</w:t>
            </w:r>
          </w:p>
        </w:tc>
        <w:tc>
          <w:tcPr>
            <w:tcW w:w="0" w:type="auto"/>
            <w:tcBorders>
              <w:top w:val="single" w:sz="8" w:space="0" w:color="808080"/>
            </w:tcBorders>
            <w:shd w:val="clear" w:color="auto" w:fill="auto"/>
            <w:vAlign w:val="bottom"/>
          </w:tcPr>
          <w:p w14:paraId="606F6B2D" w14:textId="77777777" w:rsidR="00FB67F9" w:rsidRDefault="00FB67F9">
            <w:pPr>
              <w:textAlignment w:val="bottom"/>
              <w:rPr>
                <w:rFonts w:ascii="Times New Roman" w:hAnsi="Times New Roman"/>
                <w:sz w:val="20"/>
                <w:szCs w:val="20"/>
              </w:rPr>
            </w:pPr>
          </w:p>
        </w:tc>
      </w:tr>
      <w:tr w:rsidR="00FB67F9" w14:paraId="606F6B3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B2F" w14:textId="77777777" w:rsidR="00FB67F9" w:rsidRDefault="00E839DF">
            <w:pPr>
              <w:textAlignment w:val="bottom"/>
              <w:rPr>
                <w:rFonts w:ascii="Times New Roman" w:hAnsi="Times New Roman"/>
                <w:sz w:val="17"/>
                <w:szCs w:val="17"/>
              </w:rPr>
            </w:pPr>
            <w:r>
              <w:rPr>
                <w:rFonts w:ascii="Arial" w:eastAsia="宋体" w:hAnsi="Arial" w:cs="Arial"/>
                <w:sz w:val="17"/>
                <w:szCs w:val="17"/>
              </w:rPr>
              <w:t>Operating lease 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B3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2,723</w:t>
            </w:r>
          </w:p>
        </w:tc>
        <w:tc>
          <w:tcPr>
            <w:tcW w:w="0" w:type="auto"/>
            <w:tcBorders>
              <w:top w:val="single" w:sz="8" w:space="0" w:color="808080"/>
              <w:bottom w:val="single" w:sz="8" w:space="0" w:color="808080"/>
            </w:tcBorders>
            <w:shd w:val="clear" w:color="auto" w:fill="FFF1E7"/>
            <w:vAlign w:val="bottom"/>
          </w:tcPr>
          <w:p w14:paraId="606F6B3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B3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B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6B34" w14:textId="77777777" w:rsidR="00FB67F9" w:rsidRDefault="00FB67F9">
            <w:pPr>
              <w:textAlignment w:val="bottom"/>
              <w:rPr>
                <w:rFonts w:ascii="Times New Roman" w:hAnsi="Times New Roman"/>
                <w:sz w:val="20"/>
                <w:szCs w:val="20"/>
              </w:rPr>
            </w:pPr>
          </w:p>
        </w:tc>
      </w:tr>
      <w:tr w:rsidR="00FB67F9" w14:paraId="606F6B3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36" w14:textId="77777777" w:rsidR="00FB67F9" w:rsidRDefault="00E839DF">
            <w:pPr>
              <w:textAlignment w:val="bottom"/>
              <w:rPr>
                <w:rFonts w:ascii="Times New Roman" w:hAnsi="Times New Roman"/>
                <w:sz w:val="17"/>
                <w:szCs w:val="17"/>
              </w:rPr>
            </w:pPr>
            <w:r>
              <w:rPr>
                <w:rFonts w:ascii="Arial" w:eastAsia="宋体" w:hAnsi="Arial" w:cs="Arial"/>
                <w:sz w:val="17"/>
                <w:szCs w:val="17"/>
              </w:rPr>
              <w:t>Deferred income taxes and other liabilities</w:t>
            </w:r>
          </w:p>
        </w:tc>
        <w:tc>
          <w:tcPr>
            <w:tcW w:w="0" w:type="auto"/>
            <w:gridSpan w:val="2"/>
            <w:tcBorders>
              <w:top w:val="single" w:sz="8" w:space="0" w:color="808080"/>
            </w:tcBorders>
            <w:shd w:val="clear" w:color="auto" w:fill="FFF1E7"/>
            <w:tcMar>
              <w:top w:w="40" w:type="dxa"/>
              <w:left w:w="40" w:type="dxa"/>
              <w:bottom w:w="40" w:type="dxa"/>
            </w:tcMar>
            <w:vAlign w:val="bottom"/>
          </w:tcPr>
          <w:p w14:paraId="606F6B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2,802</w:t>
            </w:r>
          </w:p>
        </w:tc>
        <w:tc>
          <w:tcPr>
            <w:tcW w:w="0" w:type="auto"/>
            <w:tcBorders>
              <w:top w:val="single" w:sz="8" w:space="0" w:color="808080"/>
            </w:tcBorders>
            <w:shd w:val="clear" w:color="auto" w:fill="FFF1E7"/>
            <w:vAlign w:val="bottom"/>
          </w:tcPr>
          <w:p w14:paraId="606F6B3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3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3,347</w:t>
            </w:r>
          </w:p>
        </w:tc>
        <w:tc>
          <w:tcPr>
            <w:tcW w:w="0" w:type="auto"/>
            <w:tcBorders>
              <w:top w:val="single" w:sz="8" w:space="0" w:color="808080"/>
            </w:tcBorders>
            <w:shd w:val="clear" w:color="auto" w:fill="auto"/>
            <w:vAlign w:val="bottom"/>
          </w:tcPr>
          <w:p w14:paraId="606F6B3B" w14:textId="77777777" w:rsidR="00FB67F9" w:rsidRDefault="00FB67F9">
            <w:pPr>
              <w:textAlignment w:val="bottom"/>
              <w:rPr>
                <w:rFonts w:ascii="Times New Roman" w:hAnsi="Times New Roman"/>
                <w:sz w:val="20"/>
                <w:szCs w:val="20"/>
              </w:rPr>
            </w:pPr>
          </w:p>
        </w:tc>
      </w:tr>
      <w:tr w:rsidR="00FB67F9" w14:paraId="606F6B4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3D" w14:textId="77777777" w:rsidR="00FB67F9" w:rsidRDefault="00E839DF">
            <w:pPr>
              <w:textAlignment w:val="bottom"/>
              <w:rPr>
                <w:rFonts w:ascii="Times New Roman" w:hAnsi="Times New Roman"/>
                <w:sz w:val="17"/>
                <w:szCs w:val="17"/>
              </w:rPr>
            </w:pPr>
            <w:r>
              <w:rPr>
                <w:rFonts w:ascii="Arial" w:eastAsia="宋体" w:hAnsi="Arial" w:cs="Arial"/>
                <w:sz w:val="17"/>
                <w:szCs w:val="17"/>
              </w:rPr>
              <w:t>Redeemable preferred stock</w:t>
            </w:r>
          </w:p>
        </w:tc>
        <w:tc>
          <w:tcPr>
            <w:tcW w:w="0" w:type="auto"/>
            <w:gridSpan w:val="2"/>
            <w:tcBorders>
              <w:top w:val="single" w:sz="8" w:space="0" w:color="808080"/>
            </w:tcBorders>
            <w:shd w:val="clear" w:color="auto" w:fill="FFF1E7"/>
            <w:tcMar>
              <w:top w:w="40" w:type="dxa"/>
              <w:left w:w="40" w:type="dxa"/>
              <w:bottom w:w="40" w:type="dxa"/>
            </w:tcMar>
            <w:vAlign w:val="bottom"/>
          </w:tcPr>
          <w:p w14:paraId="606F6B3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6B3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4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6B42" w14:textId="77777777" w:rsidR="00FB67F9" w:rsidRDefault="00FB67F9">
            <w:pPr>
              <w:textAlignment w:val="bottom"/>
              <w:rPr>
                <w:rFonts w:ascii="Times New Roman" w:hAnsi="Times New Roman"/>
                <w:sz w:val="20"/>
                <w:szCs w:val="20"/>
              </w:rPr>
            </w:pPr>
          </w:p>
        </w:tc>
      </w:tr>
      <w:tr w:rsidR="00FB67F9" w14:paraId="606F6B4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44" w14:textId="77777777" w:rsidR="00FB67F9" w:rsidRDefault="00E839DF">
            <w:pPr>
              <w:textAlignment w:val="bottom"/>
              <w:rPr>
                <w:rFonts w:ascii="Times New Roman" w:hAnsi="Times New Roman"/>
                <w:sz w:val="17"/>
                <w:szCs w:val="17"/>
              </w:rPr>
            </w:pPr>
            <w:r>
              <w:rPr>
                <w:rFonts w:ascii="Arial" w:eastAsia="宋体" w:hAnsi="Arial" w:cs="Arial"/>
                <w:sz w:val="17"/>
                <w:szCs w:val="17"/>
              </w:rPr>
              <w:t>Shareholders' equity:</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B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B4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B4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B4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49" w14:textId="77777777" w:rsidR="00FB67F9" w:rsidRDefault="00E839DF">
            <w:pPr>
              <w:textAlignment w:val="bottom"/>
              <w:rPr>
                <w:rFonts w:ascii="Times New Roman" w:hAnsi="Times New Roman"/>
                <w:sz w:val="17"/>
                <w:szCs w:val="17"/>
              </w:rPr>
            </w:pPr>
            <w:r>
              <w:rPr>
                <w:rFonts w:ascii="Arial" w:eastAsia="宋体" w:hAnsi="Arial" w:cs="Arial"/>
                <w:sz w:val="17"/>
                <w:szCs w:val="17"/>
              </w:rPr>
              <w:t>Common stock at stated value:</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B4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6B4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B4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B54" w14:textId="77777777">
        <w:tc>
          <w:tcPr>
            <w:tcW w:w="0" w:type="auto"/>
            <w:tcBorders>
              <w:top w:val="single" w:sz="8" w:space="0" w:color="808080"/>
              <w:bottom w:val="single" w:sz="8" w:space="0" w:color="808080"/>
            </w:tcBorders>
            <w:shd w:val="clear" w:color="auto" w:fill="auto"/>
            <w:tcMar>
              <w:top w:w="40" w:type="dxa"/>
              <w:left w:w="400" w:type="dxa"/>
              <w:bottom w:w="40" w:type="dxa"/>
              <w:right w:w="40" w:type="dxa"/>
            </w:tcMar>
            <w:vAlign w:val="bottom"/>
          </w:tcPr>
          <w:p w14:paraId="606F6B4E"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Class A convertible — 315 and 315 shares </w:t>
            </w:r>
            <w:r>
              <w:rPr>
                <w:rFonts w:ascii="Arial" w:eastAsia="宋体" w:hAnsi="Arial" w:cs="Arial"/>
                <w:sz w:val="17"/>
                <w:szCs w:val="17"/>
              </w:rPr>
              <w:t>outstanding</w:t>
            </w:r>
          </w:p>
        </w:tc>
        <w:tc>
          <w:tcPr>
            <w:tcW w:w="0" w:type="auto"/>
            <w:gridSpan w:val="2"/>
            <w:tcBorders>
              <w:top w:val="single" w:sz="8" w:space="0" w:color="808080"/>
            </w:tcBorders>
            <w:shd w:val="clear" w:color="auto" w:fill="FFF1E7"/>
            <w:tcMar>
              <w:top w:w="40" w:type="dxa"/>
              <w:left w:w="40" w:type="dxa"/>
              <w:bottom w:w="40" w:type="dxa"/>
            </w:tcMar>
            <w:vAlign w:val="bottom"/>
          </w:tcPr>
          <w:p w14:paraId="606F6B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6B5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5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5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6B53" w14:textId="77777777" w:rsidR="00FB67F9" w:rsidRDefault="00FB67F9">
            <w:pPr>
              <w:textAlignment w:val="bottom"/>
              <w:rPr>
                <w:rFonts w:ascii="Times New Roman" w:hAnsi="Times New Roman"/>
                <w:sz w:val="20"/>
                <w:szCs w:val="20"/>
              </w:rPr>
            </w:pPr>
          </w:p>
        </w:tc>
      </w:tr>
      <w:tr w:rsidR="00FB67F9" w14:paraId="606F6B5B" w14:textId="77777777">
        <w:tc>
          <w:tcPr>
            <w:tcW w:w="0" w:type="auto"/>
            <w:tcBorders>
              <w:top w:val="single" w:sz="8" w:space="0" w:color="808080"/>
              <w:bottom w:val="single" w:sz="8" w:space="0" w:color="808080"/>
            </w:tcBorders>
            <w:shd w:val="clear" w:color="auto" w:fill="auto"/>
            <w:tcMar>
              <w:top w:w="40" w:type="dxa"/>
              <w:left w:w="400" w:type="dxa"/>
              <w:bottom w:w="40" w:type="dxa"/>
              <w:right w:w="40" w:type="dxa"/>
            </w:tcMar>
            <w:vAlign w:val="bottom"/>
          </w:tcPr>
          <w:p w14:paraId="606F6B55" w14:textId="77777777" w:rsidR="00FB67F9" w:rsidRDefault="00E839DF">
            <w:pPr>
              <w:textAlignment w:val="bottom"/>
              <w:rPr>
                <w:rFonts w:ascii="Times New Roman" w:hAnsi="Times New Roman"/>
                <w:sz w:val="17"/>
                <w:szCs w:val="17"/>
              </w:rPr>
            </w:pPr>
            <w:r>
              <w:rPr>
                <w:rFonts w:ascii="Arial" w:eastAsia="宋体" w:hAnsi="Arial" w:cs="Arial"/>
                <w:sz w:val="17"/>
                <w:szCs w:val="17"/>
              </w:rPr>
              <w:t>Class B — 1,244 and 1,253 shares outstanding</w:t>
            </w:r>
          </w:p>
        </w:tc>
        <w:tc>
          <w:tcPr>
            <w:tcW w:w="0" w:type="auto"/>
            <w:gridSpan w:val="2"/>
            <w:tcBorders>
              <w:top w:val="single" w:sz="8" w:space="0" w:color="808080"/>
            </w:tcBorders>
            <w:shd w:val="clear" w:color="auto" w:fill="FFF1E7"/>
            <w:tcMar>
              <w:top w:w="40" w:type="dxa"/>
              <w:left w:w="40" w:type="dxa"/>
              <w:bottom w:w="40" w:type="dxa"/>
            </w:tcMar>
            <w:vAlign w:val="bottom"/>
          </w:tcPr>
          <w:p w14:paraId="606F6B5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FFF1E7"/>
            <w:vAlign w:val="bottom"/>
          </w:tcPr>
          <w:p w14:paraId="606F6B5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5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5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606F6B5A" w14:textId="77777777" w:rsidR="00FB67F9" w:rsidRDefault="00FB67F9">
            <w:pPr>
              <w:textAlignment w:val="bottom"/>
              <w:rPr>
                <w:rFonts w:ascii="Times New Roman" w:hAnsi="Times New Roman"/>
                <w:sz w:val="20"/>
                <w:szCs w:val="20"/>
              </w:rPr>
            </w:pPr>
          </w:p>
        </w:tc>
      </w:tr>
      <w:tr w:rsidR="00FB67F9" w14:paraId="606F6B6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5C" w14:textId="77777777" w:rsidR="00FB67F9" w:rsidRDefault="00E839DF">
            <w:pPr>
              <w:textAlignment w:val="bottom"/>
              <w:rPr>
                <w:rFonts w:ascii="Times New Roman" w:hAnsi="Times New Roman"/>
                <w:sz w:val="17"/>
                <w:szCs w:val="17"/>
              </w:rPr>
            </w:pPr>
            <w:r>
              <w:rPr>
                <w:rFonts w:ascii="Arial" w:eastAsia="宋体" w:hAnsi="Arial" w:cs="Arial"/>
                <w:sz w:val="17"/>
                <w:szCs w:val="17"/>
              </w:rPr>
              <w:t>Capital in excess of stated value</w:t>
            </w:r>
          </w:p>
        </w:tc>
        <w:tc>
          <w:tcPr>
            <w:tcW w:w="0" w:type="auto"/>
            <w:gridSpan w:val="2"/>
            <w:tcBorders>
              <w:top w:val="single" w:sz="8" w:space="0" w:color="808080"/>
            </w:tcBorders>
            <w:shd w:val="clear" w:color="auto" w:fill="FFF1E7"/>
            <w:tcMar>
              <w:top w:w="40" w:type="dxa"/>
              <w:left w:w="40" w:type="dxa"/>
              <w:bottom w:w="40" w:type="dxa"/>
            </w:tcMar>
            <w:vAlign w:val="bottom"/>
          </w:tcPr>
          <w:p w14:paraId="606F6B5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7,719</w:t>
            </w:r>
          </w:p>
        </w:tc>
        <w:tc>
          <w:tcPr>
            <w:tcW w:w="0" w:type="auto"/>
            <w:tcBorders>
              <w:top w:val="single" w:sz="8" w:space="0" w:color="808080"/>
            </w:tcBorders>
            <w:shd w:val="clear" w:color="auto" w:fill="FFF1E7"/>
            <w:vAlign w:val="bottom"/>
          </w:tcPr>
          <w:p w14:paraId="606F6B5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B5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6B6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7,163</w:t>
            </w:r>
          </w:p>
        </w:tc>
        <w:tc>
          <w:tcPr>
            <w:tcW w:w="0" w:type="auto"/>
            <w:tcBorders>
              <w:top w:val="single" w:sz="8" w:space="0" w:color="808080"/>
            </w:tcBorders>
            <w:shd w:val="clear" w:color="auto" w:fill="auto"/>
            <w:vAlign w:val="bottom"/>
          </w:tcPr>
          <w:p w14:paraId="606F6B61" w14:textId="77777777" w:rsidR="00FB67F9" w:rsidRDefault="00FB67F9">
            <w:pPr>
              <w:textAlignment w:val="bottom"/>
              <w:rPr>
                <w:rFonts w:ascii="Times New Roman" w:hAnsi="Times New Roman"/>
                <w:sz w:val="20"/>
                <w:szCs w:val="20"/>
              </w:rPr>
            </w:pPr>
          </w:p>
        </w:tc>
      </w:tr>
      <w:tr w:rsidR="00FB67F9" w14:paraId="606F6B6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B63" w14:textId="77777777" w:rsidR="00FB67F9" w:rsidRDefault="00E839DF">
            <w:pPr>
              <w:textAlignment w:val="bottom"/>
              <w:rPr>
                <w:rFonts w:ascii="Times New Roman" w:hAnsi="Times New Roman"/>
                <w:sz w:val="17"/>
                <w:szCs w:val="17"/>
              </w:rPr>
            </w:pPr>
            <w:r>
              <w:rPr>
                <w:rFonts w:ascii="Arial" w:eastAsia="宋体" w:hAnsi="Arial" w:cs="Arial"/>
                <w:sz w:val="17"/>
                <w:szCs w:val="17"/>
              </w:rPr>
              <w:t>Accumulated other comprehensive income (loss)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B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w:t>
            </w:r>
          </w:p>
        </w:tc>
        <w:tc>
          <w:tcPr>
            <w:tcW w:w="0" w:type="auto"/>
            <w:tcBorders>
              <w:top w:val="single" w:sz="8" w:space="0" w:color="808080"/>
              <w:bottom w:val="single" w:sz="8" w:space="0" w:color="808080"/>
            </w:tcBorders>
            <w:shd w:val="clear" w:color="auto" w:fill="FFF1E7"/>
            <w:vAlign w:val="bottom"/>
          </w:tcPr>
          <w:p w14:paraId="606F6B6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B6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B6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231</w:t>
            </w:r>
          </w:p>
        </w:tc>
        <w:tc>
          <w:tcPr>
            <w:tcW w:w="0" w:type="auto"/>
            <w:tcBorders>
              <w:top w:val="single" w:sz="8" w:space="0" w:color="808080"/>
              <w:bottom w:val="single" w:sz="8" w:space="0" w:color="808080"/>
            </w:tcBorders>
            <w:shd w:val="clear" w:color="auto" w:fill="auto"/>
            <w:vAlign w:val="bottom"/>
          </w:tcPr>
          <w:p w14:paraId="606F6B68" w14:textId="77777777" w:rsidR="00FB67F9" w:rsidRDefault="00FB67F9">
            <w:pPr>
              <w:textAlignment w:val="bottom"/>
              <w:rPr>
                <w:rFonts w:ascii="Times New Roman" w:hAnsi="Times New Roman"/>
                <w:sz w:val="20"/>
                <w:szCs w:val="20"/>
              </w:rPr>
            </w:pPr>
          </w:p>
        </w:tc>
      </w:tr>
      <w:tr w:rsidR="00FB67F9" w14:paraId="606F6B70"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6B6A" w14:textId="77777777" w:rsidR="00FB67F9" w:rsidRDefault="00E839DF">
            <w:pPr>
              <w:textAlignment w:val="bottom"/>
              <w:rPr>
                <w:rFonts w:ascii="Times New Roman" w:hAnsi="Times New Roman"/>
                <w:sz w:val="17"/>
                <w:szCs w:val="17"/>
              </w:rPr>
            </w:pPr>
            <w:r>
              <w:rPr>
                <w:rFonts w:ascii="Arial" w:eastAsia="宋体" w:hAnsi="Arial" w:cs="Arial"/>
                <w:sz w:val="17"/>
                <w:szCs w:val="17"/>
              </w:rPr>
              <w:t>Retained earnings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B6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1,577</w:t>
            </w:r>
          </w:p>
        </w:tc>
        <w:tc>
          <w:tcPr>
            <w:tcW w:w="0" w:type="auto"/>
            <w:tcBorders>
              <w:bottom w:val="single" w:sz="8" w:space="0" w:color="E87722"/>
            </w:tcBorders>
            <w:shd w:val="clear" w:color="auto" w:fill="FFF1E7"/>
            <w:vAlign w:val="bottom"/>
          </w:tcPr>
          <w:p w14:paraId="606F6B6C"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B6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6B6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1,643</w:t>
            </w:r>
          </w:p>
        </w:tc>
        <w:tc>
          <w:tcPr>
            <w:tcW w:w="0" w:type="auto"/>
            <w:tcBorders>
              <w:bottom w:val="single" w:sz="8" w:space="0" w:color="E87722"/>
            </w:tcBorders>
            <w:shd w:val="clear" w:color="auto" w:fill="auto"/>
            <w:vAlign w:val="bottom"/>
          </w:tcPr>
          <w:p w14:paraId="606F6B6F" w14:textId="77777777" w:rsidR="00FB67F9" w:rsidRDefault="00FB67F9">
            <w:pPr>
              <w:textAlignment w:val="bottom"/>
              <w:rPr>
                <w:rFonts w:ascii="Times New Roman" w:hAnsi="Times New Roman"/>
                <w:sz w:val="20"/>
                <w:szCs w:val="20"/>
              </w:rPr>
            </w:pPr>
          </w:p>
        </w:tc>
      </w:tr>
      <w:tr w:rsidR="00FB67F9" w14:paraId="606F6B77" w14:textId="77777777">
        <w:tc>
          <w:tcPr>
            <w:tcW w:w="0" w:type="auto"/>
            <w:shd w:val="clear" w:color="auto" w:fill="auto"/>
            <w:tcMar>
              <w:top w:w="40" w:type="dxa"/>
              <w:left w:w="40" w:type="dxa"/>
              <w:bottom w:w="40" w:type="dxa"/>
              <w:right w:w="40" w:type="dxa"/>
            </w:tcMar>
            <w:vAlign w:val="bottom"/>
          </w:tcPr>
          <w:p w14:paraId="606F6B71"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shareholders' equity</w:t>
            </w:r>
          </w:p>
        </w:tc>
        <w:tc>
          <w:tcPr>
            <w:tcW w:w="0" w:type="auto"/>
            <w:gridSpan w:val="2"/>
            <w:shd w:val="clear" w:color="auto" w:fill="FFF1E7"/>
            <w:tcMar>
              <w:top w:w="40" w:type="dxa"/>
              <w:left w:w="40" w:type="dxa"/>
              <w:bottom w:w="40" w:type="dxa"/>
            </w:tcMar>
            <w:vAlign w:val="bottom"/>
          </w:tcPr>
          <w:p w14:paraId="606F6B7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9,351</w:t>
            </w:r>
          </w:p>
        </w:tc>
        <w:tc>
          <w:tcPr>
            <w:tcW w:w="0" w:type="auto"/>
            <w:shd w:val="clear" w:color="auto" w:fill="FFF1E7"/>
            <w:vAlign w:val="bottom"/>
          </w:tcPr>
          <w:p w14:paraId="606F6B73"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6B7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6B7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9,040</w:t>
            </w:r>
          </w:p>
        </w:tc>
        <w:tc>
          <w:tcPr>
            <w:tcW w:w="0" w:type="auto"/>
            <w:shd w:val="clear" w:color="auto" w:fill="auto"/>
            <w:vAlign w:val="bottom"/>
          </w:tcPr>
          <w:p w14:paraId="606F6B76" w14:textId="77777777" w:rsidR="00FB67F9" w:rsidRDefault="00FB67F9">
            <w:pPr>
              <w:textAlignment w:val="bottom"/>
              <w:rPr>
                <w:rFonts w:ascii="Times New Roman" w:hAnsi="Times New Roman"/>
                <w:sz w:val="20"/>
                <w:szCs w:val="20"/>
              </w:rPr>
            </w:pPr>
          </w:p>
        </w:tc>
      </w:tr>
      <w:tr w:rsidR="00FB67F9" w14:paraId="606F6B80"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B7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B7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B7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26,602</w:t>
            </w:r>
          </w:p>
        </w:tc>
        <w:tc>
          <w:tcPr>
            <w:tcW w:w="0" w:type="auto"/>
            <w:tcBorders>
              <w:top w:val="single" w:sz="8" w:space="0" w:color="E87722"/>
              <w:bottom w:val="single" w:sz="8" w:space="0" w:color="E87722"/>
            </w:tcBorders>
            <w:shd w:val="clear" w:color="auto" w:fill="FFF1E7"/>
            <w:vAlign w:val="bottom"/>
          </w:tcPr>
          <w:p w14:paraId="606F6B7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B7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B7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B7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23,717</w:t>
            </w:r>
          </w:p>
        </w:tc>
        <w:tc>
          <w:tcPr>
            <w:tcW w:w="0" w:type="auto"/>
            <w:tcBorders>
              <w:top w:val="single" w:sz="8" w:space="0" w:color="E87722"/>
              <w:bottom w:val="single" w:sz="8" w:space="0" w:color="E87722"/>
            </w:tcBorders>
            <w:shd w:val="clear" w:color="auto" w:fill="auto"/>
            <w:vAlign w:val="bottom"/>
          </w:tcPr>
          <w:p w14:paraId="606F6B7F" w14:textId="77777777" w:rsidR="00FB67F9" w:rsidRDefault="00FB67F9">
            <w:pPr>
              <w:textAlignment w:val="bottom"/>
              <w:rPr>
                <w:rFonts w:ascii="Times New Roman" w:hAnsi="Times New Roman"/>
                <w:sz w:val="20"/>
                <w:szCs w:val="20"/>
              </w:rPr>
            </w:pPr>
          </w:p>
        </w:tc>
      </w:tr>
    </w:tbl>
    <w:p w14:paraId="606F6B81"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The accompanying Notes to the Unaudited Condensed Consolidated Financial Statements are an integral part of this statement.</w:t>
      </w:r>
    </w:p>
    <w:p w14:paraId="606F6B82" w14:textId="77777777" w:rsidR="00FB67F9" w:rsidRDefault="00FB67F9">
      <w:pPr>
        <w:rPr>
          <w:rFonts w:ascii="Times New Roman" w:hAnsi="Times New Roman"/>
          <w:sz w:val="20"/>
          <w:szCs w:val="20"/>
        </w:rPr>
      </w:pPr>
    </w:p>
    <w:p w14:paraId="606F6B83"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3</w:t>
      </w:r>
    </w:p>
    <w:p w14:paraId="606F6B84" w14:textId="77777777" w:rsidR="00FB67F9" w:rsidRDefault="00E839DF">
      <w:r>
        <w:rPr>
          <w:rFonts w:ascii="Times New Roman" w:hAnsi="Times New Roman"/>
          <w:sz w:val="17"/>
          <w:szCs w:val="17"/>
        </w:rPr>
        <w:pict w14:anchorId="606F8F80">
          <v:rect id="_x0000_i1029" style="width:415.3pt;height:1.5pt" o:hralign="center" o:hrstd="t" o:hr="t" fillcolor="#a0a0a0" stroked="f"/>
        </w:pict>
      </w:r>
    </w:p>
    <w:p w14:paraId="606F6B85" w14:textId="77777777" w:rsidR="00FB67F9" w:rsidRDefault="00FB67F9">
      <w:pPr>
        <w:rPr>
          <w:rFonts w:ascii="Times New Roman" w:hAnsi="Times New Roman"/>
          <w:sz w:val="17"/>
          <w:szCs w:val="17"/>
        </w:rPr>
      </w:pPr>
    </w:p>
    <w:p w14:paraId="606F6B86" w14:textId="77777777" w:rsidR="00FB67F9" w:rsidRDefault="00E839DF">
      <w:pPr>
        <w:rPr>
          <w:rFonts w:ascii="Times New Roman" w:hAnsi="Times New Roman"/>
          <w:sz w:val="17"/>
          <w:szCs w:val="17"/>
        </w:rPr>
      </w:pPr>
      <w:hyperlink r:id="rId47" w:anchor="s42C493F7582652B69E70047AB812E6A5" w:history="1">
        <w:r>
          <w:rPr>
            <w:rStyle w:val="a5"/>
            <w:rFonts w:ascii="sans-serif" w:eastAsia="sans-serif" w:hAnsi="sans-serif" w:cs="sans-serif"/>
            <w:sz w:val="17"/>
            <w:szCs w:val="17"/>
          </w:rPr>
          <w:t>Table of Contents</w:t>
        </w:r>
      </w:hyperlink>
    </w:p>
    <w:p w14:paraId="606F6B87" w14:textId="77777777" w:rsidR="00FB67F9" w:rsidRDefault="00FB67F9">
      <w:pPr>
        <w:rPr>
          <w:rFonts w:ascii="Times New Roman" w:hAnsi="Times New Roman"/>
          <w:sz w:val="17"/>
          <w:szCs w:val="17"/>
        </w:rPr>
      </w:pPr>
    </w:p>
    <w:p w14:paraId="606F6B88" w14:textId="77777777" w:rsidR="00FB67F9" w:rsidRDefault="00FB67F9">
      <w:pPr>
        <w:rPr>
          <w:rFonts w:ascii="Times New Roman" w:hAnsi="Times New Roman"/>
          <w:sz w:val="20"/>
          <w:szCs w:val="20"/>
        </w:rPr>
      </w:pPr>
    </w:p>
    <w:p w14:paraId="606F6B89"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NIKE, INC.</w:t>
      </w:r>
    </w:p>
    <w:p w14:paraId="606F6B8A"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UNAUDITED CONDENSED CONSOLIDATED STATEMENTS OF CASH FLOWS</w:t>
      </w:r>
    </w:p>
    <w:tbl>
      <w:tblPr>
        <w:tblW w:w="5000" w:type="pct"/>
        <w:tblCellMar>
          <w:left w:w="0" w:type="dxa"/>
          <w:right w:w="0" w:type="dxa"/>
        </w:tblCellMar>
        <w:tblLook w:val="04A0" w:firstRow="1" w:lastRow="0" w:firstColumn="1" w:lastColumn="0" w:noHBand="0" w:noVBand="1"/>
      </w:tblPr>
      <w:tblGrid>
        <w:gridCol w:w="5936"/>
        <w:gridCol w:w="135"/>
        <w:gridCol w:w="953"/>
        <w:gridCol w:w="97"/>
        <w:gridCol w:w="135"/>
        <w:gridCol w:w="953"/>
        <w:gridCol w:w="97"/>
      </w:tblGrid>
      <w:tr w:rsidR="00FB67F9" w14:paraId="606F6B8C" w14:textId="77777777">
        <w:tc>
          <w:tcPr>
            <w:tcW w:w="0" w:type="auto"/>
            <w:gridSpan w:val="7"/>
            <w:shd w:val="clear" w:color="auto" w:fill="auto"/>
            <w:vAlign w:val="center"/>
          </w:tcPr>
          <w:p w14:paraId="606F6B8B" w14:textId="77777777" w:rsidR="00FB67F9" w:rsidRDefault="00FB67F9">
            <w:pPr>
              <w:rPr>
                <w:rFonts w:ascii="Times New Roman" w:hAnsi="Times New Roman"/>
                <w:sz w:val="20"/>
                <w:szCs w:val="20"/>
              </w:rPr>
            </w:pPr>
          </w:p>
        </w:tc>
      </w:tr>
      <w:tr w:rsidR="00FB67F9" w14:paraId="606F6B94" w14:textId="77777777">
        <w:tc>
          <w:tcPr>
            <w:tcW w:w="3600" w:type="pct"/>
            <w:shd w:val="clear" w:color="auto" w:fill="auto"/>
            <w:vAlign w:val="center"/>
          </w:tcPr>
          <w:p w14:paraId="606F6B8D" w14:textId="77777777" w:rsidR="00FB67F9" w:rsidRDefault="00FB67F9">
            <w:pPr>
              <w:rPr>
                <w:rFonts w:ascii="Times New Roman" w:hAnsi="Times New Roman"/>
                <w:sz w:val="20"/>
                <w:szCs w:val="20"/>
              </w:rPr>
            </w:pPr>
          </w:p>
        </w:tc>
        <w:tc>
          <w:tcPr>
            <w:tcW w:w="50" w:type="pct"/>
            <w:shd w:val="clear" w:color="auto" w:fill="auto"/>
            <w:vAlign w:val="center"/>
          </w:tcPr>
          <w:p w14:paraId="606F6B8E" w14:textId="77777777" w:rsidR="00FB67F9" w:rsidRDefault="00FB67F9">
            <w:pPr>
              <w:rPr>
                <w:rFonts w:ascii="Times New Roman" w:hAnsi="Times New Roman"/>
                <w:sz w:val="20"/>
                <w:szCs w:val="20"/>
              </w:rPr>
            </w:pPr>
          </w:p>
        </w:tc>
        <w:tc>
          <w:tcPr>
            <w:tcW w:w="600" w:type="pct"/>
            <w:shd w:val="clear" w:color="auto" w:fill="auto"/>
            <w:vAlign w:val="center"/>
          </w:tcPr>
          <w:p w14:paraId="606F6B8F" w14:textId="77777777" w:rsidR="00FB67F9" w:rsidRDefault="00FB67F9">
            <w:pPr>
              <w:rPr>
                <w:rFonts w:ascii="Times New Roman" w:hAnsi="Times New Roman"/>
                <w:sz w:val="20"/>
                <w:szCs w:val="20"/>
              </w:rPr>
            </w:pPr>
          </w:p>
        </w:tc>
        <w:tc>
          <w:tcPr>
            <w:tcW w:w="50" w:type="pct"/>
            <w:shd w:val="clear" w:color="auto" w:fill="auto"/>
            <w:vAlign w:val="center"/>
          </w:tcPr>
          <w:p w14:paraId="606F6B90" w14:textId="77777777" w:rsidR="00FB67F9" w:rsidRDefault="00FB67F9">
            <w:pPr>
              <w:rPr>
                <w:rFonts w:ascii="Times New Roman" w:hAnsi="Times New Roman"/>
                <w:sz w:val="20"/>
                <w:szCs w:val="20"/>
              </w:rPr>
            </w:pPr>
          </w:p>
        </w:tc>
        <w:tc>
          <w:tcPr>
            <w:tcW w:w="50" w:type="pct"/>
            <w:shd w:val="clear" w:color="auto" w:fill="auto"/>
            <w:vAlign w:val="center"/>
          </w:tcPr>
          <w:p w14:paraId="606F6B91" w14:textId="77777777" w:rsidR="00FB67F9" w:rsidRDefault="00FB67F9">
            <w:pPr>
              <w:rPr>
                <w:rFonts w:ascii="Times New Roman" w:hAnsi="Times New Roman"/>
                <w:sz w:val="20"/>
                <w:szCs w:val="20"/>
              </w:rPr>
            </w:pPr>
          </w:p>
        </w:tc>
        <w:tc>
          <w:tcPr>
            <w:tcW w:w="600" w:type="pct"/>
            <w:shd w:val="clear" w:color="auto" w:fill="auto"/>
            <w:vAlign w:val="center"/>
          </w:tcPr>
          <w:p w14:paraId="606F6B92" w14:textId="77777777" w:rsidR="00FB67F9" w:rsidRDefault="00FB67F9">
            <w:pPr>
              <w:rPr>
                <w:rFonts w:ascii="Times New Roman" w:hAnsi="Times New Roman"/>
                <w:sz w:val="20"/>
                <w:szCs w:val="20"/>
              </w:rPr>
            </w:pPr>
          </w:p>
        </w:tc>
        <w:tc>
          <w:tcPr>
            <w:tcW w:w="50" w:type="pct"/>
            <w:shd w:val="clear" w:color="auto" w:fill="auto"/>
            <w:vAlign w:val="center"/>
          </w:tcPr>
          <w:p w14:paraId="606F6B93" w14:textId="77777777" w:rsidR="00FB67F9" w:rsidRDefault="00FB67F9">
            <w:pPr>
              <w:rPr>
                <w:rFonts w:ascii="Times New Roman" w:hAnsi="Times New Roman"/>
                <w:sz w:val="20"/>
                <w:szCs w:val="20"/>
              </w:rPr>
            </w:pPr>
          </w:p>
        </w:tc>
      </w:tr>
      <w:tr w:rsidR="00FB67F9" w14:paraId="606F6B97" w14:textId="77777777">
        <w:tc>
          <w:tcPr>
            <w:tcW w:w="0" w:type="auto"/>
            <w:shd w:val="clear" w:color="auto" w:fill="auto"/>
            <w:tcMar>
              <w:top w:w="40" w:type="dxa"/>
              <w:left w:w="40" w:type="dxa"/>
              <w:bottom w:w="40" w:type="dxa"/>
              <w:right w:w="40" w:type="dxa"/>
            </w:tcMar>
            <w:vAlign w:val="bottom"/>
          </w:tcPr>
          <w:p w14:paraId="606F6B9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6B9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6B9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B98"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6B9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B9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6B9F" w14:textId="77777777">
        <w:tc>
          <w:tcPr>
            <w:tcW w:w="0" w:type="auto"/>
            <w:shd w:val="clear" w:color="auto" w:fill="auto"/>
            <w:tcMar>
              <w:top w:w="40" w:type="dxa"/>
              <w:left w:w="40" w:type="dxa"/>
              <w:bottom w:w="40" w:type="dxa"/>
              <w:right w:w="40" w:type="dxa"/>
            </w:tcMar>
            <w:vAlign w:val="bottom"/>
          </w:tcPr>
          <w:p w14:paraId="606F6B9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Cash provided (used) by operations:</w:t>
            </w:r>
          </w:p>
        </w:tc>
        <w:tc>
          <w:tcPr>
            <w:tcW w:w="0" w:type="auto"/>
            <w:gridSpan w:val="3"/>
            <w:shd w:val="clear" w:color="auto" w:fill="FFF1E7"/>
            <w:tcMar>
              <w:top w:w="40" w:type="dxa"/>
              <w:left w:w="40" w:type="dxa"/>
              <w:bottom w:w="40" w:type="dxa"/>
              <w:right w:w="40" w:type="dxa"/>
            </w:tcMar>
            <w:vAlign w:val="bottom"/>
          </w:tcPr>
          <w:p w14:paraId="606F6B9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6B9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BA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BA0" w14:textId="77777777" w:rsidR="00FB67F9" w:rsidRDefault="00E839DF">
            <w:pPr>
              <w:textAlignment w:val="bottom"/>
              <w:rPr>
                <w:rFonts w:ascii="Times New Roman" w:hAnsi="Times New Roman"/>
                <w:sz w:val="17"/>
                <w:szCs w:val="17"/>
              </w:rPr>
            </w:pPr>
            <w:r>
              <w:rPr>
                <w:rFonts w:ascii="Arial" w:eastAsia="宋体" w:hAnsi="Arial" w:cs="Arial"/>
                <w:sz w:val="17"/>
                <w:szCs w:val="17"/>
              </w:rPr>
              <w:t>Net income</w:t>
            </w:r>
          </w:p>
        </w:tc>
        <w:tc>
          <w:tcPr>
            <w:tcW w:w="0" w:type="auto"/>
            <w:tcBorders>
              <w:top w:val="single" w:sz="8" w:space="0" w:color="808080"/>
            </w:tcBorders>
            <w:shd w:val="clear" w:color="auto" w:fill="FFF1E7"/>
            <w:tcMar>
              <w:top w:w="40" w:type="dxa"/>
              <w:left w:w="40" w:type="dxa"/>
              <w:bottom w:w="40" w:type="dxa"/>
            </w:tcMar>
            <w:vAlign w:val="bottom"/>
          </w:tcPr>
          <w:p w14:paraId="606F6BA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6BA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2,482</w:t>
            </w:r>
          </w:p>
        </w:tc>
        <w:tc>
          <w:tcPr>
            <w:tcW w:w="0" w:type="auto"/>
            <w:tcBorders>
              <w:top w:val="single" w:sz="8" w:space="0" w:color="808080"/>
            </w:tcBorders>
            <w:shd w:val="clear" w:color="auto" w:fill="FFF1E7"/>
            <w:vAlign w:val="bottom"/>
          </w:tcPr>
          <w:p w14:paraId="606F6BA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6BA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6BA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1,939</w:t>
            </w:r>
          </w:p>
        </w:tc>
        <w:tc>
          <w:tcPr>
            <w:tcW w:w="0" w:type="auto"/>
            <w:tcBorders>
              <w:top w:val="single" w:sz="8" w:space="0" w:color="808080"/>
            </w:tcBorders>
            <w:shd w:val="clear" w:color="auto" w:fill="auto"/>
            <w:vAlign w:val="bottom"/>
          </w:tcPr>
          <w:p w14:paraId="606F6BA6" w14:textId="77777777" w:rsidR="00FB67F9" w:rsidRDefault="00FB67F9">
            <w:pPr>
              <w:textAlignment w:val="bottom"/>
              <w:rPr>
                <w:rFonts w:ascii="Times New Roman" w:hAnsi="Times New Roman"/>
                <w:sz w:val="20"/>
                <w:szCs w:val="20"/>
              </w:rPr>
            </w:pPr>
          </w:p>
        </w:tc>
      </w:tr>
      <w:tr w:rsidR="00FB67F9" w14:paraId="606F6BA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BA8" w14:textId="77777777" w:rsidR="00FB67F9" w:rsidRDefault="00E839DF">
            <w:pPr>
              <w:textAlignment w:val="bottom"/>
              <w:rPr>
                <w:rFonts w:ascii="Times New Roman" w:hAnsi="Times New Roman"/>
                <w:sz w:val="17"/>
                <w:szCs w:val="17"/>
              </w:rPr>
            </w:pPr>
            <w:r>
              <w:rPr>
                <w:rFonts w:ascii="Arial" w:eastAsia="宋体" w:hAnsi="Arial" w:cs="Arial"/>
                <w:sz w:val="17"/>
                <w:szCs w:val="17"/>
              </w:rPr>
              <w:t>Adjustments to reconcile net income to net cash provided (used) by operations: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BA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BA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BB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AC" w14:textId="77777777" w:rsidR="00FB67F9" w:rsidRDefault="00E839DF">
            <w:pPr>
              <w:textAlignment w:val="bottom"/>
              <w:rPr>
                <w:rFonts w:ascii="Times New Roman" w:hAnsi="Times New Roman"/>
                <w:sz w:val="17"/>
                <w:szCs w:val="17"/>
              </w:rPr>
            </w:pPr>
            <w:r>
              <w:rPr>
                <w:rFonts w:ascii="Arial" w:eastAsia="宋体" w:hAnsi="Arial" w:cs="Arial"/>
                <w:sz w:val="17"/>
                <w:szCs w:val="17"/>
              </w:rPr>
              <w:t>Depreciation</w:t>
            </w:r>
          </w:p>
        </w:tc>
        <w:tc>
          <w:tcPr>
            <w:tcW w:w="0" w:type="auto"/>
            <w:gridSpan w:val="2"/>
            <w:tcBorders>
              <w:top w:val="single" w:sz="8" w:space="0" w:color="808080"/>
            </w:tcBorders>
            <w:shd w:val="clear" w:color="auto" w:fill="FFF1E7"/>
            <w:tcMar>
              <w:top w:w="40" w:type="dxa"/>
              <w:left w:w="40" w:type="dxa"/>
              <w:bottom w:w="40" w:type="dxa"/>
            </w:tcMar>
            <w:vAlign w:val="bottom"/>
          </w:tcPr>
          <w:p w14:paraId="606F6B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343</w:t>
            </w:r>
          </w:p>
        </w:tc>
        <w:tc>
          <w:tcPr>
            <w:tcW w:w="0" w:type="auto"/>
            <w:tcBorders>
              <w:top w:val="single" w:sz="8" w:space="0" w:color="808080"/>
            </w:tcBorders>
            <w:shd w:val="clear" w:color="auto" w:fill="FFF1E7"/>
            <w:vAlign w:val="bottom"/>
          </w:tcPr>
          <w:p w14:paraId="606F6BA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BA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349</w:t>
            </w:r>
          </w:p>
        </w:tc>
        <w:tc>
          <w:tcPr>
            <w:tcW w:w="0" w:type="auto"/>
            <w:tcBorders>
              <w:top w:val="single" w:sz="8" w:space="0" w:color="808080"/>
            </w:tcBorders>
            <w:shd w:val="clear" w:color="auto" w:fill="auto"/>
            <w:vAlign w:val="bottom"/>
          </w:tcPr>
          <w:p w14:paraId="606F6BB0" w14:textId="77777777" w:rsidR="00FB67F9" w:rsidRDefault="00FB67F9">
            <w:pPr>
              <w:textAlignment w:val="bottom"/>
              <w:rPr>
                <w:rFonts w:ascii="Times New Roman" w:hAnsi="Times New Roman"/>
                <w:sz w:val="20"/>
                <w:szCs w:val="20"/>
              </w:rPr>
            </w:pPr>
          </w:p>
        </w:tc>
      </w:tr>
      <w:tr w:rsidR="00FB67F9" w14:paraId="606F6BB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B2" w14:textId="77777777" w:rsidR="00FB67F9" w:rsidRDefault="00E839DF">
            <w:pPr>
              <w:textAlignment w:val="bottom"/>
              <w:rPr>
                <w:rFonts w:ascii="Times New Roman" w:hAnsi="Times New Roman"/>
                <w:sz w:val="17"/>
                <w:szCs w:val="17"/>
              </w:rPr>
            </w:pPr>
            <w:r>
              <w:rPr>
                <w:rFonts w:ascii="Arial" w:eastAsia="宋体" w:hAnsi="Arial" w:cs="Arial"/>
                <w:sz w:val="17"/>
                <w:szCs w:val="17"/>
              </w:rPr>
              <w:t>Deferred income taxes</w:t>
            </w:r>
          </w:p>
        </w:tc>
        <w:tc>
          <w:tcPr>
            <w:tcW w:w="0" w:type="auto"/>
            <w:gridSpan w:val="2"/>
            <w:tcBorders>
              <w:top w:val="single" w:sz="8" w:space="0" w:color="808080"/>
            </w:tcBorders>
            <w:shd w:val="clear" w:color="auto" w:fill="FFF1E7"/>
            <w:tcMar>
              <w:top w:w="40" w:type="dxa"/>
              <w:left w:w="40" w:type="dxa"/>
              <w:bottom w:w="40" w:type="dxa"/>
            </w:tcMar>
            <w:vAlign w:val="bottom"/>
          </w:tcPr>
          <w:p w14:paraId="606F6BB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(134</w:t>
            </w:r>
          </w:p>
        </w:tc>
        <w:tc>
          <w:tcPr>
            <w:tcW w:w="0" w:type="auto"/>
            <w:tcBorders>
              <w:top w:val="single" w:sz="8" w:space="0" w:color="808080"/>
            </w:tcBorders>
            <w:shd w:val="clear" w:color="auto" w:fill="FFF1E7"/>
            <w:tcMar>
              <w:top w:w="40" w:type="dxa"/>
              <w:bottom w:w="40" w:type="dxa"/>
              <w:right w:w="40" w:type="dxa"/>
            </w:tcMar>
            <w:vAlign w:val="bottom"/>
          </w:tcPr>
          <w:p w14:paraId="606F6BB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B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vAlign w:val="bottom"/>
          </w:tcPr>
          <w:p w14:paraId="606F6BB6" w14:textId="77777777" w:rsidR="00FB67F9" w:rsidRDefault="00FB67F9">
            <w:pPr>
              <w:textAlignment w:val="bottom"/>
              <w:rPr>
                <w:rFonts w:ascii="Times New Roman" w:hAnsi="Times New Roman"/>
                <w:sz w:val="20"/>
                <w:szCs w:val="20"/>
              </w:rPr>
            </w:pPr>
          </w:p>
        </w:tc>
      </w:tr>
      <w:tr w:rsidR="00FB67F9" w14:paraId="606F6BB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B8" w14:textId="77777777" w:rsidR="00FB67F9" w:rsidRDefault="00E839DF">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FFF1E7"/>
            <w:tcMar>
              <w:top w:w="40" w:type="dxa"/>
              <w:left w:w="40" w:type="dxa"/>
              <w:bottom w:w="40" w:type="dxa"/>
            </w:tcMar>
            <w:vAlign w:val="bottom"/>
          </w:tcPr>
          <w:p w14:paraId="606F6B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190</w:t>
            </w:r>
          </w:p>
        </w:tc>
        <w:tc>
          <w:tcPr>
            <w:tcW w:w="0" w:type="auto"/>
            <w:tcBorders>
              <w:top w:val="single" w:sz="8" w:space="0" w:color="808080"/>
            </w:tcBorders>
            <w:shd w:val="clear" w:color="auto" w:fill="FFF1E7"/>
            <w:vAlign w:val="bottom"/>
          </w:tcPr>
          <w:p w14:paraId="606F6BB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B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133</w:t>
            </w:r>
          </w:p>
        </w:tc>
        <w:tc>
          <w:tcPr>
            <w:tcW w:w="0" w:type="auto"/>
            <w:tcBorders>
              <w:top w:val="single" w:sz="8" w:space="0" w:color="808080"/>
            </w:tcBorders>
            <w:shd w:val="clear" w:color="auto" w:fill="auto"/>
            <w:vAlign w:val="bottom"/>
          </w:tcPr>
          <w:p w14:paraId="606F6BBC" w14:textId="77777777" w:rsidR="00FB67F9" w:rsidRDefault="00FB67F9">
            <w:pPr>
              <w:textAlignment w:val="bottom"/>
              <w:rPr>
                <w:rFonts w:ascii="Times New Roman" w:hAnsi="Times New Roman"/>
                <w:sz w:val="20"/>
                <w:szCs w:val="20"/>
              </w:rPr>
            </w:pPr>
          </w:p>
        </w:tc>
      </w:tr>
      <w:tr w:rsidR="00FB67F9" w14:paraId="606F6BC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BE" w14:textId="77777777" w:rsidR="00FB67F9" w:rsidRDefault="00E839DF">
            <w:pPr>
              <w:textAlignment w:val="bottom"/>
              <w:rPr>
                <w:rFonts w:ascii="Times New Roman" w:hAnsi="Times New Roman"/>
                <w:sz w:val="17"/>
                <w:szCs w:val="17"/>
              </w:rPr>
            </w:pPr>
            <w:r>
              <w:rPr>
                <w:rFonts w:ascii="Arial" w:eastAsia="宋体" w:hAnsi="Arial" w:cs="Arial"/>
                <w:sz w:val="17"/>
                <w:szCs w:val="17"/>
              </w:rPr>
              <w:t>Amortization and other</w:t>
            </w:r>
          </w:p>
        </w:tc>
        <w:tc>
          <w:tcPr>
            <w:tcW w:w="0" w:type="auto"/>
            <w:gridSpan w:val="2"/>
            <w:tcBorders>
              <w:top w:val="single" w:sz="8" w:space="0" w:color="808080"/>
            </w:tcBorders>
            <w:shd w:val="clear" w:color="auto" w:fill="FFF1E7"/>
            <w:tcMar>
              <w:top w:w="40" w:type="dxa"/>
              <w:left w:w="40" w:type="dxa"/>
              <w:bottom w:w="40" w:type="dxa"/>
            </w:tcMar>
            <w:vAlign w:val="bottom"/>
          </w:tcPr>
          <w:p w14:paraId="606F6B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tcBorders>
            <w:shd w:val="clear" w:color="auto" w:fill="FFF1E7"/>
            <w:vAlign w:val="bottom"/>
          </w:tcPr>
          <w:p w14:paraId="606F6BC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B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vAlign w:val="bottom"/>
          </w:tcPr>
          <w:p w14:paraId="606F6BC2" w14:textId="77777777" w:rsidR="00FB67F9" w:rsidRDefault="00FB67F9">
            <w:pPr>
              <w:textAlignment w:val="bottom"/>
              <w:rPr>
                <w:rFonts w:ascii="Times New Roman" w:hAnsi="Times New Roman"/>
                <w:sz w:val="20"/>
                <w:szCs w:val="20"/>
              </w:rPr>
            </w:pPr>
          </w:p>
        </w:tc>
      </w:tr>
      <w:tr w:rsidR="00FB67F9" w14:paraId="606F6BC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C4" w14:textId="77777777" w:rsidR="00FB67F9" w:rsidRDefault="00E839DF">
            <w:pPr>
              <w:textAlignment w:val="bottom"/>
              <w:rPr>
                <w:rFonts w:ascii="Times New Roman" w:hAnsi="Times New Roman"/>
                <w:sz w:val="17"/>
                <w:szCs w:val="17"/>
              </w:rPr>
            </w:pPr>
            <w:r>
              <w:rPr>
                <w:rFonts w:ascii="Arial" w:eastAsia="宋体" w:hAnsi="Arial" w:cs="Arial"/>
                <w:sz w:val="17"/>
                <w:szCs w:val="17"/>
              </w:rPr>
              <w:t>Net foreign currency adjustments</w:t>
            </w:r>
          </w:p>
        </w:tc>
        <w:tc>
          <w:tcPr>
            <w:tcW w:w="0" w:type="auto"/>
            <w:gridSpan w:val="2"/>
            <w:tcBorders>
              <w:top w:val="single" w:sz="8" w:space="0" w:color="808080"/>
            </w:tcBorders>
            <w:shd w:val="clear" w:color="auto" w:fill="FFF1E7"/>
            <w:tcMar>
              <w:top w:w="40" w:type="dxa"/>
              <w:left w:w="40" w:type="dxa"/>
              <w:bottom w:w="40" w:type="dxa"/>
            </w:tcMar>
            <w:vAlign w:val="bottom"/>
          </w:tcPr>
          <w:p w14:paraId="606F6B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FFF1E7"/>
            <w:vAlign w:val="bottom"/>
          </w:tcPr>
          <w:p w14:paraId="606F6BC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B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210</w:t>
            </w:r>
          </w:p>
        </w:tc>
        <w:tc>
          <w:tcPr>
            <w:tcW w:w="0" w:type="auto"/>
            <w:tcBorders>
              <w:top w:val="single" w:sz="8" w:space="0" w:color="808080"/>
            </w:tcBorders>
            <w:shd w:val="clear" w:color="auto" w:fill="auto"/>
            <w:vAlign w:val="bottom"/>
          </w:tcPr>
          <w:p w14:paraId="606F6BC8" w14:textId="77777777" w:rsidR="00FB67F9" w:rsidRDefault="00FB67F9">
            <w:pPr>
              <w:textAlignment w:val="bottom"/>
              <w:rPr>
                <w:rFonts w:ascii="Times New Roman" w:hAnsi="Times New Roman"/>
                <w:sz w:val="20"/>
                <w:szCs w:val="20"/>
              </w:rPr>
            </w:pPr>
          </w:p>
        </w:tc>
      </w:tr>
      <w:tr w:rsidR="00FB67F9" w14:paraId="606F6BC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BCA" w14:textId="77777777" w:rsidR="00FB67F9" w:rsidRDefault="00E839DF">
            <w:pPr>
              <w:textAlignment w:val="bottom"/>
              <w:rPr>
                <w:rFonts w:ascii="Times New Roman" w:hAnsi="Times New Roman"/>
                <w:sz w:val="17"/>
                <w:szCs w:val="17"/>
              </w:rPr>
            </w:pPr>
            <w:r>
              <w:rPr>
                <w:rFonts w:ascii="Arial" w:eastAsia="宋体" w:hAnsi="Arial" w:cs="Arial"/>
                <w:sz w:val="17"/>
                <w:szCs w:val="17"/>
              </w:rPr>
              <w:t>Changes in certain working capital components and other assets and liabilities: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BC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BCC" w14:textId="77777777" w:rsidR="00FB67F9" w:rsidRDefault="00FB67F9">
            <w:pPr>
              <w:textAlignment w:val="bottom"/>
              <w:rPr>
                <w:rFonts w:ascii="Times New Roman" w:hAnsi="Times New Roman"/>
                <w:sz w:val="17"/>
                <w:szCs w:val="17"/>
              </w:rPr>
            </w:pPr>
          </w:p>
        </w:tc>
      </w:tr>
      <w:tr w:rsidR="00FB67F9" w14:paraId="606F6BD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CE"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(Increase) decrease in </w:t>
            </w:r>
            <w:r>
              <w:rPr>
                <w:rFonts w:ascii="Arial" w:eastAsia="宋体" w:hAnsi="Arial" w:cs="Arial"/>
                <w:sz w:val="17"/>
                <w:szCs w:val="17"/>
              </w:rPr>
              <w:t>accounts receivable</w:t>
            </w:r>
          </w:p>
        </w:tc>
        <w:tc>
          <w:tcPr>
            <w:tcW w:w="0" w:type="auto"/>
            <w:gridSpan w:val="2"/>
            <w:tcBorders>
              <w:top w:val="single" w:sz="8" w:space="0" w:color="808080"/>
            </w:tcBorders>
            <w:shd w:val="clear" w:color="auto" w:fill="FFF1E7"/>
            <w:tcMar>
              <w:top w:w="40" w:type="dxa"/>
              <w:left w:w="40" w:type="dxa"/>
              <w:bottom w:w="40" w:type="dxa"/>
            </w:tcMar>
            <w:vAlign w:val="bottom"/>
          </w:tcPr>
          <w:p w14:paraId="606F6BC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(568</w:t>
            </w:r>
          </w:p>
        </w:tc>
        <w:tc>
          <w:tcPr>
            <w:tcW w:w="0" w:type="auto"/>
            <w:tcBorders>
              <w:top w:val="single" w:sz="8" w:space="0" w:color="808080"/>
            </w:tcBorders>
            <w:shd w:val="clear" w:color="auto" w:fill="FFF1E7"/>
            <w:tcMar>
              <w:top w:w="40" w:type="dxa"/>
              <w:bottom w:w="40" w:type="dxa"/>
              <w:right w:w="40" w:type="dxa"/>
            </w:tcMar>
            <w:vAlign w:val="bottom"/>
          </w:tcPr>
          <w:p w14:paraId="606F6BD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BD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(324</w:t>
            </w:r>
          </w:p>
        </w:tc>
        <w:tc>
          <w:tcPr>
            <w:tcW w:w="0" w:type="auto"/>
            <w:tcBorders>
              <w:top w:val="single" w:sz="8" w:space="0" w:color="808080"/>
            </w:tcBorders>
            <w:shd w:val="clear" w:color="auto" w:fill="auto"/>
            <w:tcMar>
              <w:top w:w="40" w:type="dxa"/>
              <w:bottom w:w="40" w:type="dxa"/>
              <w:right w:w="40" w:type="dxa"/>
            </w:tcMar>
            <w:vAlign w:val="bottom"/>
          </w:tcPr>
          <w:p w14:paraId="606F6BD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BD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D4" w14:textId="77777777" w:rsidR="00FB67F9" w:rsidRDefault="00E839DF">
            <w:pPr>
              <w:textAlignment w:val="bottom"/>
              <w:rPr>
                <w:rFonts w:ascii="Times New Roman" w:hAnsi="Times New Roman"/>
                <w:sz w:val="17"/>
                <w:szCs w:val="17"/>
              </w:rPr>
            </w:pPr>
            <w:r>
              <w:rPr>
                <w:rFonts w:ascii="Arial" w:eastAsia="宋体" w:hAnsi="Arial" w:cs="Arial"/>
                <w:sz w:val="17"/>
                <w:szCs w:val="17"/>
              </w:rPr>
              <w:t>(Increase) decrease in inventories</w:t>
            </w:r>
          </w:p>
        </w:tc>
        <w:tc>
          <w:tcPr>
            <w:tcW w:w="0" w:type="auto"/>
            <w:gridSpan w:val="2"/>
            <w:tcBorders>
              <w:top w:val="single" w:sz="8" w:space="0" w:color="808080"/>
            </w:tcBorders>
            <w:shd w:val="clear" w:color="auto" w:fill="FFF1E7"/>
            <w:tcMar>
              <w:top w:w="40" w:type="dxa"/>
              <w:left w:w="40" w:type="dxa"/>
              <w:bottom w:w="40" w:type="dxa"/>
            </w:tcMar>
            <w:vAlign w:val="bottom"/>
          </w:tcPr>
          <w:p w14:paraId="606F6B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(608</w:t>
            </w:r>
          </w:p>
        </w:tc>
        <w:tc>
          <w:tcPr>
            <w:tcW w:w="0" w:type="auto"/>
            <w:tcBorders>
              <w:top w:val="single" w:sz="8" w:space="0" w:color="808080"/>
            </w:tcBorders>
            <w:shd w:val="clear" w:color="auto" w:fill="FFF1E7"/>
            <w:tcMar>
              <w:top w:w="40" w:type="dxa"/>
              <w:bottom w:w="40" w:type="dxa"/>
              <w:right w:w="40" w:type="dxa"/>
            </w:tcMar>
            <w:vAlign w:val="bottom"/>
          </w:tcPr>
          <w:p w14:paraId="606F6BD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B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(263</w:t>
            </w:r>
          </w:p>
        </w:tc>
        <w:tc>
          <w:tcPr>
            <w:tcW w:w="0" w:type="auto"/>
            <w:tcBorders>
              <w:top w:val="single" w:sz="8" w:space="0" w:color="808080"/>
            </w:tcBorders>
            <w:shd w:val="clear" w:color="auto" w:fill="auto"/>
            <w:tcMar>
              <w:top w:w="40" w:type="dxa"/>
              <w:bottom w:w="40" w:type="dxa"/>
              <w:right w:w="40" w:type="dxa"/>
            </w:tcMar>
            <w:vAlign w:val="bottom"/>
          </w:tcPr>
          <w:p w14:paraId="606F6BD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BD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BDA" w14:textId="77777777" w:rsidR="00FB67F9" w:rsidRDefault="00E839DF">
            <w:pPr>
              <w:textAlignment w:val="bottom"/>
              <w:rPr>
                <w:rFonts w:ascii="Times New Roman" w:hAnsi="Times New Roman"/>
                <w:sz w:val="17"/>
                <w:szCs w:val="17"/>
              </w:rPr>
            </w:pPr>
            <w:r>
              <w:rPr>
                <w:rFonts w:ascii="Arial" w:eastAsia="宋体" w:hAnsi="Arial" w:cs="Arial"/>
                <w:sz w:val="17"/>
                <w:szCs w:val="17"/>
              </w:rPr>
              <w:t>(Increase) decrease in prepaid expenses, operating lease right-of-use assets and other current and non-current assets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B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(67</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6BD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B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6BD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BE5"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6BE0"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Increase (decrease) in accounts </w:t>
            </w:r>
            <w:r>
              <w:rPr>
                <w:rFonts w:ascii="Arial" w:eastAsia="宋体" w:hAnsi="Arial" w:cs="Arial"/>
                <w:sz w:val="17"/>
                <w:szCs w:val="17"/>
              </w:rPr>
              <w:t>payable, accrued liabilities, operating lease liabilities and other current and non-current liabilities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B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(357</w:t>
            </w:r>
          </w:p>
        </w:tc>
        <w:tc>
          <w:tcPr>
            <w:tcW w:w="0" w:type="auto"/>
            <w:tcBorders>
              <w:bottom w:val="single" w:sz="8" w:space="0" w:color="E87722"/>
            </w:tcBorders>
            <w:shd w:val="clear" w:color="auto" w:fill="FFF1E7"/>
            <w:tcMar>
              <w:top w:w="40" w:type="dxa"/>
              <w:bottom w:w="40" w:type="dxa"/>
              <w:right w:w="40" w:type="dxa"/>
            </w:tcMar>
            <w:vAlign w:val="bottom"/>
          </w:tcPr>
          <w:p w14:paraId="606F6BE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6B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884</w:t>
            </w:r>
          </w:p>
        </w:tc>
        <w:tc>
          <w:tcPr>
            <w:tcW w:w="0" w:type="auto"/>
            <w:tcBorders>
              <w:bottom w:val="single" w:sz="8" w:space="0" w:color="E87722"/>
            </w:tcBorders>
            <w:shd w:val="clear" w:color="auto" w:fill="auto"/>
            <w:vAlign w:val="bottom"/>
          </w:tcPr>
          <w:p w14:paraId="606F6BE4" w14:textId="77777777" w:rsidR="00FB67F9" w:rsidRDefault="00FB67F9">
            <w:pPr>
              <w:textAlignment w:val="bottom"/>
              <w:rPr>
                <w:rFonts w:ascii="Times New Roman" w:hAnsi="Times New Roman"/>
                <w:sz w:val="20"/>
                <w:szCs w:val="20"/>
              </w:rPr>
            </w:pPr>
          </w:p>
        </w:tc>
      </w:tr>
      <w:tr w:rsidR="00FB67F9" w14:paraId="606F6BEB" w14:textId="77777777">
        <w:tc>
          <w:tcPr>
            <w:tcW w:w="0" w:type="auto"/>
            <w:shd w:val="clear" w:color="auto" w:fill="auto"/>
            <w:tcMar>
              <w:top w:w="40" w:type="dxa"/>
              <w:left w:w="40" w:type="dxa"/>
              <w:bottom w:w="40" w:type="dxa"/>
              <w:right w:w="40" w:type="dxa"/>
            </w:tcMar>
            <w:vAlign w:val="bottom"/>
          </w:tcPr>
          <w:p w14:paraId="606F6BE6" w14:textId="77777777" w:rsidR="00FB67F9" w:rsidRDefault="00E839DF">
            <w:pPr>
              <w:textAlignment w:val="bottom"/>
              <w:rPr>
                <w:rFonts w:ascii="Times New Roman" w:hAnsi="Times New Roman"/>
                <w:sz w:val="17"/>
                <w:szCs w:val="17"/>
              </w:rPr>
            </w:pPr>
            <w:r>
              <w:rPr>
                <w:rFonts w:ascii="Arial" w:eastAsia="宋体" w:hAnsi="Arial" w:cs="Arial"/>
                <w:sz w:val="17"/>
                <w:szCs w:val="17"/>
              </w:rPr>
              <w:t>Cash provided (used) by operations</w:t>
            </w:r>
          </w:p>
        </w:tc>
        <w:tc>
          <w:tcPr>
            <w:tcW w:w="0" w:type="auto"/>
            <w:gridSpan w:val="2"/>
            <w:shd w:val="clear" w:color="auto" w:fill="FFF1E7"/>
            <w:tcMar>
              <w:top w:w="40" w:type="dxa"/>
              <w:left w:w="40" w:type="dxa"/>
              <w:bottom w:w="40" w:type="dxa"/>
            </w:tcMar>
            <w:vAlign w:val="bottom"/>
          </w:tcPr>
          <w:p w14:paraId="606F6B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1,306</w:t>
            </w:r>
          </w:p>
        </w:tc>
        <w:tc>
          <w:tcPr>
            <w:tcW w:w="0" w:type="auto"/>
            <w:shd w:val="clear" w:color="auto" w:fill="FFF1E7"/>
            <w:vAlign w:val="bottom"/>
          </w:tcPr>
          <w:p w14:paraId="606F6BE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B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2,825</w:t>
            </w:r>
          </w:p>
        </w:tc>
        <w:tc>
          <w:tcPr>
            <w:tcW w:w="0" w:type="auto"/>
            <w:shd w:val="clear" w:color="auto" w:fill="auto"/>
            <w:vAlign w:val="bottom"/>
          </w:tcPr>
          <w:p w14:paraId="606F6BEA" w14:textId="77777777" w:rsidR="00FB67F9" w:rsidRDefault="00FB67F9">
            <w:pPr>
              <w:textAlignment w:val="bottom"/>
              <w:rPr>
                <w:rFonts w:ascii="Times New Roman" w:hAnsi="Times New Roman"/>
                <w:sz w:val="20"/>
                <w:szCs w:val="20"/>
              </w:rPr>
            </w:pPr>
          </w:p>
        </w:tc>
      </w:tr>
      <w:tr w:rsidR="00FB67F9" w14:paraId="606F6BE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BE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Cash provided (used) by investing activities: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BE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BE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BF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F0"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Purchases of short-term </w:t>
            </w:r>
            <w:r>
              <w:rPr>
                <w:rFonts w:ascii="Arial" w:eastAsia="宋体" w:hAnsi="Arial" w:cs="Arial"/>
                <w:sz w:val="17"/>
                <w:szCs w:val="17"/>
              </w:rPr>
              <w:t>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606F6B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(1,157</w:t>
            </w:r>
          </w:p>
        </w:tc>
        <w:tc>
          <w:tcPr>
            <w:tcW w:w="0" w:type="auto"/>
            <w:tcBorders>
              <w:top w:val="single" w:sz="8" w:space="0" w:color="808080"/>
            </w:tcBorders>
            <w:shd w:val="clear" w:color="auto" w:fill="FFF1E7"/>
            <w:tcMar>
              <w:top w:w="40" w:type="dxa"/>
              <w:bottom w:w="40" w:type="dxa"/>
              <w:right w:w="40" w:type="dxa"/>
            </w:tcMar>
            <w:vAlign w:val="bottom"/>
          </w:tcPr>
          <w:p w14:paraId="606F6BF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BF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(1,771</w:t>
            </w:r>
          </w:p>
        </w:tc>
        <w:tc>
          <w:tcPr>
            <w:tcW w:w="0" w:type="auto"/>
            <w:tcBorders>
              <w:top w:val="single" w:sz="8" w:space="0" w:color="808080"/>
            </w:tcBorders>
            <w:shd w:val="clear" w:color="auto" w:fill="auto"/>
            <w:tcMar>
              <w:top w:w="40" w:type="dxa"/>
              <w:bottom w:w="40" w:type="dxa"/>
              <w:right w:w="40" w:type="dxa"/>
            </w:tcMar>
            <w:vAlign w:val="bottom"/>
          </w:tcPr>
          <w:p w14:paraId="606F6BF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BF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F6" w14:textId="77777777" w:rsidR="00FB67F9" w:rsidRDefault="00E839DF">
            <w:pPr>
              <w:textAlignment w:val="bottom"/>
              <w:rPr>
                <w:rFonts w:ascii="Times New Roman" w:hAnsi="Times New Roman"/>
                <w:sz w:val="17"/>
                <w:szCs w:val="17"/>
              </w:rPr>
            </w:pPr>
            <w:r>
              <w:rPr>
                <w:rFonts w:ascii="Arial" w:eastAsia="宋体" w:hAnsi="Arial" w:cs="Arial"/>
                <w:sz w:val="17"/>
                <w:szCs w:val="17"/>
              </w:rPr>
              <w:t>Maturities of 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606F6BF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tcBorders>
            <w:shd w:val="clear" w:color="auto" w:fill="FFF1E7"/>
            <w:vAlign w:val="bottom"/>
          </w:tcPr>
          <w:p w14:paraId="606F6BF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BF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1,181</w:t>
            </w:r>
          </w:p>
        </w:tc>
        <w:tc>
          <w:tcPr>
            <w:tcW w:w="0" w:type="auto"/>
            <w:tcBorders>
              <w:top w:val="single" w:sz="8" w:space="0" w:color="808080"/>
            </w:tcBorders>
            <w:shd w:val="clear" w:color="auto" w:fill="auto"/>
            <w:vAlign w:val="bottom"/>
          </w:tcPr>
          <w:p w14:paraId="606F6BFA" w14:textId="77777777" w:rsidR="00FB67F9" w:rsidRDefault="00FB67F9">
            <w:pPr>
              <w:textAlignment w:val="bottom"/>
              <w:rPr>
                <w:rFonts w:ascii="Times New Roman" w:hAnsi="Times New Roman"/>
                <w:sz w:val="20"/>
                <w:szCs w:val="20"/>
              </w:rPr>
            </w:pPr>
          </w:p>
        </w:tc>
      </w:tr>
      <w:tr w:rsidR="00FB67F9" w14:paraId="606F6C0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BFC"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of 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606F6BF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981</w:t>
            </w:r>
          </w:p>
        </w:tc>
        <w:tc>
          <w:tcPr>
            <w:tcW w:w="0" w:type="auto"/>
            <w:tcBorders>
              <w:top w:val="single" w:sz="8" w:space="0" w:color="808080"/>
            </w:tcBorders>
            <w:shd w:val="clear" w:color="auto" w:fill="FFF1E7"/>
            <w:vAlign w:val="bottom"/>
          </w:tcPr>
          <w:p w14:paraId="606F6BF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BF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971</w:t>
            </w:r>
          </w:p>
        </w:tc>
        <w:tc>
          <w:tcPr>
            <w:tcW w:w="0" w:type="auto"/>
            <w:tcBorders>
              <w:top w:val="single" w:sz="8" w:space="0" w:color="808080"/>
            </w:tcBorders>
            <w:shd w:val="clear" w:color="auto" w:fill="auto"/>
            <w:vAlign w:val="bottom"/>
          </w:tcPr>
          <w:p w14:paraId="606F6C00" w14:textId="77777777" w:rsidR="00FB67F9" w:rsidRDefault="00FB67F9">
            <w:pPr>
              <w:textAlignment w:val="bottom"/>
              <w:rPr>
                <w:rFonts w:ascii="Times New Roman" w:hAnsi="Times New Roman"/>
                <w:sz w:val="20"/>
                <w:szCs w:val="20"/>
              </w:rPr>
            </w:pPr>
          </w:p>
        </w:tc>
      </w:tr>
      <w:tr w:rsidR="00FB67F9" w14:paraId="606F6C07"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C02" w14:textId="77777777" w:rsidR="00FB67F9" w:rsidRDefault="00E839DF">
            <w:pPr>
              <w:textAlignment w:val="bottom"/>
              <w:rPr>
                <w:rFonts w:ascii="Times New Roman" w:hAnsi="Times New Roman"/>
                <w:sz w:val="17"/>
                <w:szCs w:val="17"/>
              </w:rPr>
            </w:pPr>
            <w:r>
              <w:rPr>
                <w:rFonts w:ascii="Arial" w:eastAsia="宋体" w:hAnsi="Arial" w:cs="Arial"/>
                <w:sz w:val="17"/>
                <w:szCs w:val="17"/>
              </w:rPr>
              <w:t>Additions to property, plant and 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C0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(522</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6C0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C0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(630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6C0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0D"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6C08"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investing activities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C0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(109</w:t>
            </w:r>
          </w:p>
        </w:tc>
        <w:tc>
          <w:tcPr>
            <w:tcW w:w="0" w:type="auto"/>
            <w:tcBorders>
              <w:bottom w:val="single" w:sz="8" w:space="0" w:color="E87722"/>
            </w:tcBorders>
            <w:shd w:val="clear" w:color="auto" w:fill="FFF1E7"/>
            <w:tcMar>
              <w:top w:w="40" w:type="dxa"/>
              <w:bottom w:w="40" w:type="dxa"/>
              <w:right w:w="40" w:type="dxa"/>
            </w:tcMar>
            <w:vAlign w:val="bottom"/>
          </w:tcPr>
          <w:p w14:paraId="606F6C0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6C0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bottom w:val="single" w:sz="8" w:space="0" w:color="E87722"/>
            </w:tcBorders>
            <w:shd w:val="clear" w:color="auto" w:fill="auto"/>
            <w:vAlign w:val="bottom"/>
          </w:tcPr>
          <w:p w14:paraId="606F6C0C" w14:textId="77777777" w:rsidR="00FB67F9" w:rsidRDefault="00FB67F9">
            <w:pPr>
              <w:textAlignment w:val="bottom"/>
              <w:rPr>
                <w:rFonts w:ascii="Times New Roman" w:hAnsi="Times New Roman"/>
                <w:sz w:val="20"/>
                <w:szCs w:val="20"/>
              </w:rPr>
            </w:pPr>
          </w:p>
        </w:tc>
      </w:tr>
      <w:tr w:rsidR="00FB67F9" w14:paraId="606F6C13" w14:textId="77777777">
        <w:tc>
          <w:tcPr>
            <w:tcW w:w="0" w:type="auto"/>
            <w:shd w:val="clear" w:color="auto" w:fill="auto"/>
            <w:tcMar>
              <w:top w:w="40" w:type="dxa"/>
              <w:left w:w="40" w:type="dxa"/>
              <w:bottom w:w="40" w:type="dxa"/>
              <w:right w:w="40" w:type="dxa"/>
            </w:tcMar>
            <w:vAlign w:val="bottom"/>
          </w:tcPr>
          <w:p w14:paraId="606F6C0E"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Cash provided (used) by </w:t>
            </w:r>
            <w:r>
              <w:rPr>
                <w:rFonts w:ascii="Arial" w:eastAsia="宋体" w:hAnsi="Arial" w:cs="Arial"/>
                <w:sz w:val="17"/>
                <w:szCs w:val="17"/>
              </w:rPr>
              <w:t>investing activities</w:t>
            </w:r>
          </w:p>
        </w:tc>
        <w:tc>
          <w:tcPr>
            <w:tcW w:w="0" w:type="auto"/>
            <w:gridSpan w:val="2"/>
            <w:shd w:val="clear" w:color="auto" w:fill="FFF1E7"/>
            <w:tcMar>
              <w:top w:w="40" w:type="dxa"/>
              <w:left w:w="40" w:type="dxa"/>
              <w:bottom w:w="40" w:type="dxa"/>
            </w:tcMar>
            <w:vAlign w:val="bottom"/>
          </w:tcPr>
          <w:p w14:paraId="606F6C0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(788</w:t>
            </w:r>
          </w:p>
        </w:tc>
        <w:tc>
          <w:tcPr>
            <w:tcW w:w="0" w:type="auto"/>
            <w:shd w:val="clear" w:color="auto" w:fill="FFF1E7"/>
            <w:tcMar>
              <w:top w:w="40" w:type="dxa"/>
              <w:bottom w:w="40" w:type="dxa"/>
              <w:right w:w="40" w:type="dxa"/>
            </w:tcMar>
            <w:vAlign w:val="bottom"/>
          </w:tcPr>
          <w:p w14:paraId="606F6C1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6C1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(245</w:t>
            </w:r>
          </w:p>
        </w:tc>
        <w:tc>
          <w:tcPr>
            <w:tcW w:w="0" w:type="auto"/>
            <w:shd w:val="clear" w:color="auto" w:fill="auto"/>
            <w:tcMar>
              <w:top w:w="40" w:type="dxa"/>
              <w:bottom w:w="40" w:type="dxa"/>
              <w:right w:w="40" w:type="dxa"/>
            </w:tcMar>
            <w:vAlign w:val="bottom"/>
          </w:tcPr>
          <w:p w14:paraId="606F6C1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1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C1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Cash provided (used) by financing activities: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1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C1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C1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C18" w14:textId="77777777" w:rsidR="00FB67F9" w:rsidRDefault="00E839DF">
            <w:pPr>
              <w:textAlignment w:val="bottom"/>
              <w:rPr>
                <w:rFonts w:ascii="Times New Roman" w:hAnsi="Times New Roman"/>
                <w:sz w:val="17"/>
                <w:szCs w:val="17"/>
              </w:rPr>
            </w:pPr>
            <w:r>
              <w:rPr>
                <w:rFonts w:ascii="Arial" w:eastAsia="宋体" w:hAnsi="Arial" w:cs="Arial"/>
                <w:sz w:val="17"/>
                <w:szCs w:val="17"/>
              </w:rPr>
              <w:t>Increase (decrease) in notes payable</w:t>
            </w:r>
          </w:p>
        </w:tc>
        <w:tc>
          <w:tcPr>
            <w:tcW w:w="0" w:type="auto"/>
            <w:gridSpan w:val="2"/>
            <w:tcBorders>
              <w:top w:val="single" w:sz="8" w:space="0" w:color="808080"/>
            </w:tcBorders>
            <w:shd w:val="clear" w:color="auto" w:fill="FFF1E7"/>
            <w:tcMar>
              <w:top w:w="40" w:type="dxa"/>
              <w:left w:w="40" w:type="dxa"/>
              <w:bottom w:w="40" w:type="dxa"/>
            </w:tcMar>
            <w:vAlign w:val="bottom"/>
          </w:tcPr>
          <w:p w14:paraId="606F6C1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291</w:t>
            </w:r>
          </w:p>
        </w:tc>
        <w:tc>
          <w:tcPr>
            <w:tcW w:w="0" w:type="auto"/>
            <w:tcBorders>
              <w:top w:val="single" w:sz="8" w:space="0" w:color="808080"/>
            </w:tcBorders>
            <w:shd w:val="clear" w:color="auto" w:fill="FFF1E7"/>
            <w:vAlign w:val="bottom"/>
          </w:tcPr>
          <w:p w14:paraId="606F6C1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C1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(327</w:t>
            </w:r>
          </w:p>
        </w:tc>
        <w:tc>
          <w:tcPr>
            <w:tcW w:w="0" w:type="auto"/>
            <w:tcBorders>
              <w:top w:val="single" w:sz="8" w:space="0" w:color="808080"/>
            </w:tcBorders>
            <w:shd w:val="clear" w:color="auto" w:fill="auto"/>
            <w:tcMar>
              <w:top w:w="40" w:type="dxa"/>
              <w:bottom w:w="40" w:type="dxa"/>
              <w:right w:w="40" w:type="dxa"/>
            </w:tcMar>
            <w:vAlign w:val="bottom"/>
          </w:tcPr>
          <w:p w14:paraId="606F6C1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2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C1E" w14:textId="77777777" w:rsidR="00FB67F9" w:rsidRDefault="00E839DF">
            <w:pPr>
              <w:textAlignment w:val="bottom"/>
              <w:rPr>
                <w:rFonts w:ascii="Times New Roman" w:hAnsi="Times New Roman"/>
                <w:sz w:val="17"/>
                <w:szCs w:val="17"/>
              </w:rPr>
            </w:pPr>
            <w:r>
              <w:rPr>
                <w:rFonts w:ascii="Arial" w:eastAsia="宋体" w:hAnsi="Arial" w:cs="Arial"/>
                <w:sz w:val="17"/>
                <w:szCs w:val="17"/>
              </w:rPr>
              <w:t>Proceeds from exercise of stock options and other stock issuances</w:t>
            </w:r>
          </w:p>
        </w:tc>
        <w:tc>
          <w:tcPr>
            <w:tcW w:w="0" w:type="auto"/>
            <w:gridSpan w:val="2"/>
            <w:tcBorders>
              <w:top w:val="single" w:sz="8" w:space="0" w:color="808080"/>
            </w:tcBorders>
            <w:shd w:val="clear" w:color="auto" w:fill="FFF1E7"/>
            <w:tcMar>
              <w:top w:w="40" w:type="dxa"/>
              <w:left w:w="40" w:type="dxa"/>
              <w:bottom w:w="40" w:type="dxa"/>
            </w:tcMar>
            <w:vAlign w:val="bottom"/>
          </w:tcPr>
          <w:p w14:paraId="606F6C1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483</w:t>
            </w:r>
          </w:p>
        </w:tc>
        <w:tc>
          <w:tcPr>
            <w:tcW w:w="0" w:type="auto"/>
            <w:tcBorders>
              <w:top w:val="single" w:sz="8" w:space="0" w:color="808080"/>
            </w:tcBorders>
            <w:shd w:val="clear" w:color="auto" w:fill="FFF1E7"/>
            <w:vAlign w:val="bottom"/>
          </w:tcPr>
          <w:p w14:paraId="606F6C2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C2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340</w:t>
            </w:r>
          </w:p>
        </w:tc>
        <w:tc>
          <w:tcPr>
            <w:tcW w:w="0" w:type="auto"/>
            <w:tcBorders>
              <w:top w:val="single" w:sz="8" w:space="0" w:color="808080"/>
            </w:tcBorders>
            <w:shd w:val="clear" w:color="auto" w:fill="auto"/>
            <w:vAlign w:val="bottom"/>
          </w:tcPr>
          <w:p w14:paraId="606F6C22" w14:textId="77777777" w:rsidR="00FB67F9" w:rsidRDefault="00FB67F9">
            <w:pPr>
              <w:textAlignment w:val="bottom"/>
              <w:rPr>
                <w:rFonts w:ascii="Times New Roman" w:hAnsi="Times New Roman"/>
                <w:sz w:val="20"/>
                <w:szCs w:val="20"/>
              </w:rPr>
            </w:pPr>
          </w:p>
        </w:tc>
      </w:tr>
      <w:tr w:rsidR="00FB67F9" w14:paraId="606F6C2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6C24" w14:textId="77777777" w:rsidR="00FB67F9" w:rsidRDefault="00E839DF">
            <w:pPr>
              <w:textAlignment w:val="bottom"/>
              <w:rPr>
                <w:rFonts w:ascii="Times New Roman" w:hAnsi="Times New Roman"/>
                <w:sz w:val="17"/>
                <w:szCs w:val="17"/>
              </w:rPr>
            </w:pPr>
            <w:r>
              <w:rPr>
                <w:rFonts w:ascii="Arial" w:eastAsia="宋体" w:hAnsi="Arial" w:cs="Arial"/>
                <w:sz w:val="17"/>
                <w:szCs w:val="17"/>
              </w:rPr>
              <w:t>Repurchase of common stock</w:t>
            </w:r>
          </w:p>
        </w:tc>
        <w:tc>
          <w:tcPr>
            <w:tcW w:w="0" w:type="auto"/>
            <w:gridSpan w:val="2"/>
            <w:tcBorders>
              <w:top w:val="single" w:sz="8" w:space="0" w:color="808080"/>
            </w:tcBorders>
            <w:shd w:val="clear" w:color="auto" w:fill="FFF1E7"/>
            <w:tcMar>
              <w:top w:w="40" w:type="dxa"/>
              <w:left w:w="40" w:type="dxa"/>
              <w:bottom w:w="40" w:type="dxa"/>
            </w:tcMar>
            <w:vAlign w:val="bottom"/>
          </w:tcPr>
          <w:p w14:paraId="606F6C2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(1,921</w:t>
            </w:r>
          </w:p>
        </w:tc>
        <w:tc>
          <w:tcPr>
            <w:tcW w:w="0" w:type="auto"/>
            <w:tcBorders>
              <w:top w:val="single" w:sz="8" w:space="0" w:color="808080"/>
            </w:tcBorders>
            <w:shd w:val="clear" w:color="auto" w:fill="FFF1E7"/>
            <w:tcMar>
              <w:top w:w="40" w:type="dxa"/>
              <w:bottom w:w="40" w:type="dxa"/>
              <w:right w:w="40" w:type="dxa"/>
            </w:tcMar>
            <w:vAlign w:val="bottom"/>
          </w:tcPr>
          <w:p w14:paraId="606F6C2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C2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(2,637</w:t>
            </w:r>
          </w:p>
        </w:tc>
        <w:tc>
          <w:tcPr>
            <w:tcW w:w="0" w:type="auto"/>
            <w:tcBorders>
              <w:top w:val="single" w:sz="8" w:space="0" w:color="808080"/>
            </w:tcBorders>
            <w:shd w:val="clear" w:color="auto" w:fill="auto"/>
            <w:tcMar>
              <w:top w:w="40" w:type="dxa"/>
              <w:bottom w:w="40" w:type="dxa"/>
              <w:right w:w="40" w:type="dxa"/>
            </w:tcMar>
            <w:vAlign w:val="bottom"/>
          </w:tcPr>
          <w:p w14:paraId="606F6C2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2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6C2A" w14:textId="77777777" w:rsidR="00FB67F9" w:rsidRDefault="00E839DF">
            <w:pPr>
              <w:textAlignment w:val="bottom"/>
              <w:rPr>
                <w:rFonts w:ascii="Times New Roman" w:hAnsi="Times New Roman"/>
                <w:sz w:val="17"/>
                <w:szCs w:val="17"/>
              </w:rPr>
            </w:pPr>
            <w:r>
              <w:rPr>
                <w:rFonts w:ascii="Arial" w:eastAsia="宋体" w:hAnsi="Arial" w:cs="Arial"/>
                <w:sz w:val="17"/>
                <w:szCs w:val="17"/>
              </w:rPr>
              <w:t>Dividends — common and preferred</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C2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(689</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6C2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C2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(638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6C2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35"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6C30"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financing activities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C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bottom w:val="single" w:sz="8" w:space="0" w:color="E87722"/>
            </w:tcBorders>
            <w:shd w:val="clear" w:color="auto" w:fill="FFF1E7"/>
            <w:tcMar>
              <w:top w:w="40" w:type="dxa"/>
              <w:bottom w:w="40" w:type="dxa"/>
              <w:right w:w="40" w:type="dxa"/>
            </w:tcMar>
            <w:vAlign w:val="bottom"/>
          </w:tcPr>
          <w:p w14:paraId="606F6C3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6C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bottom w:val="single" w:sz="8" w:space="0" w:color="E87722"/>
            </w:tcBorders>
            <w:shd w:val="clear" w:color="auto" w:fill="auto"/>
            <w:tcMar>
              <w:top w:w="40" w:type="dxa"/>
              <w:bottom w:w="40" w:type="dxa"/>
              <w:right w:w="40" w:type="dxa"/>
            </w:tcMar>
            <w:vAlign w:val="bottom"/>
          </w:tcPr>
          <w:p w14:paraId="606F6C3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3B" w14:textId="77777777">
        <w:tc>
          <w:tcPr>
            <w:tcW w:w="0" w:type="auto"/>
            <w:shd w:val="clear" w:color="auto" w:fill="auto"/>
            <w:tcMar>
              <w:top w:w="40" w:type="dxa"/>
              <w:left w:w="40" w:type="dxa"/>
              <w:bottom w:w="40" w:type="dxa"/>
              <w:right w:w="40" w:type="dxa"/>
            </w:tcMar>
            <w:vAlign w:val="bottom"/>
          </w:tcPr>
          <w:p w14:paraId="606F6C36" w14:textId="77777777" w:rsidR="00FB67F9" w:rsidRDefault="00E839DF">
            <w:pPr>
              <w:textAlignment w:val="bottom"/>
              <w:rPr>
                <w:rFonts w:ascii="Times New Roman" w:hAnsi="Times New Roman"/>
                <w:sz w:val="17"/>
                <w:szCs w:val="17"/>
              </w:rPr>
            </w:pPr>
            <w:r>
              <w:rPr>
                <w:rFonts w:ascii="Arial" w:eastAsia="宋体" w:hAnsi="Arial" w:cs="Arial"/>
                <w:sz w:val="17"/>
                <w:szCs w:val="17"/>
              </w:rPr>
              <w:t>Cash provided (used) by financing activities</w:t>
            </w:r>
          </w:p>
        </w:tc>
        <w:tc>
          <w:tcPr>
            <w:tcW w:w="0" w:type="auto"/>
            <w:gridSpan w:val="2"/>
            <w:shd w:val="clear" w:color="auto" w:fill="FFF1E7"/>
            <w:tcMar>
              <w:top w:w="40" w:type="dxa"/>
              <w:left w:w="40" w:type="dxa"/>
              <w:bottom w:w="40" w:type="dxa"/>
            </w:tcMar>
            <w:vAlign w:val="bottom"/>
          </w:tcPr>
          <w:p w14:paraId="606F6C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(1,868</w:t>
            </w:r>
          </w:p>
        </w:tc>
        <w:tc>
          <w:tcPr>
            <w:tcW w:w="0" w:type="auto"/>
            <w:shd w:val="clear" w:color="auto" w:fill="FFF1E7"/>
            <w:tcMar>
              <w:top w:w="40" w:type="dxa"/>
              <w:bottom w:w="40" w:type="dxa"/>
              <w:right w:w="40" w:type="dxa"/>
            </w:tcMar>
            <w:vAlign w:val="bottom"/>
          </w:tcPr>
          <w:p w14:paraId="606F6C3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6C3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(3,290</w:t>
            </w:r>
          </w:p>
        </w:tc>
        <w:tc>
          <w:tcPr>
            <w:tcW w:w="0" w:type="auto"/>
            <w:shd w:val="clear" w:color="auto" w:fill="auto"/>
            <w:tcMar>
              <w:top w:w="40" w:type="dxa"/>
              <w:bottom w:w="40" w:type="dxa"/>
              <w:right w:w="40" w:type="dxa"/>
            </w:tcMar>
            <w:vAlign w:val="bottom"/>
          </w:tcPr>
          <w:p w14:paraId="606F6C3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41"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C3C" w14:textId="77777777" w:rsidR="00FB67F9" w:rsidRDefault="00E839DF">
            <w:pPr>
              <w:textAlignment w:val="bottom"/>
              <w:rPr>
                <w:rFonts w:ascii="Times New Roman" w:hAnsi="Times New Roman"/>
                <w:sz w:val="17"/>
                <w:szCs w:val="17"/>
              </w:rPr>
            </w:pPr>
            <w:r>
              <w:rPr>
                <w:rFonts w:ascii="Arial" w:eastAsia="宋体" w:hAnsi="Arial" w:cs="Arial"/>
                <w:sz w:val="17"/>
                <w:szCs w:val="17"/>
              </w:rPr>
              <w:t>Effect of exchange rate changes on cash and equivalents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C3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(46</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6C3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6C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(116</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6C4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47" w14:textId="77777777">
        <w:tc>
          <w:tcPr>
            <w:tcW w:w="0" w:type="auto"/>
            <w:shd w:val="clear" w:color="auto" w:fill="auto"/>
            <w:tcMar>
              <w:top w:w="40" w:type="dxa"/>
              <w:left w:w="40" w:type="dxa"/>
              <w:bottom w:w="40" w:type="dxa"/>
              <w:right w:w="40" w:type="dxa"/>
            </w:tcMar>
            <w:vAlign w:val="bottom"/>
          </w:tcPr>
          <w:p w14:paraId="606F6C42"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Net increase </w:t>
            </w:r>
            <w:r>
              <w:rPr>
                <w:rFonts w:ascii="Arial" w:eastAsia="宋体" w:hAnsi="Arial" w:cs="Arial"/>
                <w:sz w:val="17"/>
                <w:szCs w:val="17"/>
              </w:rPr>
              <w:t>(decrease) in cash and equivalents</w:t>
            </w:r>
          </w:p>
        </w:tc>
        <w:tc>
          <w:tcPr>
            <w:tcW w:w="0" w:type="auto"/>
            <w:gridSpan w:val="2"/>
            <w:shd w:val="clear" w:color="auto" w:fill="FFF1E7"/>
            <w:tcMar>
              <w:top w:w="40" w:type="dxa"/>
              <w:left w:w="40" w:type="dxa"/>
              <w:bottom w:w="40" w:type="dxa"/>
            </w:tcMar>
            <w:vAlign w:val="bottom"/>
          </w:tcPr>
          <w:p w14:paraId="606F6C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(1,396</w:t>
            </w:r>
          </w:p>
        </w:tc>
        <w:tc>
          <w:tcPr>
            <w:tcW w:w="0" w:type="auto"/>
            <w:shd w:val="clear" w:color="auto" w:fill="FFF1E7"/>
            <w:tcMar>
              <w:top w:w="40" w:type="dxa"/>
              <w:bottom w:w="40" w:type="dxa"/>
              <w:right w:w="40" w:type="dxa"/>
            </w:tcMar>
            <w:vAlign w:val="bottom"/>
          </w:tcPr>
          <w:p w14:paraId="606F6C4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6C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(826</w:t>
            </w:r>
          </w:p>
        </w:tc>
        <w:tc>
          <w:tcPr>
            <w:tcW w:w="0" w:type="auto"/>
            <w:shd w:val="clear" w:color="auto" w:fill="auto"/>
            <w:tcMar>
              <w:top w:w="40" w:type="dxa"/>
              <w:bottom w:w="40" w:type="dxa"/>
              <w:right w:w="40" w:type="dxa"/>
            </w:tcMar>
            <w:vAlign w:val="bottom"/>
          </w:tcPr>
          <w:p w14:paraId="606F6C4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4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6C48" w14:textId="77777777" w:rsidR="00FB67F9" w:rsidRDefault="00E839DF">
            <w:pPr>
              <w:textAlignment w:val="bottom"/>
              <w:rPr>
                <w:rFonts w:ascii="Times New Roman" w:hAnsi="Times New Roman"/>
                <w:sz w:val="17"/>
                <w:szCs w:val="17"/>
              </w:rPr>
            </w:pPr>
            <w:r>
              <w:rPr>
                <w:rFonts w:ascii="Arial" w:eastAsia="宋体" w:hAnsi="Arial" w:cs="Arial"/>
                <w:sz w:val="17"/>
                <w:szCs w:val="17"/>
              </w:rPr>
              <w:t>Cash and equivalents, beginning of period</w:t>
            </w:r>
          </w:p>
        </w:tc>
        <w:tc>
          <w:tcPr>
            <w:tcW w:w="0" w:type="auto"/>
            <w:gridSpan w:val="2"/>
            <w:tcBorders>
              <w:top w:val="single" w:sz="8" w:space="0" w:color="808080"/>
            </w:tcBorders>
            <w:shd w:val="clear" w:color="auto" w:fill="FFF1E7"/>
            <w:tcMar>
              <w:top w:w="40" w:type="dxa"/>
              <w:left w:w="40" w:type="dxa"/>
              <w:bottom w:w="40" w:type="dxa"/>
            </w:tcMar>
            <w:vAlign w:val="bottom"/>
          </w:tcPr>
          <w:p w14:paraId="606F6C4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4,466</w:t>
            </w:r>
          </w:p>
        </w:tc>
        <w:tc>
          <w:tcPr>
            <w:tcW w:w="0" w:type="auto"/>
            <w:tcBorders>
              <w:top w:val="single" w:sz="8" w:space="0" w:color="808080"/>
            </w:tcBorders>
            <w:shd w:val="clear" w:color="auto" w:fill="FFF1E7"/>
            <w:vAlign w:val="bottom"/>
          </w:tcPr>
          <w:p w14:paraId="606F6C4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C4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4,249</w:t>
            </w:r>
          </w:p>
        </w:tc>
        <w:tc>
          <w:tcPr>
            <w:tcW w:w="0" w:type="auto"/>
            <w:tcBorders>
              <w:top w:val="single" w:sz="8" w:space="0" w:color="808080"/>
            </w:tcBorders>
            <w:shd w:val="clear" w:color="auto" w:fill="auto"/>
            <w:vAlign w:val="bottom"/>
          </w:tcPr>
          <w:p w14:paraId="606F6C4C" w14:textId="77777777" w:rsidR="00FB67F9" w:rsidRDefault="00FB67F9">
            <w:pPr>
              <w:textAlignment w:val="bottom"/>
              <w:rPr>
                <w:rFonts w:ascii="Times New Roman" w:hAnsi="Times New Roman"/>
                <w:sz w:val="20"/>
                <w:szCs w:val="20"/>
              </w:rPr>
            </w:pPr>
          </w:p>
        </w:tc>
      </w:tr>
      <w:tr w:rsidR="00FB67F9" w14:paraId="606F6C5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C4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CASH AND EQUIVALENTS, END OF PERIOD</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C4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C5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3,070</w:t>
            </w:r>
          </w:p>
        </w:tc>
        <w:tc>
          <w:tcPr>
            <w:tcW w:w="0" w:type="auto"/>
            <w:tcBorders>
              <w:top w:val="single" w:sz="8" w:space="0" w:color="E87722"/>
              <w:bottom w:val="single" w:sz="8" w:space="0" w:color="E87722"/>
            </w:tcBorders>
            <w:shd w:val="clear" w:color="auto" w:fill="FFF1E7"/>
            <w:vAlign w:val="bottom"/>
          </w:tcPr>
          <w:p w14:paraId="606F6C5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5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C5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3,423</w:t>
            </w:r>
          </w:p>
        </w:tc>
        <w:tc>
          <w:tcPr>
            <w:tcW w:w="0" w:type="auto"/>
            <w:tcBorders>
              <w:top w:val="single" w:sz="8" w:space="0" w:color="E87722"/>
              <w:bottom w:val="single" w:sz="8" w:space="0" w:color="E87722"/>
            </w:tcBorders>
            <w:shd w:val="clear" w:color="auto" w:fill="auto"/>
            <w:vAlign w:val="bottom"/>
          </w:tcPr>
          <w:p w14:paraId="606F6C54" w14:textId="77777777" w:rsidR="00FB67F9" w:rsidRDefault="00FB67F9">
            <w:pPr>
              <w:textAlignment w:val="bottom"/>
              <w:rPr>
                <w:rFonts w:ascii="Times New Roman" w:hAnsi="Times New Roman"/>
                <w:sz w:val="20"/>
                <w:szCs w:val="20"/>
              </w:rPr>
            </w:pPr>
          </w:p>
        </w:tc>
      </w:tr>
      <w:tr w:rsidR="00FB67F9" w14:paraId="606F6C59" w14:textId="77777777">
        <w:tc>
          <w:tcPr>
            <w:tcW w:w="0" w:type="auto"/>
            <w:shd w:val="clear" w:color="auto" w:fill="auto"/>
            <w:tcMar>
              <w:top w:w="40" w:type="dxa"/>
              <w:left w:w="40" w:type="dxa"/>
              <w:bottom w:w="40" w:type="dxa"/>
              <w:right w:w="40" w:type="dxa"/>
            </w:tcMar>
            <w:vAlign w:val="bottom"/>
          </w:tcPr>
          <w:p w14:paraId="606F6C5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Supplemental disclosure of cash flow information:</w:t>
            </w:r>
          </w:p>
        </w:tc>
        <w:tc>
          <w:tcPr>
            <w:tcW w:w="0" w:type="auto"/>
            <w:gridSpan w:val="3"/>
            <w:shd w:val="clear" w:color="auto" w:fill="FFF1E7"/>
            <w:tcMar>
              <w:top w:w="40" w:type="dxa"/>
              <w:left w:w="40" w:type="dxa"/>
              <w:bottom w:w="40" w:type="dxa"/>
              <w:right w:w="40" w:type="dxa"/>
            </w:tcMar>
            <w:vAlign w:val="bottom"/>
          </w:tcPr>
          <w:p w14:paraId="606F6C5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6C5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6C6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C5A"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Non-cash additions to </w:t>
            </w:r>
            <w:r>
              <w:rPr>
                <w:rFonts w:ascii="Arial" w:eastAsia="宋体" w:hAnsi="Arial" w:cs="Arial"/>
                <w:sz w:val="17"/>
                <w:szCs w:val="17"/>
              </w:rPr>
              <w:t>property, plant and equipment</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6C5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6C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86</w:t>
            </w:r>
          </w:p>
        </w:tc>
        <w:tc>
          <w:tcPr>
            <w:tcW w:w="0" w:type="auto"/>
            <w:tcBorders>
              <w:top w:val="single" w:sz="8" w:space="0" w:color="808080"/>
              <w:bottom w:val="single" w:sz="8" w:space="0" w:color="808080"/>
            </w:tcBorders>
            <w:shd w:val="clear" w:color="auto" w:fill="FFF1E7"/>
            <w:vAlign w:val="bottom"/>
          </w:tcPr>
          <w:p w14:paraId="606F6C5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6C5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6C5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128</w:t>
            </w:r>
          </w:p>
        </w:tc>
        <w:tc>
          <w:tcPr>
            <w:tcW w:w="0" w:type="auto"/>
            <w:tcBorders>
              <w:top w:val="single" w:sz="8" w:space="0" w:color="808080"/>
              <w:bottom w:val="single" w:sz="8" w:space="0" w:color="808080"/>
            </w:tcBorders>
            <w:shd w:val="clear" w:color="auto" w:fill="auto"/>
            <w:vAlign w:val="bottom"/>
          </w:tcPr>
          <w:p w14:paraId="606F6C60" w14:textId="77777777" w:rsidR="00FB67F9" w:rsidRDefault="00FB67F9">
            <w:pPr>
              <w:textAlignment w:val="bottom"/>
              <w:rPr>
                <w:rFonts w:ascii="Times New Roman" w:hAnsi="Times New Roman"/>
                <w:sz w:val="20"/>
                <w:szCs w:val="20"/>
              </w:rPr>
            </w:pPr>
          </w:p>
        </w:tc>
      </w:tr>
      <w:tr w:rsidR="00FB67F9" w14:paraId="606F6C6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6C62" w14:textId="77777777" w:rsidR="00FB67F9" w:rsidRDefault="00E839DF">
            <w:pPr>
              <w:textAlignment w:val="bottom"/>
              <w:rPr>
                <w:rFonts w:ascii="Times New Roman" w:hAnsi="Times New Roman"/>
                <w:sz w:val="17"/>
                <w:szCs w:val="17"/>
              </w:rPr>
            </w:pPr>
            <w:r>
              <w:rPr>
                <w:rFonts w:ascii="Arial" w:eastAsia="宋体" w:hAnsi="Arial" w:cs="Arial"/>
                <w:sz w:val="17"/>
                <w:szCs w:val="17"/>
              </w:rPr>
              <w:t>Dividends declared and not paid</w:t>
            </w:r>
          </w:p>
        </w:tc>
        <w:tc>
          <w:tcPr>
            <w:tcW w:w="0" w:type="auto"/>
            <w:gridSpan w:val="2"/>
            <w:tcBorders>
              <w:bottom w:val="single" w:sz="8" w:space="0" w:color="E87722"/>
            </w:tcBorders>
            <w:shd w:val="clear" w:color="auto" w:fill="FFF1E7"/>
            <w:tcMar>
              <w:top w:w="40" w:type="dxa"/>
              <w:left w:w="40" w:type="dxa"/>
              <w:bottom w:w="40" w:type="dxa"/>
            </w:tcMar>
            <w:vAlign w:val="bottom"/>
          </w:tcPr>
          <w:p w14:paraId="606F6C6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384</w:t>
            </w:r>
          </w:p>
        </w:tc>
        <w:tc>
          <w:tcPr>
            <w:tcW w:w="0" w:type="auto"/>
            <w:tcBorders>
              <w:bottom w:val="single" w:sz="8" w:space="0" w:color="E87722"/>
            </w:tcBorders>
            <w:shd w:val="clear" w:color="auto" w:fill="FFF1E7"/>
            <w:vAlign w:val="bottom"/>
          </w:tcPr>
          <w:p w14:paraId="606F6C64"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6C6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348</w:t>
            </w:r>
          </w:p>
        </w:tc>
        <w:tc>
          <w:tcPr>
            <w:tcW w:w="0" w:type="auto"/>
            <w:tcBorders>
              <w:bottom w:val="single" w:sz="8" w:space="0" w:color="E87722"/>
            </w:tcBorders>
            <w:shd w:val="clear" w:color="auto" w:fill="auto"/>
            <w:vAlign w:val="bottom"/>
          </w:tcPr>
          <w:p w14:paraId="606F6C66" w14:textId="77777777" w:rsidR="00FB67F9" w:rsidRDefault="00FB67F9">
            <w:pPr>
              <w:textAlignment w:val="bottom"/>
              <w:rPr>
                <w:rFonts w:ascii="Times New Roman" w:hAnsi="Times New Roman"/>
                <w:sz w:val="20"/>
                <w:szCs w:val="20"/>
              </w:rPr>
            </w:pPr>
          </w:p>
        </w:tc>
      </w:tr>
    </w:tbl>
    <w:p w14:paraId="606F6C68"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The accompanying Notes to the Unaudited Condensed Consolidated Financial Statements are an integral part of this statement.</w:t>
      </w:r>
    </w:p>
    <w:p w14:paraId="606F6C69" w14:textId="77777777" w:rsidR="00FB67F9" w:rsidRDefault="00FB67F9">
      <w:pPr>
        <w:rPr>
          <w:rFonts w:ascii="Times New Roman" w:hAnsi="Times New Roman"/>
          <w:sz w:val="20"/>
          <w:szCs w:val="20"/>
        </w:rPr>
      </w:pPr>
    </w:p>
    <w:p w14:paraId="606F6C6A"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4</w:t>
      </w:r>
      <w:r>
        <w:rPr>
          <w:rFonts w:ascii="sans-serif" w:eastAsia="sans-serif" w:hAnsi="sans-serif" w:cs="sans-serif"/>
          <w:sz w:val="17"/>
          <w:szCs w:val="17"/>
        </w:rPr>
        <w:t xml:space="preserve"> </w:t>
      </w:r>
    </w:p>
    <w:p w14:paraId="606F6C6B" w14:textId="77777777" w:rsidR="00FB67F9" w:rsidRDefault="00E839DF">
      <w:r>
        <w:rPr>
          <w:rFonts w:ascii="Times New Roman" w:hAnsi="Times New Roman"/>
          <w:sz w:val="17"/>
          <w:szCs w:val="17"/>
        </w:rPr>
        <w:pict w14:anchorId="606F8F81">
          <v:rect id="_x0000_i1030" style="width:415.3pt;height:1.5pt" o:hralign="center" o:hrstd="t" o:hr="t" fillcolor="#a0a0a0" stroked="f"/>
        </w:pict>
      </w:r>
    </w:p>
    <w:p w14:paraId="606F6C6C" w14:textId="77777777" w:rsidR="00FB67F9" w:rsidRDefault="00FB67F9">
      <w:pPr>
        <w:rPr>
          <w:rFonts w:ascii="Times New Roman" w:hAnsi="Times New Roman"/>
          <w:sz w:val="17"/>
          <w:szCs w:val="17"/>
        </w:rPr>
      </w:pPr>
    </w:p>
    <w:p w14:paraId="606F6C6D" w14:textId="77777777" w:rsidR="00FB67F9" w:rsidRDefault="00E839DF">
      <w:pPr>
        <w:rPr>
          <w:rFonts w:ascii="Times New Roman" w:hAnsi="Times New Roman"/>
          <w:sz w:val="17"/>
          <w:szCs w:val="17"/>
        </w:rPr>
      </w:pPr>
      <w:hyperlink r:id="rId48" w:anchor="s42C493F7582652B69E70047AB812E6A5" w:history="1">
        <w:r>
          <w:rPr>
            <w:rStyle w:val="a5"/>
            <w:rFonts w:ascii="sans-serif" w:eastAsia="sans-serif" w:hAnsi="sans-serif" w:cs="sans-serif"/>
            <w:sz w:val="17"/>
            <w:szCs w:val="17"/>
          </w:rPr>
          <w:t>Table of Contents</w:t>
        </w:r>
      </w:hyperlink>
    </w:p>
    <w:p w14:paraId="606F6C6E" w14:textId="77777777" w:rsidR="00FB67F9" w:rsidRDefault="00FB67F9">
      <w:pPr>
        <w:rPr>
          <w:rFonts w:ascii="Times New Roman" w:hAnsi="Times New Roman"/>
          <w:sz w:val="17"/>
          <w:szCs w:val="17"/>
        </w:rPr>
      </w:pPr>
    </w:p>
    <w:p w14:paraId="606F6C6F" w14:textId="77777777" w:rsidR="00FB67F9" w:rsidRDefault="00FB67F9">
      <w:pPr>
        <w:rPr>
          <w:rFonts w:ascii="Times New Roman" w:hAnsi="Times New Roman"/>
          <w:sz w:val="20"/>
          <w:szCs w:val="20"/>
        </w:rPr>
      </w:pPr>
    </w:p>
    <w:p w14:paraId="606F6C70"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NIKE, INC.</w:t>
      </w:r>
    </w:p>
    <w:p w14:paraId="606F6C71"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 xml:space="preserve">UNAUDITED CONDENSED CONSOLIDATED STATEMENTS OF </w:t>
      </w:r>
      <w:r>
        <w:rPr>
          <w:rFonts w:ascii="sans-serif" w:eastAsia="sans-serif" w:hAnsi="sans-serif" w:cs="sans-serif"/>
          <w:b/>
          <w:bCs/>
          <w:color w:val="000000"/>
          <w:sz w:val="28"/>
          <w:szCs w:val="28"/>
        </w:rPr>
        <w:t>SHAREHOLDERS' EQUITY</w:t>
      </w:r>
    </w:p>
    <w:tbl>
      <w:tblPr>
        <w:tblW w:w="5000" w:type="pct"/>
        <w:jc w:val="center"/>
        <w:tblCellMar>
          <w:left w:w="0" w:type="dxa"/>
          <w:right w:w="0" w:type="dxa"/>
        </w:tblCellMar>
        <w:tblLook w:val="04A0" w:firstRow="1" w:lastRow="0" w:firstColumn="1" w:lastColumn="0" w:noHBand="0" w:noVBand="1"/>
      </w:tblPr>
      <w:tblGrid>
        <w:gridCol w:w="1483"/>
        <w:gridCol w:w="590"/>
        <w:gridCol w:w="6"/>
        <w:gridCol w:w="135"/>
        <w:gridCol w:w="612"/>
        <w:gridCol w:w="6"/>
        <w:gridCol w:w="130"/>
        <w:gridCol w:w="590"/>
        <w:gridCol w:w="97"/>
        <w:gridCol w:w="135"/>
        <w:gridCol w:w="612"/>
        <w:gridCol w:w="6"/>
        <w:gridCol w:w="136"/>
        <w:gridCol w:w="712"/>
        <w:gridCol w:w="97"/>
        <w:gridCol w:w="136"/>
        <w:gridCol w:w="1167"/>
        <w:gridCol w:w="97"/>
        <w:gridCol w:w="136"/>
        <w:gridCol w:w="668"/>
        <w:gridCol w:w="97"/>
        <w:gridCol w:w="135"/>
        <w:gridCol w:w="426"/>
        <w:gridCol w:w="97"/>
      </w:tblGrid>
      <w:tr w:rsidR="00FB67F9" w14:paraId="606F6C73" w14:textId="77777777">
        <w:trPr>
          <w:jc w:val="center"/>
        </w:trPr>
        <w:tc>
          <w:tcPr>
            <w:tcW w:w="0" w:type="auto"/>
            <w:gridSpan w:val="24"/>
            <w:shd w:val="clear" w:color="auto" w:fill="auto"/>
            <w:vAlign w:val="center"/>
          </w:tcPr>
          <w:p w14:paraId="606F6C72" w14:textId="77777777" w:rsidR="00FB67F9" w:rsidRDefault="00FB67F9">
            <w:pPr>
              <w:rPr>
                <w:rFonts w:ascii="Times New Roman" w:hAnsi="Times New Roman"/>
                <w:sz w:val="20"/>
                <w:szCs w:val="20"/>
              </w:rPr>
            </w:pPr>
          </w:p>
        </w:tc>
      </w:tr>
      <w:tr w:rsidR="00FB67F9" w14:paraId="606F6C8C" w14:textId="77777777">
        <w:trPr>
          <w:jc w:val="center"/>
        </w:trPr>
        <w:tc>
          <w:tcPr>
            <w:tcW w:w="1550" w:type="pct"/>
            <w:shd w:val="clear" w:color="auto" w:fill="auto"/>
            <w:vAlign w:val="center"/>
          </w:tcPr>
          <w:p w14:paraId="606F6C74" w14:textId="77777777" w:rsidR="00FB67F9" w:rsidRDefault="00FB67F9">
            <w:pPr>
              <w:rPr>
                <w:rFonts w:ascii="Times New Roman" w:hAnsi="Times New Roman"/>
                <w:sz w:val="20"/>
                <w:szCs w:val="20"/>
              </w:rPr>
            </w:pPr>
          </w:p>
        </w:tc>
        <w:tc>
          <w:tcPr>
            <w:tcW w:w="300" w:type="pct"/>
            <w:shd w:val="clear" w:color="auto" w:fill="auto"/>
            <w:vAlign w:val="center"/>
          </w:tcPr>
          <w:p w14:paraId="606F6C75" w14:textId="77777777" w:rsidR="00FB67F9" w:rsidRDefault="00FB67F9">
            <w:pPr>
              <w:rPr>
                <w:rFonts w:ascii="Times New Roman" w:hAnsi="Times New Roman"/>
                <w:sz w:val="20"/>
                <w:szCs w:val="20"/>
              </w:rPr>
            </w:pPr>
          </w:p>
        </w:tc>
        <w:tc>
          <w:tcPr>
            <w:tcW w:w="50" w:type="pct"/>
            <w:shd w:val="clear" w:color="auto" w:fill="auto"/>
            <w:vAlign w:val="center"/>
          </w:tcPr>
          <w:p w14:paraId="606F6C76" w14:textId="77777777" w:rsidR="00FB67F9" w:rsidRDefault="00FB67F9">
            <w:pPr>
              <w:rPr>
                <w:rFonts w:ascii="Times New Roman" w:hAnsi="Times New Roman"/>
                <w:sz w:val="20"/>
                <w:szCs w:val="20"/>
              </w:rPr>
            </w:pPr>
          </w:p>
        </w:tc>
        <w:tc>
          <w:tcPr>
            <w:tcW w:w="50" w:type="pct"/>
            <w:shd w:val="clear" w:color="auto" w:fill="auto"/>
            <w:vAlign w:val="center"/>
          </w:tcPr>
          <w:p w14:paraId="606F6C77" w14:textId="77777777" w:rsidR="00FB67F9" w:rsidRDefault="00FB67F9">
            <w:pPr>
              <w:rPr>
                <w:rFonts w:ascii="Times New Roman" w:hAnsi="Times New Roman"/>
                <w:sz w:val="20"/>
                <w:szCs w:val="20"/>
              </w:rPr>
            </w:pPr>
          </w:p>
        </w:tc>
        <w:tc>
          <w:tcPr>
            <w:tcW w:w="300" w:type="pct"/>
            <w:shd w:val="clear" w:color="auto" w:fill="auto"/>
            <w:vAlign w:val="center"/>
          </w:tcPr>
          <w:p w14:paraId="606F6C78" w14:textId="77777777" w:rsidR="00FB67F9" w:rsidRDefault="00FB67F9">
            <w:pPr>
              <w:rPr>
                <w:rFonts w:ascii="Times New Roman" w:hAnsi="Times New Roman"/>
                <w:sz w:val="20"/>
                <w:szCs w:val="20"/>
              </w:rPr>
            </w:pPr>
          </w:p>
        </w:tc>
        <w:tc>
          <w:tcPr>
            <w:tcW w:w="50" w:type="pct"/>
            <w:shd w:val="clear" w:color="auto" w:fill="auto"/>
            <w:vAlign w:val="center"/>
          </w:tcPr>
          <w:p w14:paraId="606F6C79" w14:textId="77777777" w:rsidR="00FB67F9" w:rsidRDefault="00FB67F9">
            <w:pPr>
              <w:rPr>
                <w:rFonts w:ascii="Times New Roman" w:hAnsi="Times New Roman"/>
                <w:sz w:val="20"/>
                <w:szCs w:val="20"/>
              </w:rPr>
            </w:pPr>
          </w:p>
        </w:tc>
        <w:tc>
          <w:tcPr>
            <w:tcW w:w="50" w:type="pct"/>
            <w:shd w:val="clear" w:color="auto" w:fill="auto"/>
            <w:vAlign w:val="center"/>
          </w:tcPr>
          <w:p w14:paraId="606F6C7A" w14:textId="77777777" w:rsidR="00FB67F9" w:rsidRDefault="00FB67F9">
            <w:pPr>
              <w:rPr>
                <w:rFonts w:ascii="Times New Roman" w:hAnsi="Times New Roman"/>
                <w:sz w:val="20"/>
                <w:szCs w:val="20"/>
              </w:rPr>
            </w:pPr>
          </w:p>
        </w:tc>
        <w:tc>
          <w:tcPr>
            <w:tcW w:w="300" w:type="pct"/>
            <w:shd w:val="clear" w:color="auto" w:fill="auto"/>
            <w:vAlign w:val="center"/>
          </w:tcPr>
          <w:p w14:paraId="606F6C7B" w14:textId="77777777" w:rsidR="00FB67F9" w:rsidRDefault="00FB67F9">
            <w:pPr>
              <w:rPr>
                <w:rFonts w:ascii="Times New Roman" w:hAnsi="Times New Roman"/>
                <w:sz w:val="20"/>
                <w:szCs w:val="20"/>
              </w:rPr>
            </w:pPr>
          </w:p>
        </w:tc>
        <w:tc>
          <w:tcPr>
            <w:tcW w:w="50" w:type="pct"/>
            <w:shd w:val="clear" w:color="auto" w:fill="auto"/>
            <w:vAlign w:val="center"/>
          </w:tcPr>
          <w:p w14:paraId="606F6C7C" w14:textId="77777777" w:rsidR="00FB67F9" w:rsidRDefault="00FB67F9">
            <w:pPr>
              <w:rPr>
                <w:rFonts w:ascii="Times New Roman" w:hAnsi="Times New Roman"/>
                <w:sz w:val="20"/>
                <w:szCs w:val="20"/>
              </w:rPr>
            </w:pPr>
          </w:p>
        </w:tc>
        <w:tc>
          <w:tcPr>
            <w:tcW w:w="50" w:type="pct"/>
            <w:shd w:val="clear" w:color="auto" w:fill="auto"/>
            <w:vAlign w:val="center"/>
          </w:tcPr>
          <w:p w14:paraId="606F6C7D" w14:textId="77777777" w:rsidR="00FB67F9" w:rsidRDefault="00FB67F9">
            <w:pPr>
              <w:rPr>
                <w:rFonts w:ascii="Times New Roman" w:hAnsi="Times New Roman"/>
                <w:sz w:val="20"/>
                <w:szCs w:val="20"/>
              </w:rPr>
            </w:pPr>
          </w:p>
        </w:tc>
        <w:tc>
          <w:tcPr>
            <w:tcW w:w="300" w:type="pct"/>
            <w:shd w:val="clear" w:color="auto" w:fill="auto"/>
            <w:vAlign w:val="center"/>
          </w:tcPr>
          <w:p w14:paraId="606F6C7E" w14:textId="77777777" w:rsidR="00FB67F9" w:rsidRDefault="00FB67F9">
            <w:pPr>
              <w:rPr>
                <w:rFonts w:ascii="Times New Roman" w:hAnsi="Times New Roman"/>
                <w:sz w:val="20"/>
                <w:szCs w:val="20"/>
              </w:rPr>
            </w:pPr>
          </w:p>
        </w:tc>
        <w:tc>
          <w:tcPr>
            <w:tcW w:w="50" w:type="pct"/>
            <w:shd w:val="clear" w:color="auto" w:fill="auto"/>
            <w:vAlign w:val="center"/>
          </w:tcPr>
          <w:p w14:paraId="606F6C7F" w14:textId="77777777" w:rsidR="00FB67F9" w:rsidRDefault="00FB67F9">
            <w:pPr>
              <w:rPr>
                <w:rFonts w:ascii="Times New Roman" w:hAnsi="Times New Roman"/>
                <w:sz w:val="20"/>
                <w:szCs w:val="20"/>
              </w:rPr>
            </w:pPr>
          </w:p>
        </w:tc>
        <w:tc>
          <w:tcPr>
            <w:tcW w:w="50" w:type="pct"/>
            <w:shd w:val="clear" w:color="auto" w:fill="auto"/>
            <w:vAlign w:val="center"/>
          </w:tcPr>
          <w:p w14:paraId="606F6C80" w14:textId="77777777" w:rsidR="00FB67F9" w:rsidRDefault="00FB67F9">
            <w:pPr>
              <w:rPr>
                <w:rFonts w:ascii="Times New Roman" w:hAnsi="Times New Roman"/>
                <w:sz w:val="20"/>
                <w:szCs w:val="20"/>
              </w:rPr>
            </w:pPr>
          </w:p>
        </w:tc>
        <w:tc>
          <w:tcPr>
            <w:tcW w:w="350" w:type="pct"/>
            <w:shd w:val="clear" w:color="auto" w:fill="auto"/>
            <w:vAlign w:val="center"/>
          </w:tcPr>
          <w:p w14:paraId="606F6C81" w14:textId="77777777" w:rsidR="00FB67F9" w:rsidRDefault="00FB67F9">
            <w:pPr>
              <w:rPr>
                <w:rFonts w:ascii="Times New Roman" w:hAnsi="Times New Roman"/>
                <w:sz w:val="20"/>
                <w:szCs w:val="20"/>
              </w:rPr>
            </w:pPr>
          </w:p>
        </w:tc>
        <w:tc>
          <w:tcPr>
            <w:tcW w:w="50" w:type="pct"/>
            <w:shd w:val="clear" w:color="auto" w:fill="auto"/>
            <w:vAlign w:val="center"/>
          </w:tcPr>
          <w:p w14:paraId="606F6C82" w14:textId="77777777" w:rsidR="00FB67F9" w:rsidRDefault="00FB67F9">
            <w:pPr>
              <w:rPr>
                <w:rFonts w:ascii="Times New Roman" w:hAnsi="Times New Roman"/>
                <w:sz w:val="20"/>
                <w:szCs w:val="20"/>
              </w:rPr>
            </w:pPr>
          </w:p>
        </w:tc>
        <w:tc>
          <w:tcPr>
            <w:tcW w:w="50" w:type="pct"/>
            <w:shd w:val="clear" w:color="auto" w:fill="auto"/>
            <w:vAlign w:val="center"/>
          </w:tcPr>
          <w:p w14:paraId="606F6C83" w14:textId="77777777" w:rsidR="00FB67F9" w:rsidRDefault="00FB67F9">
            <w:pPr>
              <w:rPr>
                <w:rFonts w:ascii="Times New Roman" w:hAnsi="Times New Roman"/>
                <w:sz w:val="20"/>
                <w:szCs w:val="20"/>
              </w:rPr>
            </w:pPr>
          </w:p>
        </w:tc>
        <w:tc>
          <w:tcPr>
            <w:tcW w:w="550" w:type="pct"/>
            <w:shd w:val="clear" w:color="auto" w:fill="auto"/>
            <w:vAlign w:val="center"/>
          </w:tcPr>
          <w:p w14:paraId="606F6C84" w14:textId="77777777" w:rsidR="00FB67F9" w:rsidRDefault="00FB67F9">
            <w:pPr>
              <w:rPr>
                <w:rFonts w:ascii="Times New Roman" w:hAnsi="Times New Roman"/>
                <w:sz w:val="20"/>
                <w:szCs w:val="20"/>
              </w:rPr>
            </w:pPr>
          </w:p>
        </w:tc>
        <w:tc>
          <w:tcPr>
            <w:tcW w:w="50" w:type="pct"/>
            <w:shd w:val="clear" w:color="auto" w:fill="auto"/>
            <w:vAlign w:val="center"/>
          </w:tcPr>
          <w:p w14:paraId="606F6C85" w14:textId="77777777" w:rsidR="00FB67F9" w:rsidRDefault="00FB67F9">
            <w:pPr>
              <w:rPr>
                <w:rFonts w:ascii="Times New Roman" w:hAnsi="Times New Roman"/>
                <w:sz w:val="20"/>
                <w:szCs w:val="20"/>
              </w:rPr>
            </w:pPr>
          </w:p>
        </w:tc>
        <w:tc>
          <w:tcPr>
            <w:tcW w:w="50" w:type="pct"/>
            <w:shd w:val="clear" w:color="auto" w:fill="auto"/>
            <w:vAlign w:val="center"/>
          </w:tcPr>
          <w:p w14:paraId="606F6C86" w14:textId="77777777" w:rsidR="00FB67F9" w:rsidRDefault="00FB67F9">
            <w:pPr>
              <w:rPr>
                <w:rFonts w:ascii="Times New Roman" w:hAnsi="Times New Roman"/>
                <w:sz w:val="20"/>
                <w:szCs w:val="20"/>
              </w:rPr>
            </w:pPr>
          </w:p>
        </w:tc>
        <w:tc>
          <w:tcPr>
            <w:tcW w:w="300" w:type="pct"/>
            <w:shd w:val="clear" w:color="auto" w:fill="auto"/>
            <w:vAlign w:val="center"/>
          </w:tcPr>
          <w:p w14:paraId="606F6C87" w14:textId="77777777" w:rsidR="00FB67F9" w:rsidRDefault="00FB67F9">
            <w:pPr>
              <w:rPr>
                <w:rFonts w:ascii="Times New Roman" w:hAnsi="Times New Roman"/>
                <w:sz w:val="20"/>
                <w:szCs w:val="20"/>
              </w:rPr>
            </w:pPr>
          </w:p>
        </w:tc>
        <w:tc>
          <w:tcPr>
            <w:tcW w:w="50" w:type="pct"/>
            <w:shd w:val="clear" w:color="auto" w:fill="auto"/>
            <w:vAlign w:val="center"/>
          </w:tcPr>
          <w:p w14:paraId="606F6C88" w14:textId="77777777" w:rsidR="00FB67F9" w:rsidRDefault="00FB67F9">
            <w:pPr>
              <w:rPr>
                <w:rFonts w:ascii="Times New Roman" w:hAnsi="Times New Roman"/>
                <w:sz w:val="20"/>
                <w:szCs w:val="20"/>
              </w:rPr>
            </w:pPr>
          </w:p>
        </w:tc>
        <w:tc>
          <w:tcPr>
            <w:tcW w:w="50" w:type="pct"/>
            <w:shd w:val="clear" w:color="auto" w:fill="auto"/>
            <w:vAlign w:val="center"/>
          </w:tcPr>
          <w:p w14:paraId="606F6C89" w14:textId="77777777" w:rsidR="00FB67F9" w:rsidRDefault="00FB67F9">
            <w:pPr>
              <w:rPr>
                <w:rFonts w:ascii="Times New Roman" w:hAnsi="Times New Roman"/>
                <w:sz w:val="20"/>
                <w:szCs w:val="20"/>
              </w:rPr>
            </w:pPr>
          </w:p>
        </w:tc>
        <w:tc>
          <w:tcPr>
            <w:tcW w:w="300" w:type="pct"/>
            <w:shd w:val="clear" w:color="auto" w:fill="auto"/>
            <w:vAlign w:val="center"/>
          </w:tcPr>
          <w:p w14:paraId="606F6C8A" w14:textId="77777777" w:rsidR="00FB67F9" w:rsidRDefault="00FB67F9">
            <w:pPr>
              <w:rPr>
                <w:rFonts w:ascii="Times New Roman" w:hAnsi="Times New Roman"/>
                <w:sz w:val="20"/>
                <w:szCs w:val="20"/>
              </w:rPr>
            </w:pPr>
          </w:p>
        </w:tc>
        <w:tc>
          <w:tcPr>
            <w:tcW w:w="50" w:type="pct"/>
            <w:shd w:val="clear" w:color="auto" w:fill="auto"/>
            <w:vAlign w:val="center"/>
          </w:tcPr>
          <w:p w14:paraId="606F6C8B" w14:textId="77777777" w:rsidR="00FB67F9" w:rsidRDefault="00FB67F9">
            <w:pPr>
              <w:rPr>
                <w:rFonts w:ascii="Times New Roman" w:hAnsi="Times New Roman"/>
                <w:sz w:val="20"/>
                <w:szCs w:val="20"/>
              </w:rPr>
            </w:pPr>
          </w:p>
        </w:tc>
      </w:tr>
      <w:tr w:rsidR="00FB67F9" w14:paraId="606F6C97" w14:textId="77777777">
        <w:trPr>
          <w:jc w:val="center"/>
        </w:trPr>
        <w:tc>
          <w:tcPr>
            <w:tcW w:w="0" w:type="auto"/>
            <w:shd w:val="clear" w:color="auto" w:fill="auto"/>
            <w:tcMar>
              <w:top w:w="40" w:type="dxa"/>
              <w:left w:w="40" w:type="dxa"/>
              <w:bottom w:w="40" w:type="dxa"/>
              <w:right w:w="40" w:type="dxa"/>
            </w:tcMar>
            <w:vAlign w:val="bottom"/>
          </w:tcPr>
          <w:p w14:paraId="606F6C8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E87722"/>
            </w:tcBorders>
            <w:shd w:val="clear" w:color="auto" w:fill="auto"/>
            <w:tcMar>
              <w:top w:w="40" w:type="dxa"/>
              <w:left w:w="40" w:type="dxa"/>
              <w:bottom w:w="40" w:type="dxa"/>
            </w:tcMar>
            <w:vAlign w:val="bottom"/>
          </w:tcPr>
          <w:p w14:paraId="606F6C8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COMMON STOCK</w:t>
            </w:r>
          </w:p>
        </w:tc>
        <w:tc>
          <w:tcPr>
            <w:tcW w:w="0" w:type="auto"/>
            <w:gridSpan w:val="2"/>
            <w:vMerge w:val="restart"/>
            <w:shd w:val="clear" w:color="auto" w:fill="auto"/>
            <w:tcMar>
              <w:top w:w="40" w:type="dxa"/>
              <w:left w:w="40" w:type="dxa"/>
              <w:bottom w:w="40" w:type="dxa"/>
            </w:tcMar>
            <w:vAlign w:val="bottom"/>
          </w:tcPr>
          <w:p w14:paraId="606F6C8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CAPITAL IN EXCESS OF STATED VALUE</w:t>
            </w:r>
          </w:p>
        </w:tc>
        <w:tc>
          <w:tcPr>
            <w:tcW w:w="0" w:type="auto"/>
            <w:vMerge w:val="restart"/>
            <w:shd w:val="clear" w:color="auto" w:fill="auto"/>
            <w:vAlign w:val="bottom"/>
          </w:tcPr>
          <w:p w14:paraId="606F6C90"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C9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ACCUMULATED OTHER COMPREHENSIVE INCOME (LOSS)</w:t>
            </w:r>
          </w:p>
        </w:tc>
        <w:tc>
          <w:tcPr>
            <w:tcW w:w="0" w:type="auto"/>
            <w:vMerge w:val="restart"/>
            <w:shd w:val="clear" w:color="auto" w:fill="auto"/>
            <w:vAlign w:val="bottom"/>
          </w:tcPr>
          <w:p w14:paraId="606F6C92"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C9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RETAINED EARNINGS</w:t>
            </w:r>
          </w:p>
        </w:tc>
        <w:tc>
          <w:tcPr>
            <w:tcW w:w="0" w:type="auto"/>
            <w:vMerge w:val="restart"/>
            <w:shd w:val="clear" w:color="auto" w:fill="auto"/>
            <w:vAlign w:val="bottom"/>
          </w:tcPr>
          <w:p w14:paraId="606F6C94"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C9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vMerge w:val="restart"/>
            <w:shd w:val="clear" w:color="auto" w:fill="auto"/>
            <w:vAlign w:val="bottom"/>
          </w:tcPr>
          <w:p w14:paraId="606F6C96" w14:textId="77777777" w:rsidR="00FB67F9" w:rsidRDefault="00FB67F9">
            <w:pPr>
              <w:textAlignment w:val="bottom"/>
              <w:rPr>
                <w:rFonts w:ascii="Times New Roman" w:hAnsi="Times New Roman"/>
                <w:sz w:val="20"/>
                <w:szCs w:val="20"/>
              </w:rPr>
            </w:pPr>
          </w:p>
        </w:tc>
      </w:tr>
      <w:tr w:rsidR="00FB67F9" w14:paraId="606F6CA4" w14:textId="77777777">
        <w:trPr>
          <w:jc w:val="center"/>
        </w:trPr>
        <w:tc>
          <w:tcPr>
            <w:tcW w:w="0" w:type="auto"/>
            <w:shd w:val="clear" w:color="auto" w:fill="auto"/>
            <w:tcMar>
              <w:top w:w="40" w:type="dxa"/>
              <w:left w:w="40" w:type="dxa"/>
              <w:bottom w:w="40" w:type="dxa"/>
              <w:right w:w="40" w:type="dxa"/>
            </w:tcMar>
            <w:vAlign w:val="bottom"/>
          </w:tcPr>
          <w:p w14:paraId="606F6C9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C9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A</w:t>
            </w:r>
          </w:p>
        </w:tc>
        <w:tc>
          <w:tcPr>
            <w:tcW w:w="0" w:type="auto"/>
            <w:shd w:val="clear" w:color="auto" w:fill="auto"/>
            <w:tcMar>
              <w:top w:w="40" w:type="dxa"/>
              <w:left w:w="40" w:type="dxa"/>
              <w:bottom w:w="40" w:type="dxa"/>
              <w:right w:w="40" w:type="dxa"/>
            </w:tcMar>
            <w:vAlign w:val="bottom"/>
          </w:tcPr>
          <w:p w14:paraId="606F6C9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C9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B</w:t>
            </w:r>
          </w:p>
        </w:tc>
        <w:tc>
          <w:tcPr>
            <w:tcW w:w="0" w:type="auto"/>
            <w:gridSpan w:val="2"/>
            <w:vMerge/>
            <w:shd w:val="clear" w:color="auto" w:fill="auto"/>
            <w:tcMar>
              <w:top w:w="40" w:type="dxa"/>
              <w:left w:w="40" w:type="dxa"/>
              <w:bottom w:w="40" w:type="dxa"/>
            </w:tcMar>
            <w:vAlign w:val="bottom"/>
          </w:tcPr>
          <w:p w14:paraId="606F6C9C" w14:textId="77777777" w:rsidR="00FB67F9" w:rsidRDefault="00FB67F9">
            <w:pPr>
              <w:rPr>
                <w:rFonts w:ascii="Times New Roman" w:hAnsi="Times New Roman"/>
                <w:sz w:val="20"/>
                <w:szCs w:val="20"/>
              </w:rPr>
            </w:pPr>
          </w:p>
        </w:tc>
        <w:tc>
          <w:tcPr>
            <w:tcW w:w="0" w:type="auto"/>
            <w:vMerge/>
            <w:shd w:val="clear" w:color="auto" w:fill="auto"/>
            <w:vAlign w:val="bottom"/>
          </w:tcPr>
          <w:p w14:paraId="606F6C9D"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C9E" w14:textId="77777777" w:rsidR="00FB67F9" w:rsidRDefault="00FB67F9">
            <w:pPr>
              <w:rPr>
                <w:rFonts w:ascii="Times New Roman" w:hAnsi="Times New Roman"/>
                <w:sz w:val="20"/>
                <w:szCs w:val="20"/>
              </w:rPr>
            </w:pPr>
          </w:p>
        </w:tc>
        <w:tc>
          <w:tcPr>
            <w:tcW w:w="0" w:type="auto"/>
            <w:vMerge/>
            <w:shd w:val="clear" w:color="auto" w:fill="auto"/>
            <w:vAlign w:val="bottom"/>
          </w:tcPr>
          <w:p w14:paraId="606F6C9F"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CA0" w14:textId="77777777" w:rsidR="00FB67F9" w:rsidRDefault="00FB67F9">
            <w:pPr>
              <w:rPr>
                <w:rFonts w:ascii="Times New Roman" w:hAnsi="Times New Roman"/>
                <w:sz w:val="20"/>
                <w:szCs w:val="20"/>
              </w:rPr>
            </w:pPr>
          </w:p>
        </w:tc>
        <w:tc>
          <w:tcPr>
            <w:tcW w:w="0" w:type="auto"/>
            <w:vMerge/>
            <w:shd w:val="clear" w:color="auto" w:fill="auto"/>
            <w:vAlign w:val="bottom"/>
          </w:tcPr>
          <w:p w14:paraId="606F6CA1"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CA2" w14:textId="77777777" w:rsidR="00FB67F9" w:rsidRDefault="00FB67F9">
            <w:pPr>
              <w:rPr>
                <w:rFonts w:ascii="Times New Roman" w:hAnsi="Times New Roman"/>
                <w:sz w:val="20"/>
                <w:szCs w:val="20"/>
              </w:rPr>
            </w:pPr>
          </w:p>
        </w:tc>
        <w:tc>
          <w:tcPr>
            <w:tcW w:w="0" w:type="auto"/>
            <w:vMerge/>
            <w:shd w:val="clear" w:color="auto" w:fill="auto"/>
            <w:vAlign w:val="bottom"/>
          </w:tcPr>
          <w:p w14:paraId="606F6CA3" w14:textId="77777777" w:rsidR="00FB67F9" w:rsidRDefault="00FB67F9">
            <w:pPr>
              <w:rPr>
                <w:rFonts w:ascii="Times New Roman" w:hAnsi="Times New Roman"/>
                <w:sz w:val="20"/>
                <w:szCs w:val="20"/>
              </w:rPr>
            </w:pPr>
          </w:p>
        </w:tc>
      </w:tr>
      <w:tr w:rsidR="00FB67F9" w14:paraId="606F6CB7" w14:textId="77777777">
        <w:trPr>
          <w:jc w:val="center"/>
        </w:trPr>
        <w:tc>
          <w:tcPr>
            <w:tcW w:w="0" w:type="auto"/>
            <w:shd w:val="clear" w:color="auto" w:fill="auto"/>
            <w:tcMar>
              <w:top w:w="40" w:type="dxa"/>
              <w:left w:w="40" w:type="dxa"/>
              <w:bottom w:w="40" w:type="dxa"/>
              <w:right w:w="40" w:type="dxa"/>
            </w:tcMar>
            <w:vAlign w:val="bottom"/>
          </w:tcPr>
          <w:p w14:paraId="606F6CA5"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shd w:val="clear" w:color="auto" w:fill="auto"/>
            <w:tcMar>
              <w:top w:w="40" w:type="dxa"/>
              <w:left w:w="40" w:type="dxa"/>
              <w:bottom w:w="40" w:type="dxa"/>
            </w:tcMar>
            <w:vAlign w:val="bottom"/>
          </w:tcPr>
          <w:p w14:paraId="606F6CA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shd w:val="clear" w:color="auto" w:fill="auto"/>
            <w:vAlign w:val="bottom"/>
          </w:tcPr>
          <w:p w14:paraId="606F6CA7"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CA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shd w:val="clear" w:color="auto" w:fill="auto"/>
            <w:vAlign w:val="bottom"/>
          </w:tcPr>
          <w:p w14:paraId="606F6CA9"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CA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06F6CA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shd w:val="clear" w:color="auto" w:fill="auto"/>
            <w:vAlign w:val="bottom"/>
          </w:tcPr>
          <w:p w14:paraId="606F6CAC"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CA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shd w:val="clear" w:color="auto" w:fill="auto"/>
            <w:vAlign w:val="bottom"/>
          </w:tcPr>
          <w:p w14:paraId="606F6CAE" w14:textId="77777777" w:rsidR="00FB67F9" w:rsidRDefault="00FB67F9">
            <w:pPr>
              <w:textAlignment w:val="bottom"/>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CAF" w14:textId="77777777" w:rsidR="00FB67F9" w:rsidRDefault="00FB67F9">
            <w:pPr>
              <w:rPr>
                <w:rFonts w:ascii="Times New Roman" w:hAnsi="Times New Roman"/>
                <w:sz w:val="20"/>
                <w:szCs w:val="20"/>
              </w:rPr>
            </w:pPr>
          </w:p>
        </w:tc>
        <w:tc>
          <w:tcPr>
            <w:tcW w:w="0" w:type="auto"/>
            <w:vMerge/>
            <w:shd w:val="clear" w:color="auto" w:fill="auto"/>
            <w:vAlign w:val="bottom"/>
          </w:tcPr>
          <w:p w14:paraId="606F6CB0"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CB1" w14:textId="77777777" w:rsidR="00FB67F9" w:rsidRDefault="00FB67F9">
            <w:pPr>
              <w:rPr>
                <w:rFonts w:ascii="Times New Roman" w:hAnsi="Times New Roman"/>
                <w:sz w:val="20"/>
                <w:szCs w:val="20"/>
              </w:rPr>
            </w:pPr>
          </w:p>
        </w:tc>
        <w:tc>
          <w:tcPr>
            <w:tcW w:w="0" w:type="auto"/>
            <w:vMerge/>
            <w:shd w:val="clear" w:color="auto" w:fill="auto"/>
            <w:vAlign w:val="bottom"/>
          </w:tcPr>
          <w:p w14:paraId="606F6CB2"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CB3" w14:textId="77777777" w:rsidR="00FB67F9" w:rsidRDefault="00FB67F9">
            <w:pPr>
              <w:rPr>
                <w:rFonts w:ascii="Times New Roman" w:hAnsi="Times New Roman"/>
                <w:sz w:val="20"/>
                <w:szCs w:val="20"/>
              </w:rPr>
            </w:pPr>
          </w:p>
        </w:tc>
        <w:tc>
          <w:tcPr>
            <w:tcW w:w="0" w:type="auto"/>
            <w:vMerge/>
            <w:shd w:val="clear" w:color="auto" w:fill="auto"/>
            <w:vAlign w:val="bottom"/>
          </w:tcPr>
          <w:p w14:paraId="606F6CB4"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CB5" w14:textId="77777777" w:rsidR="00FB67F9" w:rsidRDefault="00FB67F9">
            <w:pPr>
              <w:rPr>
                <w:rFonts w:ascii="Times New Roman" w:hAnsi="Times New Roman"/>
                <w:sz w:val="20"/>
                <w:szCs w:val="20"/>
              </w:rPr>
            </w:pPr>
          </w:p>
        </w:tc>
        <w:tc>
          <w:tcPr>
            <w:tcW w:w="0" w:type="auto"/>
            <w:vMerge/>
            <w:shd w:val="clear" w:color="auto" w:fill="auto"/>
            <w:vAlign w:val="bottom"/>
          </w:tcPr>
          <w:p w14:paraId="606F6CB6" w14:textId="77777777" w:rsidR="00FB67F9" w:rsidRDefault="00FB67F9">
            <w:pPr>
              <w:rPr>
                <w:rFonts w:ascii="Times New Roman" w:hAnsi="Times New Roman"/>
                <w:sz w:val="20"/>
                <w:szCs w:val="20"/>
              </w:rPr>
            </w:pPr>
          </w:p>
        </w:tc>
      </w:tr>
      <w:tr w:rsidR="00FB67F9" w14:paraId="606F6CD0"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CB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August 31, 2019</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B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top w:val="single" w:sz="8" w:space="0" w:color="E87722"/>
              <w:bottom w:val="single" w:sz="8" w:space="0" w:color="E87722"/>
            </w:tcBorders>
            <w:shd w:val="clear" w:color="auto" w:fill="auto"/>
            <w:vAlign w:val="bottom"/>
          </w:tcPr>
          <w:p w14:paraId="606F6CB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B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CB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vAlign w:val="bottom"/>
          </w:tcPr>
          <w:p w14:paraId="606F6CB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CB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tcMar>
            <w:vAlign w:val="bottom"/>
          </w:tcPr>
          <w:p w14:paraId="606F6CB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1,245</w:t>
            </w:r>
          </w:p>
        </w:tc>
        <w:tc>
          <w:tcPr>
            <w:tcW w:w="0" w:type="auto"/>
            <w:tcBorders>
              <w:top w:val="single" w:sz="8" w:space="0" w:color="E87722"/>
            </w:tcBorders>
            <w:shd w:val="clear" w:color="auto" w:fill="auto"/>
            <w:vAlign w:val="bottom"/>
          </w:tcPr>
          <w:p w14:paraId="606F6CC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C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CC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vAlign w:val="bottom"/>
          </w:tcPr>
          <w:p w14:paraId="606F6CC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C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CC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7,296</w:t>
            </w:r>
          </w:p>
        </w:tc>
        <w:tc>
          <w:tcPr>
            <w:tcW w:w="0" w:type="auto"/>
            <w:tcBorders>
              <w:top w:val="single" w:sz="8" w:space="0" w:color="E87722"/>
              <w:bottom w:val="single" w:sz="8" w:space="0" w:color="E87722"/>
            </w:tcBorders>
            <w:shd w:val="clear" w:color="auto" w:fill="auto"/>
            <w:vAlign w:val="bottom"/>
          </w:tcPr>
          <w:p w14:paraId="606F6CC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C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CC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180</w:t>
            </w:r>
          </w:p>
        </w:tc>
        <w:tc>
          <w:tcPr>
            <w:tcW w:w="0" w:type="auto"/>
            <w:tcBorders>
              <w:top w:val="single" w:sz="8" w:space="0" w:color="E87722"/>
              <w:bottom w:val="single" w:sz="8" w:space="0" w:color="E87722"/>
            </w:tcBorders>
            <w:shd w:val="clear" w:color="auto" w:fill="auto"/>
            <w:vAlign w:val="bottom"/>
          </w:tcPr>
          <w:p w14:paraId="606F6CC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C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CC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1,721</w:t>
            </w:r>
          </w:p>
        </w:tc>
        <w:tc>
          <w:tcPr>
            <w:tcW w:w="0" w:type="auto"/>
            <w:tcBorders>
              <w:top w:val="single" w:sz="8" w:space="0" w:color="E87722"/>
              <w:bottom w:val="single" w:sz="8" w:space="0" w:color="E87722"/>
            </w:tcBorders>
            <w:shd w:val="clear" w:color="auto" w:fill="auto"/>
            <w:vAlign w:val="bottom"/>
          </w:tcPr>
          <w:p w14:paraId="606F6CC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CC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CC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9,200</w:t>
            </w:r>
          </w:p>
        </w:tc>
        <w:tc>
          <w:tcPr>
            <w:tcW w:w="0" w:type="auto"/>
            <w:tcBorders>
              <w:top w:val="single" w:sz="8" w:space="0" w:color="E87722"/>
              <w:bottom w:val="single" w:sz="8" w:space="0" w:color="E87722"/>
            </w:tcBorders>
            <w:shd w:val="clear" w:color="auto" w:fill="auto"/>
            <w:vAlign w:val="bottom"/>
          </w:tcPr>
          <w:p w14:paraId="606F6CCF" w14:textId="77777777" w:rsidR="00FB67F9" w:rsidRDefault="00FB67F9">
            <w:pPr>
              <w:textAlignment w:val="bottom"/>
              <w:rPr>
                <w:rFonts w:ascii="Times New Roman" w:hAnsi="Times New Roman"/>
                <w:sz w:val="20"/>
                <w:szCs w:val="20"/>
              </w:rPr>
            </w:pPr>
          </w:p>
        </w:tc>
      </w:tr>
      <w:tr w:rsidR="00FB67F9" w14:paraId="606F6CDE" w14:textId="77777777">
        <w:trPr>
          <w:jc w:val="center"/>
        </w:trPr>
        <w:tc>
          <w:tcPr>
            <w:tcW w:w="0" w:type="auto"/>
            <w:tcBorders>
              <w:top w:val="single" w:sz="8" w:space="0" w:color="E87722"/>
            </w:tcBorders>
            <w:shd w:val="clear" w:color="auto" w:fill="auto"/>
            <w:tcMar>
              <w:top w:w="40" w:type="dxa"/>
              <w:left w:w="40" w:type="dxa"/>
              <w:bottom w:w="40" w:type="dxa"/>
              <w:right w:w="40" w:type="dxa"/>
            </w:tcMar>
            <w:vAlign w:val="bottom"/>
          </w:tcPr>
          <w:p w14:paraId="606F6CD1" w14:textId="77777777" w:rsidR="00FB67F9" w:rsidRDefault="00E839DF">
            <w:pPr>
              <w:textAlignment w:val="bottom"/>
              <w:rPr>
                <w:rFonts w:ascii="Times New Roman" w:hAnsi="Times New Roman"/>
                <w:sz w:val="17"/>
                <w:szCs w:val="17"/>
              </w:rPr>
            </w:pPr>
            <w:r>
              <w:rPr>
                <w:rFonts w:ascii="Arial" w:eastAsia="宋体" w:hAnsi="Arial" w:cs="Arial"/>
                <w:sz w:val="17"/>
                <w:szCs w:val="17"/>
              </w:rPr>
              <w:t>Stock options exercised</w:t>
            </w:r>
          </w:p>
        </w:tc>
        <w:tc>
          <w:tcPr>
            <w:tcW w:w="0" w:type="auto"/>
            <w:gridSpan w:val="2"/>
            <w:shd w:val="clear" w:color="auto" w:fill="FFF1E7"/>
            <w:tcMar>
              <w:top w:w="40" w:type="dxa"/>
              <w:left w:w="40" w:type="dxa"/>
              <w:bottom w:w="40" w:type="dxa"/>
              <w:right w:w="40" w:type="dxa"/>
            </w:tcMar>
            <w:vAlign w:val="bottom"/>
          </w:tcPr>
          <w:p w14:paraId="606F6CD2" w14:textId="77777777" w:rsidR="00FB67F9" w:rsidRDefault="00FB67F9">
            <w:pPr>
              <w:textAlignment w:val="bottom"/>
              <w:rPr>
                <w:rFonts w:ascii="Times New Roman" w:hAnsi="Times New Roman"/>
                <w:sz w:val="17"/>
                <w:szCs w:val="17"/>
              </w:rPr>
            </w:pPr>
          </w:p>
        </w:tc>
        <w:tc>
          <w:tcPr>
            <w:tcW w:w="0" w:type="auto"/>
            <w:gridSpan w:val="3"/>
            <w:shd w:val="clear" w:color="auto" w:fill="FFF1E7"/>
            <w:tcMar>
              <w:top w:w="40" w:type="dxa"/>
              <w:left w:w="40" w:type="dxa"/>
              <w:bottom w:w="40" w:type="dxa"/>
              <w:right w:w="40" w:type="dxa"/>
            </w:tcMar>
            <w:vAlign w:val="bottom"/>
          </w:tcPr>
          <w:p w14:paraId="606F6CD3" w14:textId="77777777" w:rsidR="00FB67F9" w:rsidRDefault="00FB67F9">
            <w:pPr>
              <w:textAlignment w:val="bottom"/>
              <w:rPr>
                <w:rFonts w:ascii="Times New Roman" w:hAnsi="Times New Roman"/>
                <w:sz w:val="17"/>
                <w:szCs w:val="17"/>
              </w:rPr>
            </w:pPr>
          </w:p>
        </w:tc>
        <w:tc>
          <w:tcPr>
            <w:tcW w:w="0" w:type="auto"/>
            <w:shd w:val="clear" w:color="auto" w:fill="FFF1E7"/>
            <w:tcMar>
              <w:top w:w="40" w:type="dxa"/>
              <w:left w:w="40" w:type="dxa"/>
              <w:bottom w:w="40" w:type="dxa"/>
              <w:right w:w="40" w:type="dxa"/>
            </w:tcMar>
            <w:vAlign w:val="bottom"/>
          </w:tcPr>
          <w:p w14:paraId="606F6CD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6C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E87722"/>
              <w:bottom w:val="single" w:sz="8" w:space="0" w:color="808080"/>
            </w:tcBorders>
            <w:shd w:val="clear" w:color="auto" w:fill="FFF1E7"/>
            <w:vAlign w:val="bottom"/>
          </w:tcPr>
          <w:p w14:paraId="606F6CD6" w14:textId="77777777" w:rsidR="00FB67F9" w:rsidRDefault="00FB67F9">
            <w:pPr>
              <w:textAlignment w:val="bottom"/>
              <w:rPr>
                <w:rFonts w:ascii="Times New Roman" w:hAnsi="Times New Roman"/>
                <w:sz w:val="20"/>
                <w:szCs w:val="20"/>
              </w:rPr>
            </w:pPr>
          </w:p>
        </w:tc>
        <w:tc>
          <w:tcPr>
            <w:tcW w:w="0" w:type="auto"/>
            <w:gridSpan w:val="3"/>
            <w:shd w:val="clear" w:color="auto" w:fill="FFF1E7"/>
            <w:tcMar>
              <w:top w:w="40" w:type="dxa"/>
              <w:left w:w="40" w:type="dxa"/>
              <w:bottom w:w="40" w:type="dxa"/>
              <w:right w:w="40" w:type="dxa"/>
            </w:tcMar>
            <w:vAlign w:val="bottom"/>
          </w:tcPr>
          <w:p w14:paraId="606F6CD7" w14:textId="77777777" w:rsidR="00FB67F9" w:rsidRDefault="00FB67F9">
            <w:pPr>
              <w:textAlignment w:val="bottom"/>
              <w:rPr>
                <w:rFonts w:ascii="Times New Roman" w:hAnsi="Times New Roman"/>
                <w:sz w:val="17"/>
                <w:szCs w:val="17"/>
              </w:rPr>
            </w:pPr>
          </w:p>
        </w:tc>
        <w:tc>
          <w:tcPr>
            <w:tcW w:w="0" w:type="auto"/>
            <w:gridSpan w:val="2"/>
            <w:shd w:val="clear" w:color="auto" w:fill="FFF1E7"/>
            <w:tcMar>
              <w:top w:w="40" w:type="dxa"/>
              <w:left w:w="40" w:type="dxa"/>
              <w:bottom w:w="40" w:type="dxa"/>
            </w:tcMar>
            <w:vAlign w:val="bottom"/>
          </w:tcPr>
          <w:p w14:paraId="606F6C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265</w:t>
            </w:r>
          </w:p>
        </w:tc>
        <w:tc>
          <w:tcPr>
            <w:tcW w:w="0" w:type="auto"/>
            <w:shd w:val="clear" w:color="auto" w:fill="FFF1E7"/>
            <w:vAlign w:val="bottom"/>
          </w:tcPr>
          <w:p w14:paraId="606F6CD9" w14:textId="77777777" w:rsidR="00FB67F9" w:rsidRDefault="00FB67F9">
            <w:pPr>
              <w:textAlignment w:val="bottom"/>
              <w:rPr>
                <w:rFonts w:ascii="Times New Roman" w:hAnsi="Times New Roman"/>
                <w:sz w:val="20"/>
                <w:szCs w:val="20"/>
              </w:rPr>
            </w:pPr>
          </w:p>
        </w:tc>
        <w:tc>
          <w:tcPr>
            <w:tcW w:w="0" w:type="auto"/>
            <w:gridSpan w:val="3"/>
            <w:shd w:val="clear" w:color="auto" w:fill="FFF1E7"/>
            <w:tcMar>
              <w:top w:w="40" w:type="dxa"/>
              <w:left w:w="40" w:type="dxa"/>
              <w:bottom w:w="40" w:type="dxa"/>
              <w:right w:w="40" w:type="dxa"/>
            </w:tcMar>
            <w:vAlign w:val="bottom"/>
          </w:tcPr>
          <w:p w14:paraId="606F6CDA" w14:textId="77777777" w:rsidR="00FB67F9" w:rsidRDefault="00FB67F9">
            <w:pPr>
              <w:textAlignment w:val="bottom"/>
              <w:rPr>
                <w:rFonts w:ascii="Times New Roman" w:hAnsi="Times New Roman"/>
                <w:sz w:val="17"/>
                <w:szCs w:val="17"/>
              </w:rPr>
            </w:pPr>
          </w:p>
        </w:tc>
        <w:tc>
          <w:tcPr>
            <w:tcW w:w="0" w:type="auto"/>
            <w:gridSpan w:val="3"/>
            <w:shd w:val="clear" w:color="auto" w:fill="FFF1E7"/>
            <w:tcMar>
              <w:top w:w="40" w:type="dxa"/>
              <w:left w:w="40" w:type="dxa"/>
              <w:bottom w:w="40" w:type="dxa"/>
              <w:right w:w="40" w:type="dxa"/>
            </w:tcMar>
            <w:vAlign w:val="bottom"/>
          </w:tcPr>
          <w:p w14:paraId="606F6CDB" w14:textId="77777777" w:rsidR="00FB67F9" w:rsidRDefault="00FB67F9">
            <w:pPr>
              <w:textAlignment w:val="bottom"/>
              <w:rPr>
                <w:rFonts w:ascii="Times New Roman" w:hAnsi="Times New Roman"/>
                <w:sz w:val="17"/>
                <w:szCs w:val="17"/>
              </w:rPr>
            </w:pPr>
          </w:p>
        </w:tc>
        <w:tc>
          <w:tcPr>
            <w:tcW w:w="0" w:type="auto"/>
            <w:gridSpan w:val="2"/>
            <w:shd w:val="clear" w:color="auto" w:fill="FFF1E7"/>
            <w:tcMar>
              <w:top w:w="40" w:type="dxa"/>
              <w:left w:w="40" w:type="dxa"/>
              <w:bottom w:w="40" w:type="dxa"/>
            </w:tcMar>
            <w:vAlign w:val="bottom"/>
          </w:tcPr>
          <w:p w14:paraId="606F6C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265</w:t>
            </w:r>
          </w:p>
        </w:tc>
        <w:tc>
          <w:tcPr>
            <w:tcW w:w="0" w:type="auto"/>
            <w:shd w:val="clear" w:color="auto" w:fill="FFF1E7"/>
            <w:vAlign w:val="bottom"/>
          </w:tcPr>
          <w:p w14:paraId="606F6CDD" w14:textId="77777777" w:rsidR="00FB67F9" w:rsidRDefault="00FB67F9">
            <w:pPr>
              <w:textAlignment w:val="bottom"/>
              <w:rPr>
                <w:rFonts w:ascii="Times New Roman" w:hAnsi="Times New Roman"/>
                <w:sz w:val="20"/>
                <w:szCs w:val="20"/>
              </w:rPr>
            </w:pPr>
          </w:p>
        </w:tc>
      </w:tr>
      <w:tr w:rsidR="00FB67F9" w14:paraId="606F6CED"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CDF" w14:textId="77777777" w:rsidR="00FB67F9" w:rsidRDefault="00E839DF">
            <w:pPr>
              <w:textAlignment w:val="bottom"/>
              <w:rPr>
                <w:rFonts w:ascii="Times New Roman" w:hAnsi="Times New Roman"/>
                <w:sz w:val="17"/>
                <w:szCs w:val="17"/>
              </w:rPr>
            </w:pPr>
            <w:r>
              <w:rPr>
                <w:rFonts w:ascii="Arial" w:eastAsia="宋体" w:hAnsi="Arial" w:cs="Arial"/>
                <w:sz w:val="17"/>
                <w:szCs w:val="17"/>
              </w:rPr>
              <w:t>Repurchase of Class B Common Stock</w:t>
            </w:r>
          </w:p>
        </w:tc>
        <w:tc>
          <w:tcPr>
            <w:tcW w:w="0" w:type="auto"/>
            <w:gridSpan w:val="2"/>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606F6CE0"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E1"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CE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C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FFF1E7"/>
            <w:tcMar>
              <w:top w:w="40" w:type="dxa"/>
              <w:bottom w:w="40" w:type="dxa"/>
              <w:right w:w="40" w:type="dxa"/>
            </w:tcMar>
            <w:vAlign w:val="bottom"/>
          </w:tcPr>
          <w:p w14:paraId="606F6CE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E5"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CE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(47</w:t>
            </w:r>
          </w:p>
        </w:tc>
        <w:tc>
          <w:tcPr>
            <w:tcW w:w="0" w:type="auto"/>
            <w:tcBorders>
              <w:top w:val="single" w:sz="8" w:space="0" w:color="808080"/>
            </w:tcBorders>
            <w:shd w:val="clear" w:color="auto" w:fill="FFF1E7"/>
            <w:tcMar>
              <w:top w:w="40" w:type="dxa"/>
              <w:bottom w:w="40" w:type="dxa"/>
              <w:right w:w="40" w:type="dxa"/>
            </w:tcMar>
            <w:vAlign w:val="bottom"/>
          </w:tcPr>
          <w:p w14:paraId="606F6CE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E8"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C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(875</w:t>
            </w:r>
          </w:p>
        </w:tc>
        <w:tc>
          <w:tcPr>
            <w:tcW w:w="0" w:type="auto"/>
            <w:tcBorders>
              <w:top w:val="single" w:sz="8" w:space="0" w:color="808080"/>
            </w:tcBorders>
            <w:shd w:val="clear" w:color="auto" w:fill="FFF1E7"/>
            <w:tcMar>
              <w:top w:w="40" w:type="dxa"/>
              <w:bottom w:w="40" w:type="dxa"/>
              <w:right w:w="40" w:type="dxa"/>
            </w:tcMar>
            <w:vAlign w:val="bottom"/>
          </w:tcPr>
          <w:p w14:paraId="606F6CE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606F6CE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(922</w:t>
            </w:r>
          </w:p>
        </w:tc>
        <w:tc>
          <w:tcPr>
            <w:tcW w:w="0" w:type="auto"/>
            <w:tcBorders>
              <w:top w:val="single" w:sz="8" w:space="0" w:color="808080"/>
            </w:tcBorders>
            <w:shd w:val="clear" w:color="auto" w:fill="FFF1E7"/>
            <w:tcMar>
              <w:top w:w="40" w:type="dxa"/>
              <w:bottom w:w="40" w:type="dxa"/>
              <w:right w:w="40" w:type="dxa"/>
            </w:tcMar>
            <w:vAlign w:val="bottom"/>
          </w:tcPr>
          <w:p w14:paraId="606F6CE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CFC" w14:textId="77777777">
        <w:trPr>
          <w:jc w:val="center"/>
        </w:trPr>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CEE" w14:textId="77777777" w:rsidR="00FB67F9" w:rsidRDefault="00E839DF">
            <w:pPr>
              <w:textAlignment w:val="bottom"/>
              <w:rPr>
                <w:rFonts w:ascii="Times New Roman" w:hAnsi="Times New Roman"/>
                <w:sz w:val="17"/>
                <w:szCs w:val="17"/>
              </w:rPr>
            </w:pPr>
            <w:r>
              <w:rPr>
                <w:rFonts w:ascii="Arial" w:eastAsia="宋体" w:hAnsi="Arial" w:cs="Arial"/>
                <w:sz w:val="17"/>
                <w:szCs w:val="17"/>
              </w:rPr>
              <w:t>Dividends on common stock ($0.245 per share)</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CEF"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F0"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CF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CF2"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CF3"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F4"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CF5"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CF6"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F7"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CF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(383</w:t>
            </w:r>
          </w:p>
        </w:tc>
        <w:tc>
          <w:tcPr>
            <w:tcW w:w="0" w:type="auto"/>
            <w:tcBorders>
              <w:top w:val="single" w:sz="8" w:space="0" w:color="808080"/>
            </w:tcBorders>
            <w:shd w:val="clear" w:color="auto" w:fill="FFF1E7"/>
            <w:tcMar>
              <w:top w:w="40" w:type="dxa"/>
              <w:bottom w:w="40" w:type="dxa"/>
              <w:right w:w="40" w:type="dxa"/>
            </w:tcMar>
            <w:vAlign w:val="bottom"/>
          </w:tcPr>
          <w:p w14:paraId="606F6CF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606F6CF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(383</w:t>
            </w:r>
          </w:p>
        </w:tc>
        <w:tc>
          <w:tcPr>
            <w:tcW w:w="0" w:type="auto"/>
            <w:tcBorders>
              <w:top w:val="single" w:sz="8" w:space="0" w:color="808080"/>
            </w:tcBorders>
            <w:shd w:val="clear" w:color="auto" w:fill="FFF1E7"/>
            <w:tcMar>
              <w:top w:w="40" w:type="dxa"/>
              <w:bottom w:w="40" w:type="dxa"/>
              <w:right w:w="40" w:type="dxa"/>
            </w:tcMar>
            <w:vAlign w:val="bottom"/>
          </w:tcPr>
          <w:p w14:paraId="606F6CF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D0B"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CFD" w14:textId="77777777" w:rsidR="00FB67F9" w:rsidRDefault="00E839DF">
            <w:pPr>
              <w:textAlignment w:val="bottom"/>
              <w:rPr>
                <w:rFonts w:ascii="Times New Roman" w:hAnsi="Times New Roman"/>
                <w:sz w:val="17"/>
                <w:szCs w:val="17"/>
              </w:rPr>
            </w:pPr>
            <w:r>
              <w:rPr>
                <w:rFonts w:ascii="Arial" w:eastAsia="宋体" w:hAnsi="Arial" w:cs="Arial"/>
                <w:sz w:val="17"/>
                <w:szCs w:val="17"/>
              </w:rPr>
              <w:t>Issuance of shares to employees, net of shares withheld for employee taxes</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CFE"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CFF"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D0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D0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FFF1E7"/>
            <w:vAlign w:val="bottom"/>
          </w:tcPr>
          <w:p w14:paraId="606F6D02"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03"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0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95</w:t>
            </w:r>
          </w:p>
        </w:tc>
        <w:tc>
          <w:tcPr>
            <w:tcW w:w="0" w:type="auto"/>
            <w:tcBorders>
              <w:top w:val="single" w:sz="8" w:space="0" w:color="808080"/>
            </w:tcBorders>
            <w:shd w:val="clear" w:color="auto" w:fill="FFF1E7"/>
            <w:vAlign w:val="bottom"/>
          </w:tcPr>
          <w:p w14:paraId="606F6D05"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06"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0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FFF1E7"/>
            <w:tcMar>
              <w:top w:w="40" w:type="dxa"/>
              <w:bottom w:w="40" w:type="dxa"/>
              <w:right w:w="40" w:type="dxa"/>
            </w:tcMar>
            <w:vAlign w:val="bottom"/>
          </w:tcPr>
          <w:p w14:paraId="606F6D0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606F6D0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94</w:t>
            </w:r>
          </w:p>
        </w:tc>
        <w:tc>
          <w:tcPr>
            <w:tcW w:w="0" w:type="auto"/>
            <w:tcBorders>
              <w:top w:val="single" w:sz="8" w:space="0" w:color="808080"/>
            </w:tcBorders>
            <w:shd w:val="clear" w:color="auto" w:fill="FFF1E7"/>
            <w:vAlign w:val="bottom"/>
          </w:tcPr>
          <w:p w14:paraId="606F6D0A" w14:textId="77777777" w:rsidR="00FB67F9" w:rsidRDefault="00FB67F9">
            <w:pPr>
              <w:textAlignment w:val="bottom"/>
              <w:rPr>
                <w:rFonts w:ascii="Times New Roman" w:hAnsi="Times New Roman"/>
                <w:sz w:val="20"/>
                <w:szCs w:val="20"/>
              </w:rPr>
            </w:pPr>
          </w:p>
        </w:tc>
      </w:tr>
      <w:tr w:rsidR="00FB67F9" w14:paraId="606F6D1A"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D0C" w14:textId="77777777" w:rsidR="00FB67F9" w:rsidRDefault="00E839DF">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D0D"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0E"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D0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D10"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D11"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12"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1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110</w:t>
            </w:r>
          </w:p>
        </w:tc>
        <w:tc>
          <w:tcPr>
            <w:tcW w:w="0" w:type="auto"/>
            <w:tcBorders>
              <w:top w:val="single" w:sz="8" w:space="0" w:color="808080"/>
            </w:tcBorders>
            <w:shd w:val="clear" w:color="auto" w:fill="FFF1E7"/>
            <w:vAlign w:val="bottom"/>
          </w:tcPr>
          <w:p w14:paraId="606F6D14"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15"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16"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D1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1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110</w:t>
            </w:r>
          </w:p>
        </w:tc>
        <w:tc>
          <w:tcPr>
            <w:tcW w:w="0" w:type="auto"/>
            <w:tcBorders>
              <w:top w:val="single" w:sz="8" w:space="0" w:color="808080"/>
            </w:tcBorders>
            <w:shd w:val="clear" w:color="auto" w:fill="FFF1E7"/>
            <w:vAlign w:val="bottom"/>
          </w:tcPr>
          <w:p w14:paraId="606F6D19" w14:textId="77777777" w:rsidR="00FB67F9" w:rsidRDefault="00FB67F9">
            <w:pPr>
              <w:textAlignment w:val="bottom"/>
              <w:rPr>
                <w:rFonts w:ascii="Times New Roman" w:hAnsi="Times New Roman"/>
                <w:sz w:val="20"/>
                <w:szCs w:val="20"/>
              </w:rPr>
            </w:pPr>
          </w:p>
        </w:tc>
      </w:tr>
      <w:tr w:rsidR="00FB67F9" w14:paraId="606F6D29"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D1B" w14:textId="77777777" w:rsidR="00FB67F9" w:rsidRDefault="00E839DF">
            <w:pPr>
              <w:textAlignment w:val="bottom"/>
              <w:rPr>
                <w:rFonts w:ascii="Times New Roman" w:hAnsi="Times New Roman"/>
                <w:sz w:val="17"/>
                <w:szCs w:val="17"/>
              </w:rPr>
            </w:pPr>
            <w:r>
              <w:rPr>
                <w:rFonts w:ascii="Arial" w:eastAsia="宋体" w:hAnsi="Arial" w:cs="Arial"/>
                <w:sz w:val="17"/>
                <w:szCs w:val="17"/>
              </w:rPr>
              <w:t>Net income</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D1C"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1D"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D1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D1F"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D20"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21"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22"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D23"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D24"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2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1,115</w:t>
            </w:r>
          </w:p>
        </w:tc>
        <w:tc>
          <w:tcPr>
            <w:tcW w:w="0" w:type="auto"/>
            <w:tcBorders>
              <w:top w:val="single" w:sz="8" w:space="0" w:color="808080"/>
            </w:tcBorders>
            <w:shd w:val="clear" w:color="auto" w:fill="FFF1E7"/>
            <w:vAlign w:val="bottom"/>
          </w:tcPr>
          <w:p w14:paraId="606F6D2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D2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1,115</w:t>
            </w:r>
          </w:p>
        </w:tc>
        <w:tc>
          <w:tcPr>
            <w:tcW w:w="0" w:type="auto"/>
            <w:tcBorders>
              <w:top w:val="single" w:sz="8" w:space="0" w:color="808080"/>
            </w:tcBorders>
            <w:shd w:val="clear" w:color="auto" w:fill="FFF1E7"/>
            <w:vAlign w:val="bottom"/>
          </w:tcPr>
          <w:p w14:paraId="606F6D28" w14:textId="77777777" w:rsidR="00FB67F9" w:rsidRDefault="00FB67F9">
            <w:pPr>
              <w:textAlignment w:val="bottom"/>
              <w:rPr>
                <w:rFonts w:ascii="Times New Roman" w:hAnsi="Times New Roman"/>
                <w:sz w:val="20"/>
                <w:szCs w:val="20"/>
              </w:rPr>
            </w:pPr>
          </w:p>
        </w:tc>
      </w:tr>
      <w:tr w:rsidR="00FB67F9" w14:paraId="606F6D39" w14:textId="77777777">
        <w:trPr>
          <w:jc w:val="center"/>
        </w:trPr>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D2A"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comprehensive income (loss)</w:t>
            </w:r>
          </w:p>
        </w:tc>
        <w:tc>
          <w:tcPr>
            <w:tcW w:w="0" w:type="auto"/>
            <w:gridSpan w:val="2"/>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D2B"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D2C"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D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6D2E"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vAlign w:val="bottom"/>
          </w:tcPr>
          <w:p w14:paraId="606F6D2F"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D30"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D31"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vAlign w:val="bottom"/>
          </w:tcPr>
          <w:p w14:paraId="606F6D3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D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(128</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6D3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D35"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vAlign w:val="bottom"/>
          </w:tcPr>
          <w:p w14:paraId="606F6D3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D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(128</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6D3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D52"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6D3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xml:space="preserve">Balance at </w:t>
            </w:r>
            <w:r>
              <w:rPr>
                <w:rFonts w:ascii="Arial" w:eastAsia="宋体" w:hAnsi="Arial" w:cs="Arial"/>
                <w:b/>
                <w:bCs/>
                <w:sz w:val="17"/>
                <w:szCs w:val="17"/>
              </w:rPr>
              <w:t>November 30, 2019</w:t>
            </w:r>
          </w:p>
        </w:tc>
        <w:tc>
          <w:tcPr>
            <w:tcW w:w="0" w:type="auto"/>
            <w:tcBorders>
              <w:bottom w:val="single" w:sz="8" w:space="0" w:color="E87722"/>
            </w:tcBorders>
            <w:shd w:val="clear" w:color="auto" w:fill="FFF1E7"/>
            <w:tcMar>
              <w:top w:w="40" w:type="dxa"/>
              <w:left w:w="40" w:type="dxa"/>
              <w:bottom w:w="40" w:type="dxa"/>
            </w:tcMar>
            <w:vAlign w:val="bottom"/>
          </w:tcPr>
          <w:p w14:paraId="606F6D3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bottom w:val="single" w:sz="8" w:space="0" w:color="E87722"/>
            </w:tcBorders>
            <w:shd w:val="clear" w:color="auto" w:fill="FFF1E7"/>
            <w:vAlign w:val="bottom"/>
          </w:tcPr>
          <w:p w14:paraId="606F6D3C"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606F6D3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606F6D3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vAlign w:val="bottom"/>
          </w:tcPr>
          <w:p w14:paraId="606F6D3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right w:w="40" w:type="dxa"/>
            </w:tcMar>
            <w:vAlign w:val="bottom"/>
          </w:tcPr>
          <w:p w14:paraId="606F6D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FFF1E7"/>
            <w:tcMar>
              <w:top w:w="40" w:type="dxa"/>
              <w:left w:w="40" w:type="dxa"/>
              <w:bottom w:w="40" w:type="dxa"/>
            </w:tcMar>
            <w:vAlign w:val="bottom"/>
          </w:tcPr>
          <w:p w14:paraId="606F6D4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1,244</w:t>
            </w:r>
          </w:p>
        </w:tc>
        <w:tc>
          <w:tcPr>
            <w:tcW w:w="0" w:type="auto"/>
            <w:tcBorders>
              <w:bottom w:val="single" w:sz="8" w:space="0" w:color="E87722"/>
            </w:tcBorders>
            <w:shd w:val="clear" w:color="auto" w:fill="FFF1E7"/>
            <w:vAlign w:val="bottom"/>
          </w:tcPr>
          <w:p w14:paraId="606F6D42"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606F6D4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606F6D4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FFF1E7"/>
            <w:vAlign w:val="bottom"/>
          </w:tcPr>
          <w:p w14:paraId="606F6D45"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606F6D4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606F6D4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7,719</w:t>
            </w:r>
          </w:p>
        </w:tc>
        <w:tc>
          <w:tcPr>
            <w:tcW w:w="0" w:type="auto"/>
            <w:tcBorders>
              <w:bottom w:val="single" w:sz="8" w:space="0" w:color="E87722"/>
            </w:tcBorders>
            <w:shd w:val="clear" w:color="auto" w:fill="FFF1E7"/>
            <w:vAlign w:val="bottom"/>
          </w:tcPr>
          <w:p w14:paraId="606F6D48"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606F6D4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606F6D4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52</w:t>
            </w:r>
          </w:p>
        </w:tc>
        <w:tc>
          <w:tcPr>
            <w:tcW w:w="0" w:type="auto"/>
            <w:tcBorders>
              <w:bottom w:val="single" w:sz="8" w:space="0" w:color="E87722"/>
            </w:tcBorders>
            <w:shd w:val="clear" w:color="auto" w:fill="FFF1E7"/>
            <w:vAlign w:val="bottom"/>
          </w:tcPr>
          <w:p w14:paraId="606F6D4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606F6D4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606F6D4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1,577</w:t>
            </w:r>
          </w:p>
        </w:tc>
        <w:tc>
          <w:tcPr>
            <w:tcW w:w="0" w:type="auto"/>
            <w:tcBorders>
              <w:bottom w:val="single" w:sz="8" w:space="0" w:color="E87722"/>
            </w:tcBorders>
            <w:shd w:val="clear" w:color="auto" w:fill="FFF1E7"/>
            <w:vAlign w:val="bottom"/>
          </w:tcPr>
          <w:p w14:paraId="606F6D4E"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606F6D4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606F6D5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9,351</w:t>
            </w:r>
          </w:p>
        </w:tc>
        <w:tc>
          <w:tcPr>
            <w:tcW w:w="0" w:type="auto"/>
            <w:tcBorders>
              <w:bottom w:val="single" w:sz="8" w:space="0" w:color="E87722"/>
            </w:tcBorders>
            <w:shd w:val="clear" w:color="auto" w:fill="FFF1E7"/>
            <w:vAlign w:val="bottom"/>
          </w:tcPr>
          <w:p w14:paraId="606F6D51" w14:textId="77777777" w:rsidR="00FB67F9" w:rsidRDefault="00FB67F9">
            <w:pPr>
              <w:textAlignment w:val="bottom"/>
              <w:rPr>
                <w:rFonts w:ascii="Times New Roman" w:hAnsi="Times New Roman"/>
                <w:sz w:val="20"/>
                <w:szCs w:val="20"/>
              </w:rPr>
            </w:pPr>
          </w:p>
        </w:tc>
      </w:tr>
    </w:tbl>
    <w:p w14:paraId="606F6D53" w14:textId="77777777" w:rsidR="00FB67F9" w:rsidRDefault="00FB67F9">
      <w:pPr>
        <w:rPr>
          <w:vanish/>
        </w:rPr>
      </w:pPr>
    </w:p>
    <w:tbl>
      <w:tblPr>
        <w:tblW w:w="5000" w:type="pct"/>
        <w:jc w:val="center"/>
        <w:tblCellMar>
          <w:left w:w="0" w:type="dxa"/>
          <w:right w:w="0" w:type="dxa"/>
        </w:tblCellMar>
        <w:tblLook w:val="04A0" w:firstRow="1" w:lastRow="0" w:firstColumn="1" w:lastColumn="0" w:noHBand="0" w:noVBand="1"/>
      </w:tblPr>
      <w:tblGrid>
        <w:gridCol w:w="1392"/>
        <w:gridCol w:w="590"/>
        <w:gridCol w:w="97"/>
        <w:gridCol w:w="135"/>
        <w:gridCol w:w="612"/>
        <w:gridCol w:w="6"/>
        <w:gridCol w:w="130"/>
        <w:gridCol w:w="590"/>
        <w:gridCol w:w="97"/>
        <w:gridCol w:w="135"/>
        <w:gridCol w:w="612"/>
        <w:gridCol w:w="6"/>
        <w:gridCol w:w="136"/>
        <w:gridCol w:w="712"/>
        <w:gridCol w:w="97"/>
        <w:gridCol w:w="136"/>
        <w:gridCol w:w="1167"/>
        <w:gridCol w:w="97"/>
        <w:gridCol w:w="136"/>
        <w:gridCol w:w="668"/>
        <w:gridCol w:w="97"/>
        <w:gridCol w:w="135"/>
        <w:gridCol w:w="426"/>
        <w:gridCol w:w="97"/>
      </w:tblGrid>
      <w:tr w:rsidR="00FB67F9" w14:paraId="606F6D55" w14:textId="77777777">
        <w:trPr>
          <w:jc w:val="center"/>
        </w:trPr>
        <w:tc>
          <w:tcPr>
            <w:tcW w:w="0" w:type="auto"/>
            <w:gridSpan w:val="24"/>
            <w:shd w:val="clear" w:color="auto" w:fill="auto"/>
            <w:vAlign w:val="center"/>
          </w:tcPr>
          <w:p w14:paraId="606F6D54" w14:textId="77777777" w:rsidR="00FB67F9" w:rsidRDefault="00FB67F9">
            <w:pPr>
              <w:rPr>
                <w:rFonts w:ascii="Times New Roman" w:hAnsi="Times New Roman"/>
                <w:sz w:val="20"/>
                <w:szCs w:val="20"/>
              </w:rPr>
            </w:pPr>
          </w:p>
        </w:tc>
      </w:tr>
      <w:tr w:rsidR="00FB67F9" w14:paraId="606F6D6E" w14:textId="77777777">
        <w:trPr>
          <w:jc w:val="center"/>
        </w:trPr>
        <w:tc>
          <w:tcPr>
            <w:tcW w:w="1550" w:type="pct"/>
            <w:shd w:val="clear" w:color="auto" w:fill="auto"/>
            <w:vAlign w:val="center"/>
          </w:tcPr>
          <w:p w14:paraId="606F6D56" w14:textId="77777777" w:rsidR="00FB67F9" w:rsidRDefault="00FB67F9">
            <w:pPr>
              <w:rPr>
                <w:rFonts w:ascii="Times New Roman" w:hAnsi="Times New Roman"/>
                <w:sz w:val="20"/>
                <w:szCs w:val="20"/>
              </w:rPr>
            </w:pPr>
          </w:p>
        </w:tc>
        <w:tc>
          <w:tcPr>
            <w:tcW w:w="300" w:type="pct"/>
            <w:shd w:val="clear" w:color="auto" w:fill="auto"/>
            <w:vAlign w:val="center"/>
          </w:tcPr>
          <w:p w14:paraId="606F6D57" w14:textId="77777777" w:rsidR="00FB67F9" w:rsidRDefault="00FB67F9">
            <w:pPr>
              <w:rPr>
                <w:rFonts w:ascii="Times New Roman" w:hAnsi="Times New Roman"/>
                <w:sz w:val="20"/>
                <w:szCs w:val="20"/>
              </w:rPr>
            </w:pPr>
          </w:p>
        </w:tc>
        <w:tc>
          <w:tcPr>
            <w:tcW w:w="50" w:type="pct"/>
            <w:shd w:val="clear" w:color="auto" w:fill="auto"/>
            <w:vAlign w:val="center"/>
          </w:tcPr>
          <w:p w14:paraId="606F6D58" w14:textId="77777777" w:rsidR="00FB67F9" w:rsidRDefault="00FB67F9">
            <w:pPr>
              <w:rPr>
                <w:rFonts w:ascii="Times New Roman" w:hAnsi="Times New Roman"/>
                <w:sz w:val="20"/>
                <w:szCs w:val="20"/>
              </w:rPr>
            </w:pPr>
          </w:p>
        </w:tc>
        <w:tc>
          <w:tcPr>
            <w:tcW w:w="50" w:type="pct"/>
            <w:shd w:val="clear" w:color="auto" w:fill="auto"/>
            <w:vAlign w:val="center"/>
          </w:tcPr>
          <w:p w14:paraId="606F6D59" w14:textId="77777777" w:rsidR="00FB67F9" w:rsidRDefault="00FB67F9">
            <w:pPr>
              <w:rPr>
                <w:rFonts w:ascii="Times New Roman" w:hAnsi="Times New Roman"/>
                <w:sz w:val="20"/>
                <w:szCs w:val="20"/>
              </w:rPr>
            </w:pPr>
          </w:p>
        </w:tc>
        <w:tc>
          <w:tcPr>
            <w:tcW w:w="300" w:type="pct"/>
            <w:shd w:val="clear" w:color="auto" w:fill="auto"/>
            <w:vAlign w:val="center"/>
          </w:tcPr>
          <w:p w14:paraId="606F6D5A" w14:textId="77777777" w:rsidR="00FB67F9" w:rsidRDefault="00FB67F9">
            <w:pPr>
              <w:rPr>
                <w:rFonts w:ascii="Times New Roman" w:hAnsi="Times New Roman"/>
                <w:sz w:val="20"/>
                <w:szCs w:val="20"/>
              </w:rPr>
            </w:pPr>
          </w:p>
        </w:tc>
        <w:tc>
          <w:tcPr>
            <w:tcW w:w="50" w:type="pct"/>
            <w:shd w:val="clear" w:color="auto" w:fill="auto"/>
            <w:vAlign w:val="center"/>
          </w:tcPr>
          <w:p w14:paraId="606F6D5B" w14:textId="77777777" w:rsidR="00FB67F9" w:rsidRDefault="00FB67F9">
            <w:pPr>
              <w:rPr>
                <w:rFonts w:ascii="Times New Roman" w:hAnsi="Times New Roman"/>
                <w:sz w:val="20"/>
                <w:szCs w:val="20"/>
              </w:rPr>
            </w:pPr>
          </w:p>
        </w:tc>
        <w:tc>
          <w:tcPr>
            <w:tcW w:w="50" w:type="pct"/>
            <w:shd w:val="clear" w:color="auto" w:fill="auto"/>
            <w:vAlign w:val="center"/>
          </w:tcPr>
          <w:p w14:paraId="606F6D5C" w14:textId="77777777" w:rsidR="00FB67F9" w:rsidRDefault="00FB67F9">
            <w:pPr>
              <w:rPr>
                <w:rFonts w:ascii="Times New Roman" w:hAnsi="Times New Roman"/>
                <w:sz w:val="20"/>
                <w:szCs w:val="20"/>
              </w:rPr>
            </w:pPr>
          </w:p>
        </w:tc>
        <w:tc>
          <w:tcPr>
            <w:tcW w:w="300" w:type="pct"/>
            <w:shd w:val="clear" w:color="auto" w:fill="auto"/>
            <w:vAlign w:val="center"/>
          </w:tcPr>
          <w:p w14:paraId="606F6D5D" w14:textId="77777777" w:rsidR="00FB67F9" w:rsidRDefault="00FB67F9">
            <w:pPr>
              <w:rPr>
                <w:rFonts w:ascii="Times New Roman" w:hAnsi="Times New Roman"/>
                <w:sz w:val="20"/>
                <w:szCs w:val="20"/>
              </w:rPr>
            </w:pPr>
          </w:p>
        </w:tc>
        <w:tc>
          <w:tcPr>
            <w:tcW w:w="50" w:type="pct"/>
            <w:shd w:val="clear" w:color="auto" w:fill="auto"/>
            <w:vAlign w:val="center"/>
          </w:tcPr>
          <w:p w14:paraId="606F6D5E" w14:textId="77777777" w:rsidR="00FB67F9" w:rsidRDefault="00FB67F9">
            <w:pPr>
              <w:rPr>
                <w:rFonts w:ascii="Times New Roman" w:hAnsi="Times New Roman"/>
                <w:sz w:val="20"/>
                <w:szCs w:val="20"/>
              </w:rPr>
            </w:pPr>
          </w:p>
        </w:tc>
        <w:tc>
          <w:tcPr>
            <w:tcW w:w="50" w:type="pct"/>
            <w:shd w:val="clear" w:color="auto" w:fill="auto"/>
            <w:vAlign w:val="center"/>
          </w:tcPr>
          <w:p w14:paraId="606F6D5F" w14:textId="77777777" w:rsidR="00FB67F9" w:rsidRDefault="00FB67F9">
            <w:pPr>
              <w:rPr>
                <w:rFonts w:ascii="Times New Roman" w:hAnsi="Times New Roman"/>
                <w:sz w:val="20"/>
                <w:szCs w:val="20"/>
              </w:rPr>
            </w:pPr>
          </w:p>
        </w:tc>
        <w:tc>
          <w:tcPr>
            <w:tcW w:w="300" w:type="pct"/>
            <w:shd w:val="clear" w:color="auto" w:fill="auto"/>
            <w:vAlign w:val="center"/>
          </w:tcPr>
          <w:p w14:paraId="606F6D60" w14:textId="77777777" w:rsidR="00FB67F9" w:rsidRDefault="00FB67F9">
            <w:pPr>
              <w:rPr>
                <w:rFonts w:ascii="Times New Roman" w:hAnsi="Times New Roman"/>
                <w:sz w:val="20"/>
                <w:szCs w:val="20"/>
              </w:rPr>
            </w:pPr>
          </w:p>
        </w:tc>
        <w:tc>
          <w:tcPr>
            <w:tcW w:w="50" w:type="pct"/>
            <w:shd w:val="clear" w:color="auto" w:fill="auto"/>
            <w:vAlign w:val="center"/>
          </w:tcPr>
          <w:p w14:paraId="606F6D61" w14:textId="77777777" w:rsidR="00FB67F9" w:rsidRDefault="00FB67F9">
            <w:pPr>
              <w:rPr>
                <w:rFonts w:ascii="Times New Roman" w:hAnsi="Times New Roman"/>
                <w:sz w:val="20"/>
                <w:szCs w:val="20"/>
              </w:rPr>
            </w:pPr>
          </w:p>
        </w:tc>
        <w:tc>
          <w:tcPr>
            <w:tcW w:w="50" w:type="pct"/>
            <w:shd w:val="clear" w:color="auto" w:fill="auto"/>
            <w:vAlign w:val="center"/>
          </w:tcPr>
          <w:p w14:paraId="606F6D62" w14:textId="77777777" w:rsidR="00FB67F9" w:rsidRDefault="00FB67F9">
            <w:pPr>
              <w:rPr>
                <w:rFonts w:ascii="Times New Roman" w:hAnsi="Times New Roman"/>
                <w:sz w:val="20"/>
                <w:szCs w:val="20"/>
              </w:rPr>
            </w:pPr>
          </w:p>
        </w:tc>
        <w:tc>
          <w:tcPr>
            <w:tcW w:w="350" w:type="pct"/>
            <w:shd w:val="clear" w:color="auto" w:fill="auto"/>
            <w:vAlign w:val="center"/>
          </w:tcPr>
          <w:p w14:paraId="606F6D63" w14:textId="77777777" w:rsidR="00FB67F9" w:rsidRDefault="00FB67F9">
            <w:pPr>
              <w:rPr>
                <w:rFonts w:ascii="Times New Roman" w:hAnsi="Times New Roman"/>
                <w:sz w:val="20"/>
                <w:szCs w:val="20"/>
              </w:rPr>
            </w:pPr>
          </w:p>
        </w:tc>
        <w:tc>
          <w:tcPr>
            <w:tcW w:w="50" w:type="pct"/>
            <w:shd w:val="clear" w:color="auto" w:fill="auto"/>
            <w:vAlign w:val="center"/>
          </w:tcPr>
          <w:p w14:paraId="606F6D64" w14:textId="77777777" w:rsidR="00FB67F9" w:rsidRDefault="00FB67F9">
            <w:pPr>
              <w:rPr>
                <w:rFonts w:ascii="Times New Roman" w:hAnsi="Times New Roman"/>
                <w:sz w:val="20"/>
                <w:szCs w:val="20"/>
              </w:rPr>
            </w:pPr>
          </w:p>
        </w:tc>
        <w:tc>
          <w:tcPr>
            <w:tcW w:w="50" w:type="pct"/>
            <w:shd w:val="clear" w:color="auto" w:fill="auto"/>
            <w:vAlign w:val="center"/>
          </w:tcPr>
          <w:p w14:paraId="606F6D65" w14:textId="77777777" w:rsidR="00FB67F9" w:rsidRDefault="00FB67F9">
            <w:pPr>
              <w:rPr>
                <w:rFonts w:ascii="Times New Roman" w:hAnsi="Times New Roman"/>
                <w:sz w:val="20"/>
                <w:szCs w:val="20"/>
              </w:rPr>
            </w:pPr>
          </w:p>
        </w:tc>
        <w:tc>
          <w:tcPr>
            <w:tcW w:w="550" w:type="pct"/>
            <w:shd w:val="clear" w:color="auto" w:fill="auto"/>
            <w:vAlign w:val="center"/>
          </w:tcPr>
          <w:p w14:paraId="606F6D66" w14:textId="77777777" w:rsidR="00FB67F9" w:rsidRDefault="00FB67F9">
            <w:pPr>
              <w:rPr>
                <w:rFonts w:ascii="Times New Roman" w:hAnsi="Times New Roman"/>
                <w:sz w:val="20"/>
                <w:szCs w:val="20"/>
              </w:rPr>
            </w:pPr>
          </w:p>
        </w:tc>
        <w:tc>
          <w:tcPr>
            <w:tcW w:w="50" w:type="pct"/>
            <w:shd w:val="clear" w:color="auto" w:fill="auto"/>
            <w:vAlign w:val="center"/>
          </w:tcPr>
          <w:p w14:paraId="606F6D67" w14:textId="77777777" w:rsidR="00FB67F9" w:rsidRDefault="00FB67F9">
            <w:pPr>
              <w:rPr>
                <w:rFonts w:ascii="Times New Roman" w:hAnsi="Times New Roman"/>
                <w:sz w:val="20"/>
                <w:szCs w:val="20"/>
              </w:rPr>
            </w:pPr>
          </w:p>
        </w:tc>
        <w:tc>
          <w:tcPr>
            <w:tcW w:w="50" w:type="pct"/>
            <w:shd w:val="clear" w:color="auto" w:fill="auto"/>
            <w:vAlign w:val="center"/>
          </w:tcPr>
          <w:p w14:paraId="606F6D68" w14:textId="77777777" w:rsidR="00FB67F9" w:rsidRDefault="00FB67F9">
            <w:pPr>
              <w:rPr>
                <w:rFonts w:ascii="Times New Roman" w:hAnsi="Times New Roman"/>
                <w:sz w:val="20"/>
                <w:szCs w:val="20"/>
              </w:rPr>
            </w:pPr>
          </w:p>
        </w:tc>
        <w:tc>
          <w:tcPr>
            <w:tcW w:w="300" w:type="pct"/>
            <w:shd w:val="clear" w:color="auto" w:fill="auto"/>
            <w:vAlign w:val="center"/>
          </w:tcPr>
          <w:p w14:paraId="606F6D69" w14:textId="77777777" w:rsidR="00FB67F9" w:rsidRDefault="00FB67F9">
            <w:pPr>
              <w:rPr>
                <w:rFonts w:ascii="Times New Roman" w:hAnsi="Times New Roman"/>
                <w:sz w:val="20"/>
                <w:szCs w:val="20"/>
              </w:rPr>
            </w:pPr>
          </w:p>
        </w:tc>
        <w:tc>
          <w:tcPr>
            <w:tcW w:w="50" w:type="pct"/>
            <w:shd w:val="clear" w:color="auto" w:fill="auto"/>
            <w:vAlign w:val="center"/>
          </w:tcPr>
          <w:p w14:paraId="606F6D6A" w14:textId="77777777" w:rsidR="00FB67F9" w:rsidRDefault="00FB67F9">
            <w:pPr>
              <w:rPr>
                <w:rFonts w:ascii="Times New Roman" w:hAnsi="Times New Roman"/>
                <w:sz w:val="20"/>
                <w:szCs w:val="20"/>
              </w:rPr>
            </w:pPr>
          </w:p>
        </w:tc>
        <w:tc>
          <w:tcPr>
            <w:tcW w:w="50" w:type="pct"/>
            <w:shd w:val="clear" w:color="auto" w:fill="auto"/>
            <w:vAlign w:val="center"/>
          </w:tcPr>
          <w:p w14:paraId="606F6D6B" w14:textId="77777777" w:rsidR="00FB67F9" w:rsidRDefault="00FB67F9">
            <w:pPr>
              <w:rPr>
                <w:rFonts w:ascii="Times New Roman" w:hAnsi="Times New Roman"/>
                <w:sz w:val="20"/>
                <w:szCs w:val="20"/>
              </w:rPr>
            </w:pPr>
          </w:p>
        </w:tc>
        <w:tc>
          <w:tcPr>
            <w:tcW w:w="300" w:type="pct"/>
            <w:shd w:val="clear" w:color="auto" w:fill="auto"/>
            <w:vAlign w:val="center"/>
          </w:tcPr>
          <w:p w14:paraId="606F6D6C" w14:textId="77777777" w:rsidR="00FB67F9" w:rsidRDefault="00FB67F9">
            <w:pPr>
              <w:rPr>
                <w:rFonts w:ascii="Times New Roman" w:hAnsi="Times New Roman"/>
                <w:sz w:val="20"/>
                <w:szCs w:val="20"/>
              </w:rPr>
            </w:pPr>
          </w:p>
        </w:tc>
        <w:tc>
          <w:tcPr>
            <w:tcW w:w="50" w:type="pct"/>
            <w:shd w:val="clear" w:color="auto" w:fill="auto"/>
            <w:vAlign w:val="center"/>
          </w:tcPr>
          <w:p w14:paraId="606F6D6D" w14:textId="77777777" w:rsidR="00FB67F9" w:rsidRDefault="00FB67F9">
            <w:pPr>
              <w:rPr>
                <w:rFonts w:ascii="Times New Roman" w:hAnsi="Times New Roman"/>
                <w:sz w:val="20"/>
                <w:szCs w:val="20"/>
              </w:rPr>
            </w:pPr>
          </w:p>
        </w:tc>
      </w:tr>
      <w:tr w:rsidR="00FB67F9" w14:paraId="606F6D79" w14:textId="77777777">
        <w:trPr>
          <w:jc w:val="center"/>
        </w:trPr>
        <w:tc>
          <w:tcPr>
            <w:tcW w:w="0" w:type="auto"/>
            <w:shd w:val="clear" w:color="auto" w:fill="auto"/>
            <w:tcMar>
              <w:top w:w="40" w:type="dxa"/>
              <w:left w:w="40" w:type="dxa"/>
              <w:bottom w:w="40" w:type="dxa"/>
              <w:right w:w="40" w:type="dxa"/>
            </w:tcMar>
            <w:vAlign w:val="bottom"/>
          </w:tcPr>
          <w:p w14:paraId="606F6D6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E87722"/>
            </w:tcBorders>
            <w:shd w:val="clear" w:color="auto" w:fill="auto"/>
            <w:tcMar>
              <w:top w:w="40" w:type="dxa"/>
              <w:left w:w="40" w:type="dxa"/>
              <w:bottom w:w="40" w:type="dxa"/>
            </w:tcMar>
            <w:vAlign w:val="bottom"/>
          </w:tcPr>
          <w:p w14:paraId="606F6D7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COMMON STOCK</w:t>
            </w:r>
          </w:p>
        </w:tc>
        <w:tc>
          <w:tcPr>
            <w:tcW w:w="0" w:type="auto"/>
            <w:gridSpan w:val="2"/>
            <w:vMerge w:val="restart"/>
            <w:shd w:val="clear" w:color="auto" w:fill="auto"/>
            <w:tcMar>
              <w:top w:w="40" w:type="dxa"/>
              <w:left w:w="40" w:type="dxa"/>
              <w:bottom w:w="40" w:type="dxa"/>
            </w:tcMar>
            <w:vAlign w:val="bottom"/>
          </w:tcPr>
          <w:p w14:paraId="606F6D7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CAPITAL IN EXCESS OF STATED VALUE</w:t>
            </w:r>
          </w:p>
        </w:tc>
        <w:tc>
          <w:tcPr>
            <w:tcW w:w="0" w:type="auto"/>
            <w:vMerge w:val="restart"/>
            <w:shd w:val="clear" w:color="auto" w:fill="auto"/>
            <w:vAlign w:val="bottom"/>
          </w:tcPr>
          <w:p w14:paraId="606F6D72"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D7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ACCUMULATED OTHER COMPREHENSIVE INCOME (LOSS)</w:t>
            </w:r>
          </w:p>
        </w:tc>
        <w:tc>
          <w:tcPr>
            <w:tcW w:w="0" w:type="auto"/>
            <w:vMerge w:val="restart"/>
            <w:shd w:val="clear" w:color="auto" w:fill="auto"/>
            <w:vAlign w:val="bottom"/>
          </w:tcPr>
          <w:p w14:paraId="606F6D74"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D7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RETAINED EARNINGS</w:t>
            </w:r>
          </w:p>
        </w:tc>
        <w:tc>
          <w:tcPr>
            <w:tcW w:w="0" w:type="auto"/>
            <w:vMerge w:val="restart"/>
            <w:shd w:val="clear" w:color="auto" w:fill="auto"/>
            <w:vAlign w:val="bottom"/>
          </w:tcPr>
          <w:p w14:paraId="606F6D76"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D7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vMerge w:val="restart"/>
            <w:shd w:val="clear" w:color="auto" w:fill="auto"/>
            <w:vAlign w:val="bottom"/>
          </w:tcPr>
          <w:p w14:paraId="606F6D78" w14:textId="77777777" w:rsidR="00FB67F9" w:rsidRDefault="00FB67F9">
            <w:pPr>
              <w:textAlignment w:val="bottom"/>
              <w:rPr>
                <w:rFonts w:ascii="Times New Roman" w:hAnsi="Times New Roman"/>
                <w:sz w:val="20"/>
                <w:szCs w:val="20"/>
              </w:rPr>
            </w:pPr>
          </w:p>
        </w:tc>
      </w:tr>
      <w:tr w:rsidR="00FB67F9" w14:paraId="606F6D86" w14:textId="77777777">
        <w:trPr>
          <w:jc w:val="center"/>
        </w:trPr>
        <w:tc>
          <w:tcPr>
            <w:tcW w:w="0" w:type="auto"/>
            <w:shd w:val="clear" w:color="auto" w:fill="auto"/>
            <w:tcMar>
              <w:top w:w="40" w:type="dxa"/>
              <w:left w:w="40" w:type="dxa"/>
              <w:bottom w:w="40" w:type="dxa"/>
              <w:right w:w="40" w:type="dxa"/>
            </w:tcMar>
            <w:vAlign w:val="bottom"/>
          </w:tcPr>
          <w:p w14:paraId="606F6D7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D7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A</w:t>
            </w:r>
          </w:p>
        </w:tc>
        <w:tc>
          <w:tcPr>
            <w:tcW w:w="0" w:type="auto"/>
            <w:shd w:val="clear" w:color="auto" w:fill="auto"/>
            <w:tcMar>
              <w:top w:w="40" w:type="dxa"/>
              <w:left w:w="40" w:type="dxa"/>
              <w:bottom w:w="40" w:type="dxa"/>
              <w:right w:w="40" w:type="dxa"/>
            </w:tcMar>
            <w:vAlign w:val="bottom"/>
          </w:tcPr>
          <w:p w14:paraId="606F6D7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D7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B</w:t>
            </w:r>
          </w:p>
        </w:tc>
        <w:tc>
          <w:tcPr>
            <w:tcW w:w="0" w:type="auto"/>
            <w:gridSpan w:val="2"/>
            <w:vMerge/>
            <w:shd w:val="clear" w:color="auto" w:fill="auto"/>
            <w:tcMar>
              <w:top w:w="40" w:type="dxa"/>
              <w:left w:w="40" w:type="dxa"/>
              <w:bottom w:w="40" w:type="dxa"/>
            </w:tcMar>
            <w:vAlign w:val="bottom"/>
          </w:tcPr>
          <w:p w14:paraId="606F6D7E" w14:textId="77777777" w:rsidR="00FB67F9" w:rsidRDefault="00FB67F9">
            <w:pPr>
              <w:rPr>
                <w:rFonts w:ascii="Times New Roman" w:hAnsi="Times New Roman"/>
                <w:sz w:val="20"/>
                <w:szCs w:val="20"/>
              </w:rPr>
            </w:pPr>
          </w:p>
        </w:tc>
        <w:tc>
          <w:tcPr>
            <w:tcW w:w="0" w:type="auto"/>
            <w:vMerge/>
            <w:shd w:val="clear" w:color="auto" w:fill="auto"/>
            <w:vAlign w:val="bottom"/>
          </w:tcPr>
          <w:p w14:paraId="606F6D7F"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D80" w14:textId="77777777" w:rsidR="00FB67F9" w:rsidRDefault="00FB67F9">
            <w:pPr>
              <w:rPr>
                <w:rFonts w:ascii="Times New Roman" w:hAnsi="Times New Roman"/>
                <w:sz w:val="20"/>
                <w:szCs w:val="20"/>
              </w:rPr>
            </w:pPr>
          </w:p>
        </w:tc>
        <w:tc>
          <w:tcPr>
            <w:tcW w:w="0" w:type="auto"/>
            <w:vMerge/>
            <w:shd w:val="clear" w:color="auto" w:fill="auto"/>
            <w:vAlign w:val="bottom"/>
          </w:tcPr>
          <w:p w14:paraId="606F6D81"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D82" w14:textId="77777777" w:rsidR="00FB67F9" w:rsidRDefault="00FB67F9">
            <w:pPr>
              <w:rPr>
                <w:rFonts w:ascii="Times New Roman" w:hAnsi="Times New Roman"/>
                <w:sz w:val="20"/>
                <w:szCs w:val="20"/>
              </w:rPr>
            </w:pPr>
          </w:p>
        </w:tc>
        <w:tc>
          <w:tcPr>
            <w:tcW w:w="0" w:type="auto"/>
            <w:vMerge/>
            <w:shd w:val="clear" w:color="auto" w:fill="auto"/>
            <w:vAlign w:val="bottom"/>
          </w:tcPr>
          <w:p w14:paraId="606F6D83"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D84" w14:textId="77777777" w:rsidR="00FB67F9" w:rsidRDefault="00FB67F9">
            <w:pPr>
              <w:rPr>
                <w:rFonts w:ascii="Times New Roman" w:hAnsi="Times New Roman"/>
                <w:sz w:val="20"/>
                <w:szCs w:val="20"/>
              </w:rPr>
            </w:pPr>
          </w:p>
        </w:tc>
        <w:tc>
          <w:tcPr>
            <w:tcW w:w="0" w:type="auto"/>
            <w:vMerge/>
            <w:shd w:val="clear" w:color="auto" w:fill="auto"/>
            <w:vAlign w:val="bottom"/>
          </w:tcPr>
          <w:p w14:paraId="606F6D85" w14:textId="77777777" w:rsidR="00FB67F9" w:rsidRDefault="00FB67F9">
            <w:pPr>
              <w:rPr>
                <w:rFonts w:ascii="Times New Roman" w:hAnsi="Times New Roman"/>
                <w:sz w:val="20"/>
                <w:szCs w:val="20"/>
              </w:rPr>
            </w:pPr>
          </w:p>
        </w:tc>
      </w:tr>
      <w:tr w:rsidR="00FB67F9" w14:paraId="606F6D99"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6D87"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shd w:val="clear" w:color="auto" w:fill="auto"/>
            <w:tcMar>
              <w:top w:w="40" w:type="dxa"/>
              <w:left w:w="40" w:type="dxa"/>
              <w:bottom w:w="40" w:type="dxa"/>
            </w:tcMar>
            <w:vAlign w:val="bottom"/>
          </w:tcPr>
          <w:p w14:paraId="606F6D8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shd w:val="clear" w:color="auto" w:fill="auto"/>
            <w:vAlign w:val="bottom"/>
          </w:tcPr>
          <w:p w14:paraId="606F6D89"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D8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shd w:val="clear" w:color="auto" w:fill="auto"/>
            <w:vAlign w:val="bottom"/>
          </w:tcPr>
          <w:p w14:paraId="606F6D8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D8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06F6D8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shd w:val="clear" w:color="auto" w:fill="auto"/>
            <w:vAlign w:val="bottom"/>
          </w:tcPr>
          <w:p w14:paraId="606F6D8E"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D8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shd w:val="clear" w:color="auto" w:fill="auto"/>
            <w:vAlign w:val="bottom"/>
          </w:tcPr>
          <w:p w14:paraId="606F6D90" w14:textId="77777777" w:rsidR="00FB67F9" w:rsidRDefault="00FB67F9">
            <w:pPr>
              <w:textAlignment w:val="bottom"/>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D91" w14:textId="77777777" w:rsidR="00FB67F9" w:rsidRDefault="00FB67F9">
            <w:pPr>
              <w:rPr>
                <w:rFonts w:ascii="Times New Roman" w:hAnsi="Times New Roman"/>
                <w:sz w:val="20"/>
                <w:szCs w:val="20"/>
              </w:rPr>
            </w:pPr>
          </w:p>
        </w:tc>
        <w:tc>
          <w:tcPr>
            <w:tcW w:w="0" w:type="auto"/>
            <w:vMerge/>
            <w:shd w:val="clear" w:color="auto" w:fill="auto"/>
            <w:vAlign w:val="bottom"/>
          </w:tcPr>
          <w:p w14:paraId="606F6D92"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D93" w14:textId="77777777" w:rsidR="00FB67F9" w:rsidRDefault="00FB67F9">
            <w:pPr>
              <w:rPr>
                <w:rFonts w:ascii="Times New Roman" w:hAnsi="Times New Roman"/>
                <w:sz w:val="20"/>
                <w:szCs w:val="20"/>
              </w:rPr>
            </w:pPr>
          </w:p>
        </w:tc>
        <w:tc>
          <w:tcPr>
            <w:tcW w:w="0" w:type="auto"/>
            <w:vMerge/>
            <w:shd w:val="clear" w:color="auto" w:fill="auto"/>
            <w:vAlign w:val="bottom"/>
          </w:tcPr>
          <w:p w14:paraId="606F6D94"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D95" w14:textId="77777777" w:rsidR="00FB67F9" w:rsidRDefault="00FB67F9">
            <w:pPr>
              <w:rPr>
                <w:rFonts w:ascii="Times New Roman" w:hAnsi="Times New Roman"/>
                <w:sz w:val="20"/>
                <w:szCs w:val="20"/>
              </w:rPr>
            </w:pPr>
          </w:p>
        </w:tc>
        <w:tc>
          <w:tcPr>
            <w:tcW w:w="0" w:type="auto"/>
            <w:vMerge/>
            <w:shd w:val="clear" w:color="auto" w:fill="auto"/>
            <w:vAlign w:val="bottom"/>
          </w:tcPr>
          <w:p w14:paraId="606F6D96"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D97" w14:textId="77777777" w:rsidR="00FB67F9" w:rsidRDefault="00FB67F9">
            <w:pPr>
              <w:rPr>
                <w:rFonts w:ascii="Times New Roman" w:hAnsi="Times New Roman"/>
                <w:sz w:val="20"/>
                <w:szCs w:val="20"/>
              </w:rPr>
            </w:pPr>
          </w:p>
        </w:tc>
        <w:tc>
          <w:tcPr>
            <w:tcW w:w="0" w:type="auto"/>
            <w:vMerge/>
            <w:shd w:val="clear" w:color="auto" w:fill="auto"/>
            <w:vAlign w:val="bottom"/>
          </w:tcPr>
          <w:p w14:paraId="606F6D98" w14:textId="77777777" w:rsidR="00FB67F9" w:rsidRDefault="00FB67F9">
            <w:pPr>
              <w:rPr>
                <w:rFonts w:ascii="Times New Roman" w:hAnsi="Times New Roman"/>
                <w:sz w:val="20"/>
                <w:szCs w:val="20"/>
              </w:rPr>
            </w:pPr>
          </w:p>
        </w:tc>
      </w:tr>
      <w:tr w:rsidR="00FB67F9" w14:paraId="606F6DB2"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D9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August 31, 2018</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9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320</w:t>
            </w:r>
          </w:p>
        </w:tc>
        <w:tc>
          <w:tcPr>
            <w:tcW w:w="0" w:type="auto"/>
            <w:tcBorders>
              <w:top w:val="single" w:sz="8" w:space="0" w:color="E87722"/>
              <w:bottom w:val="single" w:sz="8" w:space="0" w:color="E87722"/>
            </w:tcBorders>
            <w:shd w:val="clear" w:color="auto" w:fill="auto"/>
            <w:vAlign w:val="bottom"/>
          </w:tcPr>
          <w:p w14:paraId="606F6D9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9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D9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vAlign w:val="bottom"/>
          </w:tcPr>
          <w:p w14:paraId="606F6D9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D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A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1,269</w:t>
            </w:r>
          </w:p>
        </w:tc>
        <w:tc>
          <w:tcPr>
            <w:tcW w:w="0" w:type="auto"/>
            <w:tcBorders>
              <w:top w:val="single" w:sz="8" w:space="0" w:color="E87722"/>
              <w:bottom w:val="single" w:sz="8" w:space="0" w:color="E87722"/>
            </w:tcBorders>
            <w:shd w:val="clear" w:color="auto" w:fill="auto"/>
            <w:vAlign w:val="bottom"/>
          </w:tcPr>
          <w:p w14:paraId="606F6DA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A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DA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vAlign w:val="bottom"/>
          </w:tcPr>
          <w:p w14:paraId="606F6DA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A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DA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6,525</w:t>
            </w:r>
          </w:p>
        </w:tc>
        <w:tc>
          <w:tcPr>
            <w:tcW w:w="0" w:type="auto"/>
            <w:tcBorders>
              <w:top w:val="single" w:sz="8" w:space="0" w:color="E87722"/>
              <w:bottom w:val="single" w:sz="8" w:space="0" w:color="E87722"/>
            </w:tcBorders>
            <w:shd w:val="clear" w:color="auto" w:fill="auto"/>
            <w:vAlign w:val="bottom"/>
          </w:tcPr>
          <w:p w14:paraId="606F6DA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A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DA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6DA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A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DA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2,494</w:t>
            </w:r>
          </w:p>
        </w:tc>
        <w:tc>
          <w:tcPr>
            <w:tcW w:w="0" w:type="auto"/>
            <w:tcBorders>
              <w:top w:val="single" w:sz="8" w:space="0" w:color="E87722"/>
              <w:bottom w:val="single" w:sz="8" w:space="0" w:color="E87722"/>
            </w:tcBorders>
            <w:shd w:val="clear" w:color="auto" w:fill="auto"/>
            <w:vAlign w:val="bottom"/>
          </w:tcPr>
          <w:p w14:paraId="606F6DA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DA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DB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8,992</w:t>
            </w:r>
          </w:p>
        </w:tc>
        <w:tc>
          <w:tcPr>
            <w:tcW w:w="0" w:type="auto"/>
            <w:tcBorders>
              <w:top w:val="single" w:sz="8" w:space="0" w:color="E87722"/>
              <w:bottom w:val="single" w:sz="8" w:space="0" w:color="E87722"/>
            </w:tcBorders>
            <w:shd w:val="clear" w:color="auto" w:fill="auto"/>
            <w:vAlign w:val="bottom"/>
          </w:tcPr>
          <w:p w14:paraId="606F6DB1" w14:textId="77777777" w:rsidR="00FB67F9" w:rsidRDefault="00FB67F9">
            <w:pPr>
              <w:textAlignment w:val="bottom"/>
              <w:rPr>
                <w:rFonts w:ascii="Times New Roman" w:hAnsi="Times New Roman"/>
                <w:sz w:val="20"/>
                <w:szCs w:val="20"/>
              </w:rPr>
            </w:pPr>
          </w:p>
        </w:tc>
      </w:tr>
      <w:tr w:rsidR="00FB67F9" w14:paraId="606F6DC0" w14:textId="77777777">
        <w:trPr>
          <w:jc w:val="center"/>
        </w:trPr>
        <w:tc>
          <w:tcPr>
            <w:tcW w:w="0" w:type="auto"/>
            <w:shd w:val="clear" w:color="auto" w:fill="auto"/>
            <w:tcMar>
              <w:top w:w="40" w:type="dxa"/>
              <w:left w:w="40" w:type="dxa"/>
              <w:bottom w:w="40" w:type="dxa"/>
              <w:right w:w="40" w:type="dxa"/>
            </w:tcMar>
            <w:vAlign w:val="bottom"/>
          </w:tcPr>
          <w:p w14:paraId="606F6DB3" w14:textId="77777777" w:rsidR="00FB67F9" w:rsidRDefault="00E839DF">
            <w:pPr>
              <w:textAlignment w:val="bottom"/>
              <w:rPr>
                <w:rFonts w:ascii="Times New Roman" w:hAnsi="Times New Roman"/>
                <w:sz w:val="17"/>
                <w:szCs w:val="17"/>
              </w:rPr>
            </w:pPr>
            <w:r>
              <w:rPr>
                <w:rFonts w:ascii="Arial" w:eastAsia="宋体" w:hAnsi="Arial" w:cs="Arial"/>
                <w:sz w:val="17"/>
                <w:szCs w:val="17"/>
              </w:rPr>
              <w:t>Stock options exercised</w:t>
            </w:r>
          </w:p>
        </w:tc>
        <w:tc>
          <w:tcPr>
            <w:tcW w:w="0" w:type="auto"/>
            <w:gridSpan w:val="2"/>
            <w:shd w:val="clear" w:color="auto" w:fill="auto"/>
            <w:tcMar>
              <w:top w:w="40" w:type="dxa"/>
              <w:left w:w="40" w:type="dxa"/>
              <w:bottom w:w="40" w:type="dxa"/>
              <w:right w:w="40" w:type="dxa"/>
            </w:tcMar>
            <w:vAlign w:val="bottom"/>
          </w:tcPr>
          <w:p w14:paraId="606F6DB4"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6DB5" w14:textId="77777777" w:rsidR="00FB67F9" w:rsidRDefault="00FB67F9">
            <w:pPr>
              <w:textAlignment w:val="bottom"/>
              <w:rPr>
                <w:rFonts w:ascii="Times New Roman" w:hAnsi="Times New Roman"/>
                <w:sz w:val="17"/>
                <w:szCs w:val="17"/>
              </w:rPr>
            </w:pPr>
          </w:p>
        </w:tc>
        <w:tc>
          <w:tcPr>
            <w:tcW w:w="0" w:type="auto"/>
            <w:shd w:val="clear" w:color="auto" w:fill="auto"/>
            <w:tcMar>
              <w:top w:w="40" w:type="dxa"/>
              <w:left w:w="40" w:type="dxa"/>
              <w:bottom w:w="40" w:type="dxa"/>
              <w:right w:w="40" w:type="dxa"/>
            </w:tcMar>
            <w:vAlign w:val="bottom"/>
          </w:tcPr>
          <w:p w14:paraId="606F6DB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06F6DB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vAlign w:val="bottom"/>
          </w:tcPr>
          <w:p w14:paraId="606F6DB8" w14:textId="77777777" w:rsidR="00FB67F9" w:rsidRDefault="00FB67F9">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606F6DB9" w14:textId="77777777" w:rsidR="00FB67F9" w:rsidRDefault="00FB67F9">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606F6D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78</w:t>
            </w:r>
          </w:p>
        </w:tc>
        <w:tc>
          <w:tcPr>
            <w:tcW w:w="0" w:type="auto"/>
            <w:shd w:val="clear" w:color="auto" w:fill="auto"/>
            <w:vAlign w:val="bottom"/>
          </w:tcPr>
          <w:p w14:paraId="606F6DBB" w14:textId="77777777" w:rsidR="00FB67F9" w:rsidRDefault="00FB67F9">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606F6DBC"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6DBD" w14:textId="77777777" w:rsidR="00FB67F9" w:rsidRDefault="00FB67F9">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606F6D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78</w:t>
            </w:r>
          </w:p>
        </w:tc>
        <w:tc>
          <w:tcPr>
            <w:tcW w:w="0" w:type="auto"/>
            <w:shd w:val="clear" w:color="auto" w:fill="auto"/>
            <w:vAlign w:val="bottom"/>
          </w:tcPr>
          <w:p w14:paraId="606F6DBF" w14:textId="77777777" w:rsidR="00FB67F9" w:rsidRDefault="00FB67F9">
            <w:pPr>
              <w:textAlignment w:val="bottom"/>
              <w:rPr>
                <w:rFonts w:ascii="Times New Roman" w:hAnsi="Times New Roman"/>
                <w:sz w:val="20"/>
                <w:szCs w:val="20"/>
              </w:rPr>
            </w:pPr>
          </w:p>
        </w:tc>
      </w:tr>
      <w:tr w:rsidR="00FB67F9" w14:paraId="606F6DD0"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DC1"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Conversion to Class B Common Stock</w:t>
            </w:r>
          </w:p>
        </w:tc>
        <w:tc>
          <w:tcPr>
            <w:tcW w:w="0" w:type="auto"/>
            <w:tcBorders>
              <w:top w:val="single" w:sz="8" w:space="0" w:color="808080"/>
            </w:tcBorders>
            <w:shd w:val="clear" w:color="auto" w:fill="auto"/>
            <w:tcMar>
              <w:top w:w="40" w:type="dxa"/>
              <w:left w:w="40" w:type="dxa"/>
              <w:bottom w:w="40" w:type="dxa"/>
            </w:tcMar>
            <w:vAlign w:val="bottom"/>
          </w:tcPr>
          <w:p w14:paraId="606F6D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606F6DC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C4"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DC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DC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vAlign w:val="bottom"/>
          </w:tcPr>
          <w:p w14:paraId="606F6DC7"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C8"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C9"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auto"/>
            <w:vAlign w:val="bottom"/>
          </w:tcPr>
          <w:p w14:paraId="606F6DCA"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CB"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CC"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auto"/>
            <w:vAlign w:val="bottom"/>
          </w:tcPr>
          <w:p w14:paraId="606F6DC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6DCF" w14:textId="77777777" w:rsidR="00FB67F9" w:rsidRDefault="00FB67F9">
            <w:pPr>
              <w:textAlignment w:val="bottom"/>
              <w:rPr>
                <w:rFonts w:ascii="Times New Roman" w:hAnsi="Times New Roman"/>
                <w:sz w:val="20"/>
                <w:szCs w:val="20"/>
              </w:rPr>
            </w:pPr>
          </w:p>
        </w:tc>
      </w:tr>
      <w:tr w:rsidR="00FB67F9" w14:paraId="606F6DDF"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DD1" w14:textId="77777777" w:rsidR="00FB67F9" w:rsidRDefault="00E839DF">
            <w:pPr>
              <w:textAlignment w:val="bottom"/>
              <w:rPr>
                <w:rFonts w:ascii="Times New Roman" w:hAnsi="Times New Roman"/>
                <w:sz w:val="17"/>
                <w:szCs w:val="17"/>
              </w:rPr>
            </w:pPr>
            <w:r>
              <w:rPr>
                <w:rFonts w:ascii="Arial" w:eastAsia="宋体" w:hAnsi="Arial" w:cs="Arial"/>
                <w:sz w:val="17"/>
                <w:szCs w:val="17"/>
              </w:rPr>
              <w:t>Repurchase of Class B Common Stock</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DD2"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D3"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DD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D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808080"/>
            </w:tcBorders>
            <w:shd w:val="clear" w:color="auto" w:fill="auto"/>
            <w:tcMar>
              <w:top w:w="40" w:type="dxa"/>
              <w:bottom w:w="40" w:type="dxa"/>
              <w:right w:w="40" w:type="dxa"/>
            </w:tcMar>
            <w:vAlign w:val="bottom"/>
          </w:tcPr>
          <w:p w14:paraId="606F6DD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D7"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(68</w:t>
            </w:r>
          </w:p>
        </w:tc>
        <w:tc>
          <w:tcPr>
            <w:tcW w:w="0" w:type="auto"/>
            <w:tcBorders>
              <w:top w:val="single" w:sz="8" w:space="0" w:color="808080"/>
            </w:tcBorders>
            <w:shd w:val="clear" w:color="auto" w:fill="auto"/>
            <w:tcMar>
              <w:top w:w="40" w:type="dxa"/>
              <w:bottom w:w="40" w:type="dxa"/>
              <w:right w:w="40" w:type="dxa"/>
            </w:tcMar>
            <w:vAlign w:val="bottom"/>
          </w:tcPr>
          <w:p w14:paraId="606F6DD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DA"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(1,183</w:t>
            </w:r>
          </w:p>
        </w:tc>
        <w:tc>
          <w:tcPr>
            <w:tcW w:w="0" w:type="auto"/>
            <w:tcBorders>
              <w:top w:val="single" w:sz="8" w:space="0" w:color="808080"/>
            </w:tcBorders>
            <w:shd w:val="clear" w:color="auto" w:fill="auto"/>
            <w:tcMar>
              <w:top w:w="40" w:type="dxa"/>
              <w:bottom w:w="40" w:type="dxa"/>
              <w:right w:w="40" w:type="dxa"/>
            </w:tcMar>
            <w:vAlign w:val="bottom"/>
          </w:tcPr>
          <w:p w14:paraId="606F6DD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D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(1,251</w:t>
            </w:r>
          </w:p>
        </w:tc>
        <w:tc>
          <w:tcPr>
            <w:tcW w:w="0" w:type="auto"/>
            <w:tcBorders>
              <w:top w:val="single" w:sz="8" w:space="0" w:color="808080"/>
            </w:tcBorders>
            <w:shd w:val="clear" w:color="auto" w:fill="auto"/>
            <w:tcMar>
              <w:top w:w="40" w:type="dxa"/>
              <w:bottom w:w="40" w:type="dxa"/>
              <w:right w:w="40" w:type="dxa"/>
            </w:tcMar>
            <w:vAlign w:val="bottom"/>
          </w:tcPr>
          <w:p w14:paraId="606F6DD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DEC" w14:textId="77777777">
        <w:trPr>
          <w:jc w:val="center"/>
        </w:trPr>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DE0" w14:textId="77777777" w:rsidR="00FB67F9" w:rsidRDefault="00E839DF">
            <w:pPr>
              <w:textAlignment w:val="bottom"/>
              <w:rPr>
                <w:rFonts w:ascii="Times New Roman" w:hAnsi="Times New Roman"/>
                <w:sz w:val="17"/>
                <w:szCs w:val="17"/>
              </w:rPr>
            </w:pPr>
            <w:r>
              <w:rPr>
                <w:rFonts w:ascii="Arial" w:eastAsia="宋体" w:hAnsi="Arial" w:cs="Arial"/>
                <w:sz w:val="17"/>
                <w:szCs w:val="17"/>
              </w:rPr>
              <w:t>Dividends on common stock ($0.22 per share)</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DE1"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E2"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DE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DE4"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E5"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E6"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E7"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E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(348</w:t>
            </w:r>
          </w:p>
        </w:tc>
        <w:tc>
          <w:tcPr>
            <w:tcW w:w="0" w:type="auto"/>
            <w:tcBorders>
              <w:top w:val="single" w:sz="8" w:space="0" w:color="808080"/>
            </w:tcBorders>
            <w:shd w:val="clear" w:color="auto" w:fill="auto"/>
            <w:tcMar>
              <w:top w:w="40" w:type="dxa"/>
              <w:bottom w:w="40" w:type="dxa"/>
              <w:right w:w="40" w:type="dxa"/>
            </w:tcMar>
            <w:vAlign w:val="bottom"/>
          </w:tcPr>
          <w:p w14:paraId="606F6DE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DE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(348</w:t>
            </w:r>
          </w:p>
        </w:tc>
        <w:tc>
          <w:tcPr>
            <w:tcW w:w="0" w:type="auto"/>
            <w:tcBorders>
              <w:top w:val="single" w:sz="8" w:space="0" w:color="808080"/>
            </w:tcBorders>
            <w:shd w:val="clear" w:color="auto" w:fill="auto"/>
            <w:tcMar>
              <w:top w:w="40" w:type="dxa"/>
              <w:bottom w:w="40" w:type="dxa"/>
              <w:right w:w="40" w:type="dxa"/>
            </w:tcMar>
            <w:vAlign w:val="bottom"/>
          </w:tcPr>
          <w:p w14:paraId="606F6DE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DFB"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DED" w14:textId="77777777" w:rsidR="00FB67F9" w:rsidRDefault="00E839DF">
            <w:pPr>
              <w:textAlignment w:val="bottom"/>
              <w:rPr>
                <w:rFonts w:ascii="Times New Roman" w:hAnsi="Times New Roman"/>
                <w:sz w:val="17"/>
                <w:szCs w:val="17"/>
              </w:rPr>
            </w:pPr>
            <w:r>
              <w:rPr>
                <w:rFonts w:ascii="Arial" w:eastAsia="宋体" w:hAnsi="Arial" w:cs="Arial"/>
                <w:sz w:val="17"/>
                <w:szCs w:val="17"/>
              </w:rPr>
              <w:t>Issuance of shares to employees, net of shares withheld for employee taxes</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DEE"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EF"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DF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D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vAlign w:val="bottom"/>
          </w:tcPr>
          <w:p w14:paraId="606F6DF2"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F3"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F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80</w:t>
            </w:r>
          </w:p>
        </w:tc>
        <w:tc>
          <w:tcPr>
            <w:tcW w:w="0" w:type="auto"/>
            <w:tcBorders>
              <w:top w:val="single" w:sz="8" w:space="0" w:color="808080"/>
            </w:tcBorders>
            <w:shd w:val="clear" w:color="auto" w:fill="auto"/>
            <w:vAlign w:val="bottom"/>
          </w:tcPr>
          <w:p w14:paraId="606F6DF5"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F6"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F7"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auto"/>
            <w:vAlign w:val="bottom"/>
          </w:tcPr>
          <w:p w14:paraId="606F6DF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DF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80</w:t>
            </w:r>
          </w:p>
        </w:tc>
        <w:tc>
          <w:tcPr>
            <w:tcW w:w="0" w:type="auto"/>
            <w:tcBorders>
              <w:top w:val="single" w:sz="8" w:space="0" w:color="808080"/>
            </w:tcBorders>
            <w:shd w:val="clear" w:color="auto" w:fill="auto"/>
            <w:vAlign w:val="bottom"/>
          </w:tcPr>
          <w:p w14:paraId="606F6DFA" w14:textId="77777777" w:rsidR="00FB67F9" w:rsidRDefault="00FB67F9">
            <w:pPr>
              <w:textAlignment w:val="bottom"/>
              <w:rPr>
                <w:rFonts w:ascii="Times New Roman" w:hAnsi="Times New Roman"/>
                <w:sz w:val="20"/>
                <w:szCs w:val="20"/>
              </w:rPr>
            </w:pPr>
          </w:p>
        </w:tc>
      </w:tr>
      <w:tr w:rsidR="00FB67F9" w14:paraId="606F6E08"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DFC" w14:textId="77777777" w:rsidR="00FB67F9" w:rsidRDefault="00E839DF">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DFD"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DFE"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DF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E00"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E01"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E0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92</w:t>
            </w:r>
          </w:p>
        </w:tc>
        <w:tc>
          <w:tcPr>
            <w:tcW w:w="0" w:type="auto"/>
            <w:tcBorders>
              <w:top w:val="single" w:sz="8" w:space="0" w:color="808080"/>
            </w:tcBorders>
            <w:shd w:val="clear" w:color="auto" w:fill="auto"/>
            <w:vAlign w:val="bottom"/>
          </w:tcPr>
          <w:p w14:paraId="606F6E03"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E04"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E05"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E0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92</w:t>
            </w:r>
          </w:p>
        </w:tc>
        <w:tc>
          <w:tcPr>
            <w:tcW w:w="0" w:type="auto"/>
            <w:tcBorders>
              <w:top w:val="single" w:sz="8" w:space="0" w:color="808080"/>
            </w:tcBorders>
            <w:shd w:val="clear" w:color="auto" w:fill="auto"/>
            <w:vAlign w:val="bottom"/>
          </w:tcPr>
          <w:p w14:paraId="606F6E07" w14:textId="77777777" w:rsidR="00FB67F9" w:rsidRDefault="00FB67F9">
            <w:pPr>
              <w:textAlignment w:val="bottom"/>
              <w:rPr>
                <w:rFonts w:ascii="Times New Roman" w:hAnsi="Times New Roman"/>
                <w:sz w:val="20"/>
                <w:szCs w:val="20"/>
              </w:rPr>
            </w:pPr>
          </w:p>
        </w:tc>
      </w:tr>
      <w:tr w:rsidR="00FB67F9" w14:paraId="606F6E15" w14:textId="77777777">
        <w:trPr>
          <w:jc w:val="center"/>
        </w:trPr>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09" w14:textId="77777777" w:rsidR="00FB67F9" w:rsidRDefault="00E839DF">
            <w:pPr>
              <w:textAlignment w:val="bottom"/>
              <w:rPr>
                <w:rFonts w:ascii="Times New Roman" w:hAnsi="Times New Roman"/>
                <w:sz w:val="17"/>
                <w:szCs w:val="17"/>
              </w:rPr>
            </w:pPr>
            <w:r>
              <w:rPr>
                <w:rFonts w:ascii="Arial" w:eastAsia="宋体" w:hAnsi="Arial" w:cs="Arial"/>
                <w:sz w:val="17"/>
                <w:szCs w:val="17"/>
              </w:rPr>
              <w:t>Net income</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0A"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0B"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0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0D"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0E"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0F"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10"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E1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847</w:t>
            </w:r>
          </w:p>
        </w:tc>
        <w:tc>
          <w:tcPr>
            <w:tcW w:w="0" w:type="auto"/>
            <w:tcBorders>
              <w:top w:val="single" w:sz="8" w:space="0" w:color="808080"/>
              <w:bottom w:val="single" w:sz="8" w:space="0" w:color="808080"/>
            </w:tcBorders>
            <w:shd w:val="clear" w:color="auto" w:fill="auto"/>
            <w:vAlign w:val="bottom"/>
          </w:tcPr>
          <w:p w14:paraId="606F6E1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E1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847</w:t>
            </w:r>
          </w:p>
        </w:tc>
        <w:tc>
          <w:tcPr>
            <w:tcW w:w="0" w:type="auto"/>
            <w:tcBorders>
              <w:top w:val="single" w:sz="8" w:space="0" w:color="808080"/>
              <w:bottom w:val="single" w:sz="8" w:space="0" w:color="808080"/>
            </w:tcBorders>
            <w:shd w:val="clear" w:color="auto" w:fill="auto"/>
            <w:vAlign w:val="bottom"/>
          </w:tcPr>
          <w:p w14:paraId="606F6E14" w14:textId="77777777" w:rsidR="00FB67F9" w:rsidRDefault="00FB67F9">
            <w:pPr>
              <w:textAlignment w:val="bottom"/>
              <w:rPr>
                <w:rFonts w:ascii="Times New Roman" w:hAnsi="Times New Roman"/>
                <w:sz w:val="20"/>
                <w:szCs w:val="20"/>
              </w:rPr>
            </w:pPr>
          </w:p>
        </w:tc>
      </w:tr>
      <w:tr w:rsidR="00FB67F9" w14:paraId="606F6E22" w14:textId="77777777">
        <w:trPr>
          <w:jc w:val="center"/>
        </w:trPr>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6"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Other </w:t>
            </w:r>
            <w:r>
              <w:rPr>
                <w:rFonts w:ascii="Arial" w:eastAsia="宋体" w:hAnsi="Arial" w:cs="Arial"/>
                <w:sz w:val="17"/>
                <w:szCs w:val="17"/>
              </w:rPr>
              <w:t>comprehensive income (loss)</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7"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8"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A"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B"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C"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6E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239</w:t>
            </w:r>
          </w:p>
        </w:tc>
        <w:tc>
          <w:tcPr>
            <w:tcW w:w="0" w:type="auto"/>
            <w:tcBorders>
              <w:top w:val="single" w:sz="8" w:space="0" w:color="808080"/>
              <w:bottom w:val="single" w:sz="8" w:space="0" w:color="E87722"/>
            </w:tcBorders>
            <w:shd w:val="clear" w:color="auto" w:fill="auto"/>
            <w:vAlign w:val="bottom"/>
          </w:tcPr>
          <w:p w14:paraId="606F6E1E"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E1F"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6E2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239</w:t>
            </w:r>
          </w:p>
        </w:tc>
        <w:tc>
          <w:tcPr>
            <w:tcW w:w="0" w:type="auto"/>
            <w:tcBorders>
              <w:top w:val="single" w:sz="8" w:space="0" w:color="808080"/>
              <w:bottom w:val="single" w:sz="8" w:space="0" w:color="E87722"/>
            </w:tcBorders>
            <w:shd w:val="clear" w:color="auto" w:fill="auto"/>
            <w:vAlign w:val="bottom"/>
          </w:tcPr>
          <w:p w14:paraId="606F6E21" w14:textId="77777777" w:rsidR="00FB67F9" w:rsidRDefault="00FB67F9">
            <w:pPr>
              <w:textAlignment w:val="bottom"/>
              <w:rPr>
                <w:rFonts w:ascii="Times New Roman" w:hAnsi="Times New Roman"/>
                <w:sz w:val="20"/>
                <w:szCs w:val="20"/>
              </w:rPr>
            </w:pPr>
          </w:p>
        </w:tc>
      </w:tr>
      <w:tr w:rsidR="00FB67F9" w14:paraId="606F6E3B"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6E2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November 30, 2018</w:t>
            </w:r>
          </w:p>
        </w:tc>
        <w:tc>
          <w:tcPr>
            <w:tcW w:w="0" w:type="auto"/>
            <w:tcBorders>
              <w:bottom w:val="single" w:sz="8" w:space="0" w:color="E87722"/>
            </w:tcBorders>
            <w:shd w:val="clear" w:color="auto" w:fill="auto"/>
            <w:tcMar>
              <w:top w:w="40" w:type="dxa"/>
              <w:left w:w="40" w:type="dxa"/>
              <w:bottom w:w="40" w:type="dxa"/>
            </w:tcMar>
            <w:vAlign w:val="bottom"/>
          </w:tcPr>
          <w:p w14:paraId="606F6E2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bottom w:val="single" w:sz="8" w:space="0" w:color="E87722"/>
            </w:tcBorders>
            <w:shd w:val="clear" w:color="auto" w:fill="auto"/>
            <w:vAlign w:val="bottom"/>
          </w:tcPr>
          <w:p w14:paraId="606F6E25"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E2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E2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vAlign w:val="bottom"/>
          </w:tcPr>
          <w:p w14:paraId="606F6E28"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E2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606F6E2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1,262</w:t>
            </w:r>
          </w:p>
        </w:tc>
        <w:tc>
          <w:tcPr>
            <w:tcW w:w="0" w:type="auto"/>
            <w:tcBorders>
              <w:bottom w:val="single" w:sz="8" w:space="0" w:color="E87722"/>
            </w:tcBorders>
            <w:shd w:val="clear" w:color="auto" w:fill="auto"/>
            <w:vAlign w:val="bottom"/>
          </w:tcPr>
          <w:p w14:paraId="606F6E2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E2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E2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vAlign w:val="bottom"/>
          </w:tcPr>
          <w:p w14:paraId="606F6E2E"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E2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E3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6,707</w:t>
            </w:r>
          </w:p>
        </w:tc>
        <w:tc>
          <w:tcPr>
            <w:tcW w:w="0" w:type="auto"/>
            <w:tcBorders>
              <w:bottom w:val="single" w:sz="8" w:space="0" w:color="E87722"/>
            </w:tcBorders>
            <w:shd w:val="clear" w:color="auto" w:fill="auto"/>
            <w:vAlign w:val="bottom"/>
          </w:tcPr>
          <w:p w14:paraId="606F6E31"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E3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E3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w:t>
            </w:r>
          </w:p>
        </w:tc>
        <w:tc>
          <w:tcPr>
            <w:tcW w:w="0" w:type="auto"/>
            <w:tcBorders>
              <w:bottom w:val="single" w:sz="8" w:space="0" w:color="E87722"/>
            </w:tcBorders>
            <w:shd w:val="clear" w:color="auto" w:fill="auto"/>
            <w:vAlign w:val="bottom"/>
          </w:tcPr>
          <w:p w14:paraId="606F6E3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E3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E3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1,810</w:t>
            </w:r>
          </w:p>
        </w:tc>
        <w:tc>
          <w:tcPr>
            <w:tcW w:w="0" w:type="auto"/>
            <w:tcBorders>
              <w:bottom w:val="single" w:sz="8" w:space="0" w:color="E87722"/>
            </w:tcBorders>
            <w:shd w:val="clear" w:color="auto" w:fill="auto"/>
            <w:vAlign w:val="bottom"/>
          </w:tcPr>
          <w:p w14:paraId="606F6E37"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E3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E3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8,729</w:t>
            </w:r>
          </w:p>
        </w:tc>
        <w:tc>
          <w:tcPr>
            <w:tcW w:w="0" w:type="auto"/>
            <w:tcBorders>
              <w:bottom w:val="single" w:sz="8" w:space="0" w:color="E87722"/>
            </w:tcBorders>
            <w:shd w:val="clear" w:color="auto" w:fill="auto"/>
            <w:vAlign w:val="bottom"/>
          </w:tcPr>
          <w:p w14:paraId="606F6E3A" w14:textId="77777777" w:rsidR="00FB67F9" w:rsidRDefault="00FB67F9">
            <w:pPr>
              <w:textAlignment w:val="bottom"/>
              <w:rPr>
                <w:rFonts w:ascii="Times New Roman" w:hAnsi="Times New Roman"/>
                <w:sz w:val="20"/>
                <w:szCs w:val="20"/>
              </w:rPr>
            </w:pPr>
          </w:p>
        </w:tc>
      </w:tr>
    </w:tbl>
    <w:p w14:paraId="606F6E3C" w14:textId="77777777" w:rsidR="00FB67F9" w:rsidRDefault="00FB67F9">
      <w:pPr>
        <w:spacing w:line="312" w:lineRule="auto"/>
        <w:jc w:val="center"/>
        <w:rPr>
          <w:rFonts w:ascii="Times New Roman" w:hAnsi="Times New Roman"/>
          <w:sz w:val="17"/>
          <w:szCs w:val="17"/>
        </w:rPr>
      </w:pPr>
    </w:p>
    <w:p w14:paraId="606F6E3D" w14:textId="77777777" w:rsidR="00FB67F9" w:rsidRDefault="00FB67F9">
      <w:pPr>
        <w:rPr>
          <w:rFonts w:ascii="Times New Roman" w:hAnsi="Times New Roman"/>
          <w:sz w:val="20"/>
          <w:szCs w:val="20"/>
        </w:rPr>
      </w:pPr>
    </w:p>
    <w:p w14:paraId="606F6E3E"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5</w:t>
      </w:r>
    </w:p>
    <w:p w14:paraId="606F6E3F" w14:textId="77777777" w:rsidR="00FB67F9" w:rsidRDefault="00E839DF">
      <w:r>
        <w:rPr>
          <w:rFonts w:ascii="Times New Roman" w:hAnsi="Times New Roman"/>
          <w:sz w:val="17"/>
          <w:szCs w:val="17"/>
        </w:rPr>
        <w:pict w14:anchorId="606F8F82">
          <v:rect id="_x0000_i1031" style="width:415.3pt;height:1.5pt" o:hralign="center" o:hrstd="t" o:hr="t" fillcolor="#a0a0a0" stroked="f"/>
        </w:pict>
      </w:r>
    </w:p>
    <w:p w14:paraId="606F6E40" w14:textId="77777777" w:rsidR="00FB67F9" w:rsidRDefault="00FB67F9">
      <w:pPr>
        <w:rPr>
          <w:rFonts w:ascii="Times New Roman" w:hAnsi="Times New Roman"/>
          <w:sz w:val="17"/>
          <w:szCs w:val="17"/>
        </w:rPr>
      </w:pPr>
    </w:p>
    <w:p w14:paraId="606F6E41" w14:textId="77777777" w:rsidR="00FB67F9" w:rsidRDefault="00E839DF">
      <w:pPr>
        <w:rPr>
          <w:rFonts w:ascii="Times New Roman" w:hAnsi="Times New Roman"/>
          <w:sz w:val="17"/>
          <w:szCs w:val="17"/>
        </w:rPr>
      </w:pPr>
      <w:hyperlink r:id="rId49" w:anchor="s42C493F7582652B69E70047AB812E6A5" w:history="1">
        <w:r>
          <w:rPr>
            <w:rStyle w:val="a5"/>
            <w:rFonts w:ascii="sans-serif" w:eastAsia="sans-serif" w:hAnsi="sans-serif" w:cs="sans-serif"/>
            <w:sz w:val="17"/>
            <w:szCs w:val="17"/>
          </w:rPr>
          <w:t>Table of Contents</w:t>
        </w:r>
      </w:hyperlink>
    </w:p>
    <w:p w14:paraId="606F6E42" w14:textId="77777777" w:rsidR="00FB67F9" w:rsidRDefault="00FB67F9">
      <w:pPr>
        <w:rPr>
          <w:rFonts w:ascii="Times New Roman" w:hAnsi="Times New Roman"/>
          <w:sz w:val="17"/>
          <w:szCs w:val="17"/>
        </w:rPr>
      </w:pPr>
    </w:p>
    <w:p w14:paraId="606F6E43" w14:textId="77777777" w:rsidR="00FB67F9" w:rsidRDefault="00FB67F9">
      <w:pPr>
        <w:rPr>
          <w:rFonts w:ascii="Times New Roman" w:hAnsi="Times New Roman"/>
          <w:sz w:val="20"/>
          <w:szCs w:val="20"/>
        </w:rPr>
      </w:pPr>
    </w:p>
    <w:p w14:paraId="606F6E44"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NIKE, INC.</w:t>
      </w:r>
    </w:p>
    <w:p w14:paraId="606F6E45"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 xml:space="preserve">UNAUDITED CONDENSED CONSOLIDATED STATEMENTS OF </w:t>
      </w:r>
      <w:r>
        <w:rPr>
          <w:rFonts w:ascii="sans-serif" w:eastAsia="sans-serif" w:hAnsi="sans-serif" w:cs="sans-serif"/>
          <w:b/>
          <w:bCs/>
          <w:color w:val="000000"/>
          <w:sz w:val="28"/>
          <w:szCs w:val="28"/>
        </w:rPr>
        <w:t>SHAREHOLDERS' EQUITY</w:t>
      </w:r>
    </w:p>
    <w:tbl>
      <w:tblPr>
        <w:tblW w:w="5000" w:type="pct"/>
        <w:jc w:val="center"/>
        <w:tblCellMar>
          <w:left w:w="0" w:type="dxa"/>
          <w:right w:w="0" w:type="dxa"/>
        </w:tblCellMar>
        <w:tblLook w:val="04A0" w:firstRow="1" w:lastRow="0" w:firstColumn="1" w:lastColumn="0" w:noHBand="0" w:noVBand="1"/>
      </w:tblPr>
      <w:tblGrid>
        <w:gridCol w:w="1483"/>
        <w:gridCol w:w="590"/>
        <w:gridCol w:w="6"/>
        <w:gridCol w:w="135"/>
        <w:gridCol w:w="612"/>
        <w:gridCol w:w="6"/>
        <w:gridCol w:w="130"/>
        <w:gridCol w:w="590"/>
        <w:gridCol w:w="97"/>
        <w:gridCol w:w="135"/>
        <w:gridCol w:w="612"/>
        <w:gridCol w:w="6"/>
        <w:gridCol w:w="136"/>
        <w:gridCol w:w="712"/>
        <w:gridCol w:w="97"/>
        <w:gridCol w:w="136"/>
        <w:gridCol w:w="1167"/>
        <w:gridCol w:w="97"/>
        <w:gridCol w:w="136"/>
        <w:gridCol w:w="668"/>
        <w:gridCol w:w="97"/>
        <w:gridCol w:w="135"/>
        <w:gridCol w:w="426"/>
        <w:gridCol w:w="97"/>
      </w:tblGrid>
      <w:tr w:rsidR="00FB67F9" w14:paraId="606F6E47" w14:textId="77777777">
        <w:trPr>
          <w:jc w:val="center"/>
        </w:trPr>
        <w:tc>
          <w:tcPr>
            <w:tcW w:w="0" w:type="auto"/>
            <w:gridSpan w:val="24"/>
            <w:shd w:val="clear" w:color="auto" w:fill="auto"/>
            <w:vAlign w:val="center"/>
          </w:tcPr>
          <w:p w14:paraId="606F6E46" w14:textId="77777777" w:rsidR="00FB67F9" w:rsidRDefault="00FB67F9">
            <w:pPr>
              <w:rPr>
                <w:rFonts w:ascii="Times New Roman" w:hAnsi="Times New Roman"/>
                <w:sz w:val="20"/>
                <w:szCs w:val="20"/>
              </w:rPr>
            </w:pPr>
          </w:p>
        </w:tc>
      </w:tr>
      <w:tr w:rsidR="00FB67F9" w14:paraId="606F6E60" w14:textId="77777777">
        <w:trPr>
          <w:jc w:val="center"/>
        </w:trPr>
        <w:tc>
          <w:tcPr>
            <w:tcW w:w="1550" w:type="pct"/>
            <w:shd w:val="clear" w:color="auto" w:fill="auto"/>
            <w:vAlign w:val="center"/>
          </w:tcPr>
          <w:p w14:paraId="606F6E48" w14:textId="77777777" w:rsidR="00FB67F9" w:rsidRDefault="00FB67F9">
            <w:pPr>
              <w:rPr>
                <w:rFonts w:ascii="Times New Roman" w:hAnsi="Times New Roman"/>
                <w:sz w:val="20"/>
                <w:szCs w:val="20"/>
              </w:rPr>
            </w:pPr>
          </w:p>
        </w:tc>
        <w:tc>
          <w:tcPr>
            <w:tcW w:w="300" w:type="pct"/>
            <w:shd w:val="clear" w:color="auto" w:fill="auto"/>
            <w:vAlign w:val="center"/>
          </w:tcPr>
          <w:p w14:paraId="606F6E49" w14:textId="77777777" w:rsidR="00FB67F9" w:rsidRDefault="00FB67F9">
            <w:pPr>
              <w:rPr>
                <w:rFonts w:ascii="Times New Roman" w:hAnsi="Times New Roman"/>
                <w:sz w:val="20"/>
                <w:szCs w:val="20"/>
              </w:rPr>
            </w:pPr>
          </w:p>
        </w:tc>
        <w:tc>
          <w:tcPr>
            <w:tcW w:w="50" w:type="pct"/>
            <w:shd w:val="clear" w:color="auto" w:fill="auto"/>
            <w:vAlign w:val="center"/>
          </w:tcPr>
          <w:p w14:paraId="606F6E4A" w14:textId="77777777" w:rsidR="00FB67F9" w:rsidRDefault="00FB67F9">
            <w:pPr>
              <w:rPr>
                <w:rFonts w:ascii="Times New Roman" w:hAnsi="Times New Roman"/>
                <w:sz w:val="20"/>
                <w:szCs w:val="20"/>
              </w:rPr>
            </w:pPr>
          </w:p>
        </w:tc>
        <w:tc>
          <w:tcPr>
            <w:tcW w:w="50" w:type="pct"/>
            <w:shd w:val="clear" w:color="auto" w:fill="auto"/>
            <w:vAlign w:val="center"/>
          </w:tcPr>
          <w:p w14:paraId="606F6E4B" w14:textId="77777777" w:rsidR="00FB67F9" w:rsidRDefault="00FB67F9">
            <w:pPr>
              <w:rPr>
                <w:rFonts w:ascii="Times New Roman" w:hAnsi="Times New Roman"/>
                <w:sz w:val="20"/>
                <w:szCs w:val="20"/>
              </w:rPr>
            </w:pPr>
          </w:p>
        </w:tc>
        <w:tc>
          <w:tcPr>
            <w:tcW w:w="300" w:type="pct"/>
            <w:shd w:val="clear" w:color="auto" w:fill="auto"/>
            <w:vAlign w:val="center"/>
          </w:tcPr>
          <w:p w14:paraId="606F6E4C" w14:textId="77777777" w:rsidR="00FB67F9" w:rsidRDefault="00FB67F9">
            <w:pPr>
              <w:rPr>
                <w:rFonts w:ascii="Times New Roman" w:hAnsi="Times New Roman"/>
                <w:sz w:val="20"/>
                <w:szCs w:val="20"/>
              </w:rPr>
            </w:pPr>
          </w:p>
        </w:tc>
        <w:tc>
          <w:tcPr>
            <w:tcW w:w="50" w:type="pct"/>
            <w:shd w:val="clear" w:color="auto" w:fill="auto"/>
            <w:vAlign w:val="center"/>
          </w:tcPr>
          <w:p w14:paraId="606F6E4D" w14:textId="77777777" w:rsidR="00FB67F9" w:rsidRDefault="00FB67F9">
            <w:pPr>
              <w:rPr>
                <w:rFonts w:ascii="Times New Roman" w:hAnsi="Times New Roman"/>
                <w:sz w:val="20"/>
                <w:szCs w:val="20"/>
              </w:rPr>
            </w:pPr>
          </w:p>
        </w:tc>
        <w:tc>
          <w:tcPr>
            <w:tcW w:w="50" w:type="pct"/>
            <w:shd w:val="clear" w:color="auto" w:fill="auto"/>
            <w:vAlign w:val="center"/>
          </w:tcPr>
          <w:p w14:paraId="606F6E4E" w14:textId="77777777" w:rsidR="00FB67F9" w:rsidRDefault="00FB67F9">
            <w:pPr>
              <w:rPr>
                <w:rFonts w:ascii="Times New Roman" w:hAnsi="Times New Roman"/>
                <w:sz w:val="20"/>
                <w:szCs w:val="20"/>
              </w:rPr>
            </w:pPr>
          </w:p>
        </w:tc>
        <w:tc>
          <w:tcPr>
            <w:tcW w:w="300" w:type="pct"/>
            <w:shd w:val="clear" w:color="auto" w:fill="auto"/>
            <w:vAlign w:val="center"/>
          </w:tcPr>
          <w:p w14:paraId="606F6E4F" w14:textId="77777777" w:rsidR="00FB67F9" w:rsidRDefault="00FB67F9">
            <w:pPr>
              <w:rPr>
                <w:rFonts w:ascii="Times New Roman" w:hAnsi="Times New Roman"/>
                <w:sz w:val="20"/>
                <w:szCs w:val="20"/>
              </w:rPr>
            </w:pPr>
          </w:p>
        </w:tc>
        <w:tc>
          <w:tcPr>
            <w:tcW w:w="50" w:type="pct"/>
            <w:shd w:val="clear" w:color="auto" w:fill="auto"/>
            <w:vAlign w:val="center"/>
          </w:tcPr>
          <w:p w14:paraId="606F6E50" w14:textId="77777777" w:rsidR="00FB67F9" w:rsidRDefault="00FB67F9">
            <w:pPr>
              <w:rPr>
                <w:rFonts w:ascii="Times New Roman" w:hAnsi="Times New Roman"/>
                <w:sz w:val="20"/>
                <w:szCs w:val="20"/>
              </w:rPr>
            </w:pPr>
          </w:p>
        </w:tc>
        <w:tc>
          <w:tcPr>
            <w:tcW w:w="50" w:type="pct"/>
            <w:shd w:val="clear" w:color="auto" w:fill="auto"/>
            <w:vAlign w:val="center"/>
          </w:tcPr>
          <w:p w14:paraId="606F6E51" w14:textId="77777777" w:rsidR="00FB67F9" w:rsidRDefault="00FB67F9">
            <w:pPr>
              <w:rPr>
                <w:rFonts w:ascii="Times New Roman" w:hAnsi="Times New Roman"/>
                <w:sz w:val="20"/>
                <w:szCs w:val="20"/>
              </w:rPr>
            </w:pPr>
          </w:p>
        </w:tc>
        <w:tc>
          <w:tcPr>
            <w:tcW w:w="300" w:type="pct"/>
            <w:shd w:val="clear" w:color="auto" w:fill="auto"/>
            <w:vAlign w:val="center"/>
          </w:tcPr>
          <w:p w14:paraId="606F6E52" w14:textId="77777777" w:rsidR="00FB67F9" w:rsidRDefault="00FB67F9">
            <w:pPr>
              <w:rPr>
                <w:rFonts w:ascii="Times New Roman" w:hAnsi="Times New Roman"/>
                <w:sz w:val="20"/>
                <w:szCs w:val="20"/>
              </w:rPr>
            </w:pPr>
          </w:p>
        </w:tc>
        <w:tc>
          <w:tcPr>
            <w:tcW w:w="50" w:type="pct"/>
            <w:shd w:val="clear" w:color="auto" w:fill="auto"/>
            <w:vAlign w:val="center"/>
          </w:tcPr>
          <w:p w14:paraId="606F6E53" w14:textId="77777777" w:rsidR="00FB67F9" w:rsidRDefault="00FB67F9">
            <w:pPr>
              <w:rPr>
                <w:rFonts w:ascii="Times New Roman" w:hAnsi="Times New Roman"/>
                <w:sz w:val="20"/>
                <w:szCs w:val="20"/>
              </w:rPr>
            </w:pPr>
          </w:p>
        </w:tc>
        <w:tc>
          <w:tcPr>
            <w:tcW w:w="50" w:type="pct"/>
            <w:shd w:val="clear" w:color="auto" w:fill="auto"/>
            <w:vAlign w:val="center"/>
          </w:tcPr>
          <w:p w14:paraId="606F6E54" w14:textId="77777777" w:rsidR="00FB67F9" w:rsidRDefault="00FB67F9">
            <w:pPr>
              <w:rPr>
                <w:rFonts w:ascii="Times New Roman" w:hAnsi="Times New Roman"/>
                <w:sz w:val="20"/>
                <w:szCs w:val="20"/>
              </w:rPr>
            </w:pPr>
          </w:p>
        </w:tc>
        <w:tc>
          <w:tcPr>
            <w:tcW w:w="350" w:type="pct"/>
            <w:shd w:val="clear" w:color="auto" w:fill="auto"/>
            <w:vAlign w:val="center"/>
          </w:tcPr>
          <w:p w14:paraId="606F6E55" w14:textId="77777777" w:rsidR="00FB67F9" w:rsidRDefault="00FB67F9">
            <w:pPr>
              <w:rPr>
                <w:rFonts w:ascii="Times New Roman" w:hAnsi="Times New Roman"/>
                <w:sz w:val="20"/>
                <w:szCs w:val="20"/>
              </w:rPr>
            </w:pPr>
          </w:p>
        </w:tc>
        <w:tc>
          <w:tcPr>
            <w:tcW w:w="50" w:type="pct"/>
            <w:shd w:val="clear" w:color="auto" w:fill="auto"/>
            <w:vAlign w:val="center"/>
          </w:tcPr>
          <w:p w14:paraId="606F6E56" w14:textId="77777777" w:rsidR="00FB67F9" w:rsidRDefault="00FB67F9">
            <w:pPr>
              <w:rPr>
                <w:rFonts w:ascii="Times New Roman" w:hAnsi="Times New Roman"/>
                <w:sz w:val="20"/>
                <w:szCs w:val="20"/>
              </w:rPr>
            </w:pPr>
          </w:p>
        </w:tc>
        <w:tc>
          <w:tcPr>
            <w:tcW w:w="50" w:type="pct"/>
            <w:shd w:val="clear" w:color="auto" w:fill="auto"/>
            <w:vAlign w:val="center"/>
          </w:tcPr>
          <w:p w14:paraId="606F6E57" w14:textId="77777777" w:rsidR="00FB67F9" w:rsidRDefault="00FB67F9">
            <w:pPr>
              <w:rPr>
                <w:rFonts w:ascii="Times New Roman" w:hAnsi="Times New Roman"/>
                <w:sz w:val="20"/>
                <w:szCs w:val="20"/>
              </w:rPr>
            </w:pPr>
          </w:p>
        </w:tc>
        <w:tc>
          <w:tcPr>
            <w:tcW w:w="550" w:type="pct"/>
            <w:shd w:val="clear" w:color="auto" w:fill="auto"/>
            <w:vAlign w:val="center"/>
          </w:tcPr>
          <w:p w14:paraId="606F6E58" w14:textId="77777777" w:rsidR="00FB67F9" w:rsidRDefault="00FB67F9">
            <w:pPr>
              <w:rPr>
                <w:rFonts w:ascii="Times New Roman" w:hAnsi="Times New Roman"/>
                <w:sz w:val="20"/>
                <w:szCs w:val="20"/>
              </w:rPr>
            </w:pPr>
          </w:p>
        </w:tc>
        <w:tc>
          <w:tcPr>
            <w:tcW w:w="50" w:type="pct"/>
            <w:shd w:val="clear" w:color="auto" w:fill="auto"/>
            <w:vAlign w:val="center"/>
          </w:tcPr>
          <w:p w14:paraId="606F6E59" w14:textId="77777777" w:rsidR="00FB67F9" w:rsidRDefault="00FB67F9">
            <w:pPr>
              <w:rPr>
                <w:rFonts w:ascii="Times New Roman" w:hAnsi="Times New Roman"/>
                <w:sz w:val="20"/>
                <w:szCs w:val="20"/>
              </w:rPr>
            </w:pPr>
          </w:p>
        </w:tc>
        <w:tc>
          <w:tcPr>
            <w:tcW w:w="50" w:type="pct"/>
            <w:shd w:val="clear" w:color="auto" w:fill="auto"/>
            <w:vAlign w:val="center"/>
          </w:tcPr>
          <w:p w14:paraId="606F6E5A" w14:textId="77777777" w:rsidR="00FB67F9" w:rsidRDefault="00FB67F9">
            <w:pPr>
              <w:rPr>
                <w:rFonts w:ascii="Times New Roman" w:hAnsi="Times New Roman"/>
                <w:sz w:val="20"/>
                <w:szCs w:val="20"/>
              </w:rPr>
            </w:pPr>
          </w:p>
        </w:tc>
        <w:tc>
          <w:tcPr>
            <w:tcW w:w="300" w:type="pct"/>
            <w:shd w:val="clear" w:color="auto" w:fill="auto"/>
            <w:vAlign w:val="center"/>
          </w:tcPr>
          <w:p w14:paraId="606F6E5B" w14:textId="77777777" w:rsidR="00FB67F9" w:rsidRDefault="00FB67F9">
            <w:pPr>
              <w:rPr>
                <w:rFonts w:ascii="Times New Roman" w:hAnsi="Times New Roman"/>
                <w:sz w:val="20"/>
                <w:szCs w:val="20"/>
              </w:rPr>
            </w:pPr>
          </w:p>
        </w:tc>
        <w:tc>
          <w:tcPr>
            <w:tcW w:w="50" w:type="pct"/>
            <w:shd w:val="clear" w:color="auto" w:fill="auto"/>
            <w:vAlign w:val="center"/>
          </w:tcPr>
          <w:p w14:paraId="606F6E5C" w14:textId="77777777" w:rsidR="00FB67F9" w:rsidRDefault="00FB67F9">
            <w:pPr>
              <w:rPr>
                <w:rFonts w:ascii="Times New Roman" w:hAnsi="Times New Roman"/>
                <w:sz w:val="20"/>
                <w:szCs w:val="20"/>
              </w:rPr>
            </w:pPr>
          </w:p>
        </w:tc>
        <w:tc>
          <w:tcPr>
            <w:tcW w:w="50" w:type="pct"/>
            <w:shd w:val="clear" w:color="auto" w:fill="auto"/>
            <w:vAlign w:val="center"/>
          </w:tcPr>
          <w:p w14:paraId="606F6E5D" w14:textId="77777777" w:rsidR="00FB67F9" w:rsidRDefault="00FB67F9">
            <w:pPr>
              <w:rPr>
                <w:rFonts w:ascii="Times New Roman" w:hAnsi="Times New Roman"/>
                <w:sz w:val="20"/>
                <w:szCs w:val="20"/>
              </w:rPr>
            </w:pPr>
          </w:p>
        </w:tc>
        <w:tc>
          <w:tcPr>
            <w:tcW w:w="300" w:type="pct"/>
            <w:shd w:val="clear" w:color="auto" w:fill="auto"/>
            <w:vAlign w:val="center"/>
          </w:tcPr>
          <w:p w14:paraId="606F6E5E" w14:textId="77777777" w:rsidR="00FB67F9" w:rsidRDefault="00FB67F9">
            <w:pPr>
              <w:rPr>
                <w:rFonts w:ascii="Times New Roman" w:hAnsi="Times New Roman"/>
                <w:sz w:val="20"/>
                <w:szCs w:val="20"/>
              </w:rPr>
            </w:pPr>
          </w:p>
        </w:tc>
        <w:tc>
          <w:tcPr>
            <w:tcW w:w="50" w:type="pct"/>
            <w:shd w:val="clear" w:color="auto" w:fill="auto"/>
            <w:vAlign w:val="center"/>
          </w:tcPr>
          <w:p w14:paraId="606F6E5F" w14:textId="77777777" w:rsidR="00FB67F9" w:rsidRDefault="00FB67F9">
            <w:pPr>
              <w:rPr>
                <w:rFonts w:ascii="Times New Roman" w:hAnsi="Times New Roman"/>
                <w:sz w:val="20"/>
                <w:szCs w:val="20"/>
              </w:rPr>
            </w:pPr>
          </w:p>
        </w:tc>
      </w:tr>
      <w:tr w:rsidR="00FB67F9" w14:paraId="606F6E6B" w14:textId="77777777">
        <w:trPr>
          <w:jc w:val="center"/>
        </w:trPr>
        <w:tc>
          <w:tcPr>
            <w:tcW w:w="0" w:type="auto"/>
            <w:shd w:val="clear" w:color="auto" w:fill="auto"/>
            <w:tcMar>
              <w:top w:w="40" w:type="dxa"/>
              <w:left w:w="40" w:type="dxa"/>
              <w:bottom w:w="40" w:type="dxa"/>
              <w:right w:w="40" w:type="dxa"/>
            </w:tcMar>
            <w:vAlign w:val="bottom"/>
          </w:tcPr>
          <w:p w14:paraId="606F6E6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E87722"/>
            </w:tcBorders>
            <w:shd w:val="clear" w:color="auto" w:fill="auto"/>
            <w:tcMar>
              <w:top w:w="40" w:type="dxa"/>
              <w:left w:w="40" w:type="dxa"/>
              <w:bottom w:w="40" w:type="dxa"/>
            </w:tcMar>
            <w:vAlign w:val="bottom"/>
          </w:tcPr>
          <w:p w14:paraId="606F6E6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COMMON STOCK</w:t>
            </w:r>
          </w:p>
        </w:tc>
        <w:tc>
          <w:tcPr>
            <w:tcW w:w="0" w:type="auto"/>
            <w:gridSpan w:val="2"/>
            <w:vMerge w:val="restart"/>
            <w:shd w:val="clear" w:color="auto" w:fill="auto"/>
            <w:tcMar>
              <w:top w:w="40" w:type="dxa"/>
              <w:left w:w="40" w:type="dxa"/>
              <w:bottom w:w="40" w:type="dxa"/>
            </w:tcMar>
            <w:vAlign w:val="bottom"/>
          </w:tcPr>
          <w:p w14:paraId="606F6E6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CAPITAL IN EXCESS OF STATED VALUE</w:t>
            </w:r>
          </w:p>
        </w:tc>
        <w:tc>
          <w:tcPr>
            <w:tcW w:w="0" w:type="auto"/>
            <w:vMerge w:val="restart"/>
            <w:shd w:val="clear" w:color="auto" w:fill="auto"/>
            <w:vAlign w:val="bottom"/>
          </w:tcPr>
          <w:p w14:paraId="606F6E64"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E6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ACCUMULATED OTHER COMPREHENSIVE INCOME (LOSS)</w:t>
            </w:r>
          </w:p>
        </w:tc>
        <w:tc>
          <w:tcPr>
            <w:tcW w:w="0" w:type="auto"/>
            <w:vMerge w:val="restart"/>
            <w:shd w:val="clear" w:color="auto" w:fill="auto"/>
            <w:vAlign w:val="bottom"/>
          </w:tcPr>
          <w:p w14:paraId="606F6E66"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E6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RETAINED EARNINGS</w:t>
            </w:r>
          </w:p>
        </w:tc>
        <w:tc>
          <w:tcPr>
            <w:tcW w:w="0" w:type="auto"/>
            <w:vMerge w:val="restart"/>
            <w:shd w:val="clear" w:color="auto" w:fill="auto"/>
            <w:vAlign w:val="bottom"/>
          </w:tcPr>
          <w:p w14:paraId="606F6E68" w14:textId="77777777" w:rsidR="00FB67F9" w:rsidRDefault="00FB67F9">
            <w:pPr>
              <w:textAlignment w:val="bottom"/>
              <w:rPr>
                <w:rFonts w:ascii="Times New Roman" w:hAnsi="Times New Roman"/>
                <w:sz w:val="20"/>
                <w:szCs w:val="20"/>
              </w:rPr>
            </w:pPr>
          </w:p>
        </w:tc>
        <w:tc>
          <w:tcPr>
            <w:tcW w:w="0" w:type="auto"/>
            <w:gridSpan w:val="2"/>
            <w:vMerge w:val="restart"/>
            <w:shd w:val="clear" w:color="auto" w:fill="auto"/>
            <w:tcMar>
              <w:top w:w="40" w:type="dxa"/>
              <w:left w:w="40" w:type="dxa"/>
              <w:bottom w:w="40" w:type="dxa"/>
            </w:tcMar>
            <w:vAlign w:val="bottom"/>
          </w:tcPr>
          <w:p w14:paraId="606F6E6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vMerge w:val="restart"/>
            <w:shd w:val="clear" w:color="auto" w:fill="auto"/>
            <w:vAlign w:val="bottom"/>
          </w:tcPr>
          <w:p w14:paraId="606F6E6A" w14:textId="77777777" w:rsidR="00FB67F9" w:rsidRDefault="00FB67F9">
            <w:pPr>
              <w:textAlignment w:val="bottom"/>
              <w:rPr>
                <w:rFonts w:ascii="Times New Roman" w:hAnsi="Times New Roman"/>
                <w:sz w:val="20"/>
                <w:szCs w:val="20"/>
              </w:rPr>
            </w:pPr>
          </w:p>
        </w:tc>
      </w:tr>
      <w:tr w:rsidR="00FB67F9" w14:paraId="606F6E78" w14:textId="77777777">
        <w:trPr>
          <w:jc w:val="center"/>
        </w:trPr>
        <w:tc>
          <w:tcPr>
            <w:tcW w:w="0" w:type="auto"/>
            <w:shd w:val="clear" w:color="auto" w:fill="auto"/>
            <w:tcMar>
              <w:top w:w="40" w:type="dxa"/>
              <w:left w:w="40" w:type="dxa"/>
              <w:bottom w:w="40" w:type="dxa"/>
              <w:right w:w="40" w:type="dxa"/>
            </w:tcMar>
            <w:vAlign w:val="bottom"/>
          </w:tcPr>
          <w:p w14:paraId="606F6E6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E6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A</w:t>
            </w:r>
          </w:p>
        </w:tc>
        <w:tc>
          <w:tcPr>
            <w:tcW w:w="0" w:type="auto"/>
            <w:shd w:val="clear" w:color="auto" w:fill="auto"/>
            <w:tcMar>
              <w:top w:w="40" w:type="dxa"/>
              <w:left w:w="40" w:type="dxa"/>
              <w:bottom w:w="40" w:type="dxa"/>
              <w:right w:w="40" w:type="dxa"/>
            </w:tcMar>
            <w:vAlign w:val="bottom"/>
          </w:tcPr>
          <w:p w14:paraId="606F6E6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E6F"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B</w:t>
            </w:r>
          </w:p>
        </w:tc>
        <w:tc>
          <w:tcPr>
            <w:tcW w:w="0" w:type="auto"/>
            <w:gridSpan w:val="2"/>
            <w:vMerge/>
            <w:shd w:val="clear" w:color="auto" w:fill="auto"/>
            <w:tcMar>
              <w:top w:w="40" w:type="dxa"/>
              <w:left w:w="40" w:type="dxa"/>
              <w:bottom w:w="40" w:type="dxa"/>
            </w:tcMar>
            <w:vAlign w:val="bottom"/>
          </w:tcPr>
          <w:p w14:paraId="606F6E70" w14:textId="77777777" w:rsidR="00FB67F9" w:rsidRDefault="00FB67F9">
            <w:pPr>
              <w:rPr>
                <w:rFonts w:ascii="Times New Roman" w:hAnsi="Times New Roman"/>
                <w:sz w:val="20"/>
                <w:szCs w:val="20"/>
              </w:rPr>
            </w:pPr>
          </w:p>
        </w:tc>
        <w:tc>
          <w:tcPr>
            <w:tcW w:w="0" w:type="auto"/>
            <w:vMerge/>
            <w:shd w:val="clear" w:color="auto" w:fill="auto"/>
            <w:vAlign w:val="bottom"/>
          </w:tcPr>
          <w:p w14:paraId="606F6E71"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E72" w14:textId="77777777" w:rsidR="00FB67F9" w:rsidRDefault="00FB67F9">
            <w:pPr>
              <w:rPr>
                <w:rFonts w:ascii="Times New Roman" w:hAnsi="Times New Roman"/>
                <w:sz w:val="20"/>
                <w:szCs w:val="20"/>
              </w:rPr>
            </w:pPr>
          </w:p>
        </w:tc>
        <w:tc>
          <w:tcPr>
            <w:tcW w:w="0" w:type="auto"/>
            <w:vMerge/>
            <w:shd w:val="clear" w:color="auto" w:fill="auto"/>
            <w:vAlign w:val="bottom"/>
          </w:tcPr>
          <w:p w14:paraId="606F6E73"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E74" w14:textId="77777777" w:rsidR="00FB67F9" w:rsidRDefault="00FB67F9">
            <w:pPr>
              <w:rPr>
                <w:rFonts w:ascii="Times New Roman" w:hAnsi="Times New Roman"/>
                <w:sz w:val="20"/>
                <w:szCs w:val="20"/>
              </w:rPr>
            </w:pPr>
          </w:p>
        </w:tc>
        <w:tc>
          <w:tcPr>
            <w:tcW w:w="0" w:type="auto"/>
            <w:vMerge/>
            <w:shd w:val="clear" w:color="auto" w:fill="auto"/>
            <w:vAlign w:val="bottom"/>
          </w:tcPr>
          <w:p w14:paraId="606F6E75"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E76" w14:textId="77777777" w:rsidR="00FB67F9" w:rsidRDefault="00FB67F9">
            <w:pPr>
              <w:rPr>
                <w:rFonts w:ascii="Times New Roman" w:hAnsi="Times New Roman"/>
                <w:sz w:val="20"/>
                <w:szCs w:val="20"/>
              </w:rPr>
            </w:pPr>
          </w:p>
        </w:tc>
        <w:tc>
          <w:tcPr>
            <w:tcW w:w="0" w:type="auto"/>
            <w:vMerge/>
            <w:shd w:val="clear" w:color="auto" w:fill="auto"/>
            <w:vAlign w:val="bottom"/>
          </w:tcPr>
          <w:p w14:paraId="606F6E77" w14:textId="77777777" w:rsidR="00FB67F9" w:rsidRDefault="00FB67F9">
            <w:pPr>
              <w:rPr>
                <w:rFonts w:ascii="Times New Roman" w:hAnsi="Times New Roman"/>
                <w:sz w:val="20"/>
                <w:szCs w:val="20"/>
              </w:rPr>
            </w:pPr>
          </w:p>
        </w:tc>
      </w:tr>
      <w:tr w:rsidR="00FB67F9" w14:paraId="606F6E8B" w14:textId="77777777">
        <w:trPr>
          <w:jc w:val="center"/>
        </w:trPr>
        <w:tc>
          <w:tcPr>
            <w:tcW w:w="0" w:type="auto"/>
            <w:shd w:val="clear" w:color="auto" w:fill="auto"/>
            <w:tcMar>
              <w:top w:w="40" w:type="dxa"/>
              <w:left w:w="40" w:type="dxa"/>
              <w:bottom w:w="40" w:type="dxa"/>
              <w:right w:w="40" w:type="dxa"/>
            </w:tcMar>
            <w:vAlign w:val="bottom"/>
          </w:tcPr>
          <w:p w14:paraId="606F6E79"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shd w:val="clear" w:color="auto" w:fill="auto"/>
            <w:tcMar>
              <w:top w:w="40" w:type="dxa"/>
              <w:left w:w="40" w:type="dxa"/>
              <w:bottom w:w="40" w:type="dxa"/>
            </w:tcMar>
            <w:vAlign w:val="bottom"/>
          </w:tcPr>
          <w:p w14:paraId="606F6E7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shd w:val="clear" w:color="auto" w:fill="auto"/>
            <w:vAlign w:val="bottom"/>
          </w:tcPr>
          <w:p w14:paraId="606F6E7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E7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shd w:val="clear" w:color="auto" w:fill="auto"/>
            <w:vAlign w:val="bottom"/>
          </w:tcPr>
          <w:p w14:paraId="606F6E7D"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E7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06F6E7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shd w:val="clear" w:color="auto" w:fill="auto"/>
            <w:vAlign w:val="bottom"/>
          </w:tcPr>
          <w:p w14:paraId="606F6E80"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6E8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shd w:val="clear" w:color="auto" w:fill="auto"/>
            <w:vAlign w:val="bottom"/>
          </w:tcPr>
          <w:p w14:paraId="606F6E82" w14:textId="77777777" w:rsidR="00FB67F9" w:rsidRDefault="00FB67F9">
            <w:pPr>
              <w:textAlignment w:val="bottom"/>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E83" w14:textId="77777777" w:rsidR="00FB67F9" w:rsidRDefault="00FB67F9">
            <w:pPr>
              <w:rPr>
                <w:rFonts w:ascii="Times New Roman" w:hAnsi="Times New Roman"/>
                <w:sz w:val="20"/>
                <w:szCs w:val="20"/>
              </w:rPr>
            </w:pPr>
          </w:p>
        </w:tc>
        <w:tc>
          <w:tcPr>
            <w:tcW w:w="0" w:type="auto"/>
            <w:vMerge/>
            <w:shd w:val="clear" w:color="auto" w:fill="auto"/>
            <w:vAlign w:val="bottom"/>
          </w:tcPr>
          <w:p w14:paraId="606F6E84"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E85" w14:textId="77777777" w:rsidR="00FB67F9" w:rsidRDefault="00FB67F9">
            <w:pPr>
              <w:rPr>
                <w:rFonts w:ascii="Times New Roman" w:hAnsi="Times New Roman"/>
                <w:sz w:val="20"/>
                <w:szCs w:val="20"/>
              </w:rPr>
            </w:pPr>
          </w:p>
        </w:tc>
        <w:tc>
          <w:tcPr>
            <w:tcW w:w="0" w:type="auto"/>
            <w:vMerge/>
            <w:shd w:val="clear" w:color="auto" w:fill="auto"/>
            <w:vAlign w:val="bottom"/>
          </w:tcPr>
          <w:p w14:paraId="606F6E86"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E87" w14:textId="77777777" w:rsidR="00FB67F9" w:rsidRDefault="00FB67F9">
            <w:pPr>
              <w:rPr>
                <w:rFonts w:ascii="Times New Roman" w:hAnsi="Times New Roman"/>
                <w:sz w:val="20"/>
                <w:szCs w:val="20"/>
              </w:rPr>
            </w:pPr>
          </w:p>
        </w:tc>
        <w:tc>
          <w:tcPr>
            <w:tcW w:w="0" w:type="auto"/>
            <w:vMerge/>
            <w:shd w:val="clear" w:color="auto" w:fill="auto"/>
            <w:vAlign w:val="bottom"/>
          </w:tcPr>
          <w:p w14:paraId="606F6E88" w14:textId="77777777" w:rsidR="00FB67F9" w:rsidRDefault="00FB67F9">
            <w:pPr>
              <w:rPr>
                <w:rFonts w:ascii="Times New Roman" w:hAnsi="Times New Roman"/>
                <w:sz w:val="20"/>
                <w:szCs w:val="20"/>
              </w:rPr>
            </w:pPr>
          </w:p>
        </w:tc>
        <w:tc>
          <w:tcPr>
            <w:tcW w:w="0" w:type="auto"/>
            <w:gridSpan w:val="2"/>
            <w:vMerge/>
            <w:shd w:val="clear" w:color="auto" w:fill="auto"/>
            <w:tcMar>
              <w:top w:w="40" w:type="dxa"/>
              <w:left w:w="40" w:type="dxa"/>
              <w:bottom w:w="40" w:type="dxa"/>
            </w:tcMar>
            <w:vAlign w:val="bottom"/>
          </w:tcPr>
          <w:p w14:paraId="606F6E89" w14:textId="77777777" w:rsidR="00FB67F9" w:rsidRDefault="00FB67F9">
            <w:pPr>
              <w:rPr>
                <w:rFonts w:ascii="Times New Roman" w:hAnsi="Times New Roman"/>
                <w:sz w:val="20"/>
                <w:szCs w:val="20"/>
              </w:rPr>
            </w:pPr>
          </w:p>
        </w:tc>
        <w:tc>
          <w:tcPr>
            <w:tcW w:w="0" w:type="auto"/>
            <w:vMerge/>
            <w:shd w:val="clear" w:color="auto" w:fill="auto"/>
            <w:vAlign w:val="bottom"/>
          </w:tcPr>
          <w:p w14:paraId="606F6E8A" w14:textId="77777777" w:rsidR="00FB67F9" w:rsidRDefault="00FB67F9">
            <w:pPr>
              <w:rPr>
                <w:rFonts w:ascii="Times New Roman" w:hAnsi="Times New Roman"/>
                <w:sz w:val="20"/>
                <w:szCs w:val="20"/>
              </w:rPr>
            </w:pPr>
          </w:p>
        </w:tc>
      </w:tr>
      <w:tr w:rsidR="00FB67F9" w14:paraId="606F6EA4"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E8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May 31, 2019</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E8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top w:val="single" w:sz="8" w:space="0" w:color="E87722"/>
              <w:bottom w:val="single" w:sz="8" w:space="0" w:color="E87722"/>
            </w:tcBorders>
            <w:shd w:val="clear" w:color="auto" w:fill="auto"/>
            <w:vAlign w:val="bottom"/>
          </w:tcPr>
          <w:p w14:paraId="606F6E8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E8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E9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vAlign w:val="bottom"/>
          </w:tcPr>
          <w:p w14:paraId="606F6E9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E9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tcMar>
            <w:vAlign w:val="bottom"/>
          </w:tcPr>
          <w:p w14:paraId="606F6E9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1,253</w:t>
            </w:r>
          </w:p>
        </w:tc>
        <w:tc>
          <w:tcPr>
            <w:tcW w:w="0" w:type="auto"/>
            <w:tcBorders>
              <w:top w:val="single" w:sz="8" w:space="0" w:color="E87722"/>
            </w:tcBorders>
            <w:shd w:val="clear" w:color="auto" w:fill="auto"/>
            <w:vAlign w:val="bottom"/>
          </w:tcPr>
          <w:p w14:paraId="606F6E9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E9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E9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vAlign w:val="bottom"/>
          </w:tcPr>
          <w:p w14:paraId="606F6E9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E9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E9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7,163</w:t>
            </w:r>
          </w:p>
        </w:tc>
        <w:tc>
          <w:tcPr>
            <w:tcW w:w="0" w:type="auto"/>
            <w:tcBorders>
              <w:top w:val="single" w:sz="8" w:space="0" w:color="E87722"/>
              <w:bottom w:val="single" w:sz="8" w:space="0" w:color="E87722"/>
            </w:tcBorders>
            <w:shd w:val="clear" w:color="auto" w:fill="auto"/>
            <w:vAlign w:val="bottom"/>
          </w:tcPr>
          <w:p w14:paraId="606F6E9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E9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E9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231</w:t>
            </w:r>
          </w:p>
        </w:tc>
        <w:tc>
          <w:tcPr>
            <w:tcW w:w="0" w:type="auto"/>
            <w:tcBorders>
              <w:top w:val="single" w:sz="8" w:space="0" w:color="E87722"/>
              <w:bottom w:val="single" w:sz="8" w:space="0" w:color="E87722"/>
            </w:tcBorders>
            <w:shd w:val="clear" w:color="auto" w:fill="auto"/>
            <w:vAlign w:val="bottom"/>
          </w:tcPr>
          <w:p w14:paraId="606F6E9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E9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E9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1,643</w:t>
            </w:r>
          </w:p>
        </w:tc>
        <w:tc>
          <w:tcPr>
            <w:tcW w:w="0" w:type="auto"/>
            <w:tcBorders>
              <w:top w:val="single" w:sz="8" w:space="0" w:color="E87722"/>
              <w:bottom w:val="single" w:sz="8" w:space="0" w:color="E87722"/>
            </w:tcBorders>
            <w:shd w:val="clear" w:color="auto" w:fill="auto"/>
            <w:vAlign w:val="bottom"/>
          </w:tcPr>
          <w:p w14:paraId="606F6EA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6EA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6EA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9,040</w:t>
            </w:r>
          </w:p>
        </w:tc>
        <w:tc>
          <w:tcPr>
            <w:tcW w:w="0" w:type="auto"/>
            <w:tcBorders>
              <w:top w:val="single" w:sz="8" w:space="0" w:color="E87722"/>
              <w:bottom w:val="single" w:sz="8" w:space="0" w:color="E87722"/>
            </w:tcBorders>
            <w:shd w:val="clear" w:color="auto" w:fill="auto"/>
            <w:vAlign w:val="bottom"/>
          </w:tcPr>
          <w:p w14:paraId="606F6EA3" w14:textId="77777777" w:rsidR="00FB67F9" w:rsidRDefault="00FB67F9">
            <w:pPr>
              <w:textAlignment w:val="bottom"/>
              <w:rPr>
                <w:rFonts w:ascii="Times New Roman" w:hAnsi="Times New Roman"/>
                <w:sz w:val="20"/>
                <w:szCs w:val="20"/>
              </w:rPr>
            </w:pPr>
          </w:p>
        </w:tc>
      </w:tr>
      <w:tr w:rsidR="00FB67F9" w14:paraId="606F6EB2" w14:textId="77777777">
        <w:trPr>
          <w:jc w:val="center"/>
        </w:trPr>
        <w:tc>
          <w:tcPr>
            <w:tcW w:w="0" w:type="auto"/>
            <w:tcBorders>
              <w:top w:val="single" w:sz="8" w:space="0" w:color="E87722"/>
            </w:tcBorders>
            <w:shd w:val="clear" w:color="auto" w:fill="auto"/>
            <w:tcMar>
              <w:top w:w="40" w:type="dxa"/>
              <w:left w:w="40" w:type="dxa"/>
              <w:bottom w:w="40" w:type="dxa"/>
              <w:right w:w="40" w:type="dxa"/>
            </w:tcMar>
            <w:vAlign w:val="bottom"/>
          </w:tcPr>
          <w:p w14:paraId="606F6EA5" w14:textId="77777777" w:rsidR="00FB67F9" w:rsidRDefault="00E839DF">
            <w:pPr>
              <w:textAlignment w:val="bottom"/>
              <w:rPr>
                <w:rFonts w:ascii="Times New Roman" w:hAnsi="Times New Roman"/>
                <w:sz w:val="17"/>
                <w:szCs w:val="17"/>
              </w:rPr>
            </w:pPr>
            <w:r>
              <w:rPr>
                <w:rFonts w:ascii="Arial" w:eastAsia="宋体" w:hAnsi="Arial" w:cs="Arial"/>
                <w:sz w:val="17"/>
                <w:szCs w:val="17"/>
              </w:rPr>
              <w:t>Stock options exercised</w:t>
            </w:r>
          </w:p>
        </w:tc>
        <w:tc>
          <w:tcPr>
            <w:tcW w:w="0" w:type="auto"/>
            <w:gridSpan w:val="2"/>
            <w:shd w:val="clear" w:color="auto" w:fill="FFF1E7"/>
            <w:tcMar>
              <w:top w:w="40" w:type="dxa"/>
              <w:left w:w="40" w:type="dxa"/>
              <w:bottom w:w="40" w:type="dxa"/>
              <w:right w:w="40" w:type="dxa"/>
            </w:tcMar>
            <w:vAlign w:val="bottom"/>
          </w:tcPr>
          <w:p w14:paraId="606F6EA6" w14:textId="77777777" w:rsidR="00FB67F9" w:rsidRDefault="00FB67F9">
            <w:pPr>
              <w:textAlignment w:val="bottom"/>
              <w:rPr>
                <w:rFonts w:ascii="Times New Roman" w:hAnsi="Times New Roman"/>
                <w:sz w:val="17"/>
                <w:szCs w:val="17"/>
              </w:rPr>
            </w:pPr>
          </w:p>
        </w:tc>
        <w:tc>
          <w:tcPr>
            <w:tcW w:w="0" w:type="auto"/>
            <w:gridSpan w:val="3"/>
            <w:shd w:val="clear" w:color="auto" w:fill="FFF1E7"/>
            <w:tcMar>
              <w:top w:w="40" w:type="dxa"/>
              <w:left w:w="40" w:type="dxa"/>
              <w:bottom w:w="40" w:type="dxa"/>
              <w:right w:w="40" w:type="dxa"/>
            </w:tcMar>
            <w:vAlign w:val="bottom"/>
          </w:tcPr>
          <w:p w14:paraId="606F6EA7" w14:textId="77777777" w:rsidR="00FB67F9" w:rsidRDefault="00FB67F9">
            <w:pPr>
              <w:textAlignment w:val="bottom"/>
              <w:rPr>
                <w:rFonts w:ascii="Times New Roman" w:hAnsi="Times New Roman"/>
                <w:sz w:val="17"/>
                <w:szCs w:val="17"/>
              </w:rPr>
            </w:pPr>
          </w:p>
        </w:tc>
        <w:tc>
          <w:tcPr>
            <w:tcW w:w="0" w:type="auto"/>
            <w:shd w:val="clear" w:color="auto" w:fill="FFF1E7"/>
            <w:tcMar>
              <w:top w:w="40" w:type="dxa"/>
              <w:left w:w="40" w:type="dxa"/>
              <w:bottom w:w="40" w:type="dxa"/>
              <w:right w:w="40" w:type="dxa"/>
            </w:tcMar>
            <w:vAlign w:val="bottom"/>
          </w:tcPr>
          <w:p w14:paraId="606F6EA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6EA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E87722"/>
              <w:bottom w:val="single" w:sz="8" w:space="0" w:color="808080"/>
            </w:tcBorders>
            <w:shd w:val="clear" w:color="auto" w:fill="FFF1E7"/>
            <w:vAlign w:val="bottom"/>
          </w:tcPr>
          <w:p w14:paraId="606F6EAA" w14:textId="77777777" w:rsidR="00FB67F9" w:rsidRDefault="00FB67F9">
            <w:pPr>
              <w:textAlignment w:val="bottom"/>
              <w:rPr>
                <w:rFonts w:ascii="Times New Roman" w:hAnsi="Times New Roman"/>
                <w:sz w:val="20"/>
                <w:szCs w:val="20"/>
              </w:rPr>
            </w:pPr>
          </w:p>
        </w:tc>
        <w:tc>
          <w:tcPr>
            <w:tcW w:w="0" w:type="auto"/>
            <w:gridSpan w:val="3"/>
            <w:shd w:val="clear" w:color="auto" w:fill="FFF1E7"/>
            <w:tcMar>
              <w:top w:w="40" w:type="dxa"/>
              <w:left w:w="40" w:type="dxa"/>
              <w:bottom w:w="40" w:type="dxa"/>
              <w:right w:w="40" w:type="dxa"/>
            </w:tcMar>
            <w:vAlign w:val="bottom"/>
          </w:tcPr>
          <w:p w14:paraId="606F6EAB" w14:textId="77777777" w:rsidR="00FB67F9" w:rsidRDefault="00FB67F9">
            <w:pPr>
              <w:textAlignment w:val="bottom"/>
              <w:rPr>
                <w:rFonts w:ascii="Times New Roman" w:hAnsi="Times New Roman"/>
                <w:sz w:val="17"/>
                <w:szCs w:val="17"/>
              </w:rPr>
            </w:pPr>
          </w:p>
        </w:tc>
        <w:tc>
          <w:tcPr>
            <w:tcW w:w="0" w:type="auto"/>
            <w:gridSpan w:val="2"/>
            <w:shd w:val="clear" w:color="auto" w:fill="FFF1E7"/>
            <w:tcMar>
              <w:top w:w="40" w:type="dxa"/>
              <w:left w:w="40" w:type="dxa"/>
              <w:bottom w:w="40" w:type="dxa"/>
            </w:tcMar>
            <w:vAlign w:val="bottom"/>
          </w:tcPr>
          <w:p w14:paraId="606F6EA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381</w:t>
            </w:r>
          </w:p>
        </w:tc>
        <w:tc>
          <w:tcPr>
            <w:tcW w:w="0" w:type="auto"/>
            <w:shd w:val="clear" w:color="auto" w:fill="FFF1E7"/>
            <w:vAlign w:val="bottom"/>
          </w:tcPr>
          <w:p w14:paraId="606F6EAD" w14:textId="77777777" w:rsidR="00FB67F9" w:rsidRDefault="00FB67F9">
            <w:pPr>
              <w:textAlignment w:val="bottom"/>
              <w:rPr>
                <w:rFonts w:ascii="Times New Roman" w:hAnsi="Times New Roman"/>
                <w:sz w:val="20"/>
                <w:szCs w:val="20"/>
              </w:rPr>
            </w:pPr>
          </w:p>
        </w:tc>
        <w:tc>
          <w:tcPr>
            <w:tcW w:w="0" w:type="auto"/>
            <w:gridSpan w:val="3"/>
            <w:shd w:val="clear" w:color="auto" w:fill="FFF1E7"/>
            <w:tcMar>
              <w:top w:w="40" w:type="dxa"/>
              <w:left w:w="40" w:type="dxa"/>
              <w:bottom w:w="40" w:type="dxa"/>
              <w:right w:w="40" w:type="dxa"/>
            </w:tcMar>
            <w:vAlign w:val="bottom"/>
          </w:tcPr>
          <w:p w14:paraId="606F6EAE" w14:textId="77777777" w:rsidR="00FB67F9" w:rsidRDefault="00FB67F9">
            <w:pPr>
              <w:textAlignment w:val="bottom"/>
              <w:rPr>
                <w:rFonts w:ascii="Times New Roman" w:hAnsi="Times New Roman"/>
                <w:sz w:val="17"/>
                <w:szCs w:val="17"/>
              </w:rPr>
            </w:pPr>
          </w:p>
        </w:tc>
        <w:tc>
          <w:tcPr>
            <w:tcW w:w="0" w:type="auto"/>
            <w:gridSpan w:val="3"/>
            <w:shd w:val="clear" w:color="auto" w:fill="FFF1E7"/>
            <w:tcMar>
              <w:top w:w="40" w:type="dxa"/>
              <w:left w:w="40" w:type="dxa"/>
              <w:bottom w:w="40" w:type="dxa"/>
              <w:right w:w="40" w:type="dxa"/>
            </w:tcMar>
            <w:vAlign w:val="bottom"/>
          </w:tcPr>
          <w:p w14:paraId="606F6EAF" w14:textId="77777777" w:rsidR="00FB67F9" w:rsidRDefault="00FB67F9">
            <w:pPr>
              <w:textAlignment w:val="bottom"/>
              <w:rPr>
                <w:rFonts w:ascii="Times New Roman" w:hAnsi="Times New Roman"/>
                <w:sz w:val="17"/>
                <w:szCs w:val="17"/>
              </w:rPr>
            </w:pPr>
          </w:p>
        </w:tc>
        <w:tc>
          <w:tcPr>
            <w:tcW w:w="0" w:type="auto"/>
            <w:gridSpan w:val="2"/>
            <w:shd w:val="clear" w:color="auto" w:fill="FFF1E7"/>
            <w:tcMar>
              <w:top w:w="40" w:type="dxa"/>
              <w:left w:w="40" w:type="dxa"/>
              <w:bottom w:w="40" w:type="dxa"/>
            </w:tcMar>
            <w:vAlign w:val="bottom"/>
          </w:tcPr>
          <w:p w14:paraId="606F6E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381</w:t>
            </w:r>
          </w:p>
        </w:tc>
        <w:tc>
          <w:tcPr>
            <w:tcW w:w="0" w:type="auto"/>
            <w:shd w:val="clear" w:color="auto" w:fill="FFF1E7"/>
            <w:vAlign w:val="bottom"/>
          </w:tcPr>
          <w:p w14:paraId="606F6EB1" w14:textId="77777777" w:rsidR="00FB67F9" w:rsidRDefault="00FB67F9">
            <w:pPr>
              <w:textAlignment w:val="bottom"/>
              <w:rPr>
                <w:rFonts w:ascii="Times New Roman" w:hAnsi="Times New Roman"/>
                <w:sz w:val="20"/>
                <w:szCs w:val="20"/>
              </w:rPr>
            </w:pPr>
          </w:p>
        </w:tc>
      </w:tr>
      <w:tr w:rsidR="00FB67F9" w14:paraId="606F6EC1"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EB3" w14:textId="77777777" w:rsidR="00FB67F9" w:rsidRDefault="00E839DF">
            <w:pPr>
              <w:textAlignment w:val="bottom"/>
              <w:rPr>
                <w:rFonts w:ascii="Times New Roman" w:hAnsi="Times New Roman"/>
                <w:sz w:val="17"/>
                <w:szCs w:val="17"/>
              </w:rPr>
            </w:pPr>
            <w:r>
              <w:rPr>
                <w:rFonts w:ascii="Arial" w:eastAsia="宋体" w:hAnsi="Arial" w:cs="Arial"/>
                <w:sz w:val="17"/>
                <w:szCs w:val="17"/>
              </w:rPr>
              <w:t>Repurchase of Class B Common Stock</w:t>
            </w:r>
          </w:p>
        </w:tc>
        <w:tc>
          <w:tcPr>
            <w:tcW w:w="0" w:type="auto"/>
            <w:gridSpan w:val="2"/>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606F6EB4"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B5"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EB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EB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tcBorders>
            <w:shd w:val="clear" w:color="auto" w:fill="FFF1E7"/>
            <w:tcMar>
              <w:top w:w="40" w:type="dxa"/>
              <w:bottom w:w="40" w:type="dxa"/>
              <w:right w:w="40" w:type="dxa"/>
            </w:tcMar>
            <w:vAlign w:val="bottom"/>
          </w:tcPr>
          <w:p w14:paraId="606F6E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B9"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w:t>
            </w:r>
          </w:p>
        </w:tc>
        <w:tc>
          <w:tcPr>
            <w:tcW w:w="0" w:type="auto"/>
            <w:tcBorders>
              <w:top w:val="single" w:sz="8" w:space="0" w:color="808080"/>
            </w:tcBorders>
            <w:shd w:val="clear" w:color="auto" w:fill="FFF1E7"/>
            <w:tcMar>
              <w:top w:w="40" w:type="dxa"/>
              <w:bottom w:w="40" w:type="dxa"/>
              <w:right w:w="40" w:type="dxa"/>
            </w:tcMar>
            <w:vAlign w:val="bottom"/>
          </w:tcPr>
          <w:p w14:paraId="606F6EB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BC"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B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(1,815</w:t>
            </w:r>
          </w:p>
        </w:tc>
        <w:tc>
          <w:tcPr>
            <w:tcW w:w="0" w:type="auto"/>
            <w:tcBorders>
              <w:top w:val="single" w:sz="8" w:space="0" w:color="808080"/>
            </w:tcBorders>
            <w:shd w:val="clear" w:color="auto" w:fill="FFF1E7"/>
            <w:tcMar>
              <w:top w:w="40" w:type="dxa"/>
              <w:bottom w:w="40" w:type="dxa"/>
              <w:right w:w="40" w:type="dxa"/>
            </w:tcMar>
            <w:vAlign w:val="bottom"/>
          </w:tcPr>
          <w:p w14:paraId="606F6E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606F6E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(1,917</w:t>
            </w:r>
          </w:p>
        </w:tc>
        <w:tc>
          <w:tcPr>
            <w:tcW w:w="0" w:type="auto"/>
            <w:tcBorders>
              <w:top w:val="single" w:sz="8" w:space="0" w:color="808080"/>
            </w:tcBorders>
            <w:shd w:val="clear" w:color="auto" w:fill="FFF1E7"/>
            <w:tcMar>
              <w:top w:w="40" w:type="dxa"/>
              <w:bottom w:w="40" w:type="dxa"/>
              <w:right w:w="40" w:type="dxa"/>
            </w:tcMar>
            <w:vAlign w:val="bottom"/>
          </w:tcPr>
          <w:p w14:paraId="606F6EC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ED0"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EC2"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Dividends on common stock ($0.465 per share) and preferred stock </w:t>
            </w:r>
            <w:r>
              <w:rPr>
                <w:rFonts w:ascii="Arial" w:eastAsia="宋体" w:hAnsi="Arial" w:cs="Arial"/>
                <w:sz w:val="17"/>
                <w:szCs w:val="17"/>
              </w:rPr>
              <w:t>($0.10 per share)</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EC3"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C4"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EC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EC6"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EC7"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C8"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C9"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ECA"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CB"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(727</w:t>
            </w:r>
          </w:p>
        </w:tc>
        <w:tc>
          <w:tcPr>
            <w:tcW w:w="0" w:type="auto"/>
            <w:tcBorders>
              <w:top w:val="single" w:sz="8" w:space="0" w:color="808080"/>
            </w:tcBorders>
            <w:shd w:val="clear" w:color="auto" w:fill="FFF1E7"/>
            <w:tcMar>
              <w:top w:w="40" w:type="dxa"/>
              <w:bottom w:w="40" w:type="dxa"/>
              <w:right w:w="40" w:type="dxa"/>
            </w:tcMar>
            <w:vAlign w:val="bottom"/>
          </w:tcPr>
          <w:p w14:paraId="606F6EC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606F6E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(727</w:t>
            </w:r>
          </w:p>
        </w:tc>
        <w:tc>
          <w:tcPr>
            <w:tcW w:w="0" w:type="auto"/>
            <w:tcBorders>
              <w:top w:val="single" w:sz="8" w:space="0" w:color="808080"/>
            </w:tcBorders>
            <w:shd w:val="clear" w:color="auto" w:fill="FFF1E7"/>
            <w:tcMar>
              <w:top w:w="40" w:type="dxa"/>
              <w:bottom w:w="40" w:type="dxa"/>
              <w:right w:w="40" w:type="dxa"/>
            </w:tcMar>
            <w:vAlign w:val="bottom"/>
          </w:tcPr>
          <w:p w14:paraId="606F6EC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EDF"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ED1" w14:textId="77777777" w:rsidR="00FB67F9" w:rsidRDefault="00E839DF">
            <w:pPr>
              <w:textAlignment w:val="bottom"/>
              <w:rPr>
                <w:rFonts w:ascii="Times New Roman" w:hAnsi="Times New Roman"/>
                <w:sz w:val="17"/>
                <w:szCs w:val="17"/>
              </w:rPr>
            </w:pPr>
            <w:r>
              <w:rPr>
                <w:rFonts w:ascii="Arial" w:eastAsia="宋体" w:hAnsi="Arial" w:cs="Arial"/>
                <w:sz w:val="17"/>
                <w:szCs w:val="17"/>
              </w:rPr>
              <w:t>Issuance of shares to employees, net of shares withheld for employee taxes</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ED2"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D3"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ED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E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FFF1E7"/>
            <w:vAlign w:val="bottom"/>
          </w:tcPr>
          <w:p w14:paraId="606F6ED6"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D7"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w:t>
            </w:r>
          </w:p>
        </w:tc>
        <w:tc>
          <w:tcPr>
            <w:tcW w:w="0" w:type="auto"/>
            <w:tcBorders>
              <w:top w:val="single" w:sz="8" w:space="0" w:color="808080"/>
            </w:tcBorders>
            <w:shd w:val="clear" w:color="auto" w:fill="FFF1E7"/>
            <w:vAlign w:val="bottom"/>
          </w:tcPr>
          <w:p w14:paraId="606F6ED9"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DA"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FFF1E7"/>
            <w:tcMar>
              <w:top w:w="40" w:type="dxa"/>
              <w:bottom w:w="40" w:type="dxa"/>
              <w:right w:w="40" w:type="dxa"/>
            </w:tcMar>
            <w:vAlign w:val="bottom"/>
          </w:tcPr>
          <w:p w14:paraId="606F6ED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606F6E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w:t>
            </w:r>
          </w:p>
        </w:tc>
        <w:tc>
          <w:tcPr>
            <w:tcW w:w="0" w:type="auto"/>
            <w:tcBorders>
              <w:top w:val="single" w:sz="8" w:space="0" w:color="808080"/>
            </w:tcBorders>
            <w:shd w:val="clear" w:color="auto" w:fill="FFF1E7"/>
            <w:vAlign w:val="bottom"/>
          </w:tcPr>
          <w:p w14:paraId="606F6EDE" w14:textId="77777777" w:rsidR="00FB67F9" w:rsidRDefault="00FB67F9">
            <w:pPr>
              <w:textAlignment w:val="bottom"/>
              <w:rPr>
                <w:rFonts w:ascii="Times New Roman" w:hAnsi="Times New Roman"/>
                <w:sz w:val="20"/>
                <w:szCs w:val="20"/>
              </w:rPr>
            </w:pPr>
          </w:p>
        </w:tc>
      </w:tr>
      <w:tr w:rsidR="00FB67F9" w14:paraId="606F6EEE"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EE0" w14:textId="77777777" w:rsidR="00FB67F9" w:rsidRDefault="00E839DF">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EE1"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E2"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EE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EE4"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EE5"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E6"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190</w:t>
            </w:r>
          </w:p>
        </w:tc>
        <w:tc>
          <w:tcPr>
            <w:tcW w:w="0" w:type="auto"/>
            <w:tcBorders>
              <w:top w:val="single" w:sz="8" w:space="0" w:color="808080"/>
            </w:tcBorders>
            <w:shd w:val="clear" w:color="auto" w:fill="FFF1E7"/>
            <w:vAlign w:val="bottom"/>
          </w:tcPr>
          <w:p w14:paraId="606F6EE8"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E9"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EA"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EE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E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190</w:t>
            </w:r>
          </w:p>
        </w:tc>
        <w:tc>
          <w:tcPr>
            <w:tcW w:w="0" w:type="auto"/>
            <w:tcBorders>
              <w:top w:val="single" w:sz="8" w:space="0" w:color="808080"/>
            </w:tcBorders>
            <w:shd w:val="clear" w:color="auto" w:fill="FFF1E7"/>
            <w:vAlign w:val="bottom"/>
          </w:tcPr>
          <w:p w14:paraId="606F6EED" w14:textId="77777777" w:rsidR="00FB67F9" w:rsidRDefault="00FB67F9">
            <w:pPr>
              <w:textAlignment w:val="bottom"/>
              <w:rPr>
                <w:rFonts w:ascii="Times New Roman" w:hAnsi="Times New Roman"/>
                <w:sz w:val="20"/>
                <w:szCs w:val="20"/>
              </w:rPr>
            </w:pPr>
          </w:p>
        </w:tc>
      </w:tr>
      <w:tr w:rsidR="00FB67F9" w14:paraId="606F6EFD"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EEF" w14:textId="77777777" w:rsidR="00FB67F9" w:rsidRDefault="00E839DF">
            <w:pPr>
              <w:textAlignment w:val="bottom"/>
              <w:rPr>
                <w:rFonts w:ascii="Times New Roman" w:hAnsi="Times New Roman"/>
                <w:sz w:val="17"/>
                <w:szCs w:val="17"/>
              </w:rPr>
            </w:pPr>
            <w:r>
              <w:rPr>
                <w:rFonts w:ascii="Arial" w:eastAsia="宋体" w:hAnsi="Arial" w:cs="Arial"/>
                <w:sz w:val="17"/>
                <w:szCs w:val="17"/>
              </w:rPr>
              <w:t>Net income</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606F6EF0"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F1"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606F6EF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6EF3"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EF4"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F5"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F6"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606F6EF7"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6EF8"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F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2,482</w:t>
            </w:r>
          </w:p>
        </w:tc>
        <w:tc>
          <w:tcPr>
            <w:tcW w:w="0" w:type="auto"/>
            <w:tcBorders>
              <w:top w:val="single" w:sz="8" w:space="0" w:color="808080"/>
            </w:tcBorders>
            <w:shd w:val="clear" w:color="auto" w:fill="FFF1E7"/>
            <w:vAlign w:val="bottom"/>
          </w:tcPr>
          <w:p w14:paraId="606F6EF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6EF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2,482</w:t>
            </w:r>
          </w:p>
        </w:tc>
        <w:tc>
          <w:tcPr>
            <w:tcW w:w="0" w:type="auto"/>
            <w:tcBorders>
              <w:top w:val="single" w:sz="8" w:space="0" w:color="808080"/>
            </w:tcBorders>
            <w:shd w:val="clear" w:color="auto" w:fill="FFF1E7"/>
            <w:vAlign w:val="bottom"/>
          </w:tcPr>
          <w:p w14:paraId="606F6EFC" w14:textId="77777777" w:rsidR="00FB67F9" w:rsidRDefault="00FB67F9">
            <w:pPr>
              <w:textAlignment w:val="bottom"/>
              <w:rPr>
                <w:rFonts w:ascii="Times New Roman" w:hAnsi="Times New Roman"/>
                <w:sz w:val="20"/>
                <w:szCs w:val="20"/>
              </w:rPr>
            </w:pPr>
          </w:p>
        </w:tc>
      </w:tr>
      <w:tr w:rsidR="00FB67F9" w14:paraId="606F6F0D" w14:textId="77777777">
        <w:trPr>
          <w:jc w:val="center"/>
        </w:trPr>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EFE"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Other comprehensive income </w:t>
            </w:r>
            <w:r>
              <w:rPr>
                <w:rFonts w:ascii="Arial" w:eastAsia="宋体" w:hAnsi="Arial" w:cs="Arial"/>
                <w:sz w:val="17"/>
                <w:szCs w:val="17"/>
              </w:rPr>
              <w:t>(loss)</w:t>
            </w:r>
          </w:p>
        </w:tc>
        <w:tc>
          <w:tcPr>
            <w:tcW w:w="0" w:type="auto"/>
            <w:gridSpan w:val="2"/>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606F6EFF"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606F6F00"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606F6F0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6F02"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FFF1E7"/>
            <w:vAlign w:val="bottom"/>
          </w:tcPr>
          <w:p w14:paraId="606F6F03"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606F6F04"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F05"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FFF1E7"/>
            <w:vAlign w:val="bottom"/>
          </w:tcPr>
          <w:p w14:paraId="606F6F0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F0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(179</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6F0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F09"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FFF1E7"/>
            <w:vAlign w:val="bottom"/>
          </w:tcPr>
          <w:p w14:paraId="606F6F0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6F0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(179</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6F0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F1C" w14:textId="77777777">
        <w:trPr>
          <w:jc w:val="center"/>
        </w:trPr>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6F0E" w14:textId="77777777" w:rsidR="00FB67F9" w:rsidRDefault="00E839DF">
            <w:pPr>
              <w:textAlignment w:val="bottom"/>
              <w:rPr>
                <w:rFonts w:ascii="Times New Roman" w:hAnsi="Times New Roman"/>
                <w:sz w:val="17"/>
                <w:szCs w:val="17"/>
              </w:rPr>
            </w:pPr>
            <w:r>
              <w:rPr>
                <w:rFonts w:ascii="Arial" w:eastAsia="宋体" w:hAnsi="Arial" w:cs="Arial"/>
                <w:sz w:val="17"/>
                <w:szCs w:val="17"/>
              </w:rPr>
              <w:t>Adoption of ASC Topic 842 (Note 1)</w:t>
            </w:r>
          </w:p>
        </w:tc>
        <w:tc>
          <w:tcPr>
            <w:tcW w:w="0" w:type="auto"/>
            <w:gridSpan w:val="2"/>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F0F"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F10"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F1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6F12"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vAlign w:val="bottom"/>
          </w:tcPr>
          <w:p w14:paraId="606F6F13"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F14"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F15"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vAlign w:val="bottom"/>
          </w:tcPr>
          <w:p w14:paraId="606F6F16"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606F6F17"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F1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6F1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6F1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6F1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F35"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F1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November 30, 2019</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1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top w:val="single" w:sz="8" w:space="0" w:color="E87722"/>
              <w:bottom w:val="single" w:sz="8" w:space="0" w:color="E87722"/>
            </w:tcBorders>
            <w:shd w:val="clear" w:color="auto" w:fill="FFF1E7"/>
            <w:vAlign w:val="bottom"/>
          </w:tcPr>
          <w:p w14:paraId="606F6F1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2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F2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vAlign w:val="bottom"/>
          </w:tcPr>
          <w:p w14:paraId="606F6F22"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right w:w="40" w:type="dxa"/>
            </w:tcMar>
            <w:vAlign w:val="bottom"/>
          </w:tcPr>
          <w:p w14:paraId="606F6F2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2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1,244</w:t>
            </w:r>
          </w:p>
        </w:tc>
        <w:tc>
          <w:tcPr>
            <w:tcW w:w="0" w:type="auto"/>
            <w:tcBorders>
              <w:top w:val="single" w:sz="8" w:space="0" w:color="E87722"/>
              <w:bottom w:val="single" w:sz="8" w:space="0" w:color="E87722"/>
            </w:tcBorders>
            <w:shd w:val="clear" w:color="auto" w:fill="FFF1E7"/>
            <w:vAlign w:val="bottom"/>
          </w:tcPr>
          <w:p w14:paraId="606F6F2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2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F2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FFF1E7"/>
            <w:vAlign w:val="bottom"/>
          </w:tcPr>
          <w:p w14:paraId="606F6F2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2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F2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7,719</w:t>
            </w:r>
          </w:p>
        </w:tc>
        <w:tc>
          <w:tcPr>
            <w:tcW w:w="0" w:type="auto"/>
            <w:tcBorders>
              <w:top w:val="single" w:sz="8" w:space="0" w:color="E87722"/>
              <w:bottom w:val="single" w:sz="8" w:space="0" w:color="E87722"/>
            </w:tcBorders>
            <w:shd w:val="clear" w:color="auto" w:fill="FFF1E7"/>
            <w:vAlign w:val="bottom"/>
          </w:tcPr>
          <w:p w14:paraId="606F6F2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2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F2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52</w:t>
            </w:r>
          </w:p>
        </w:tc>
        <w:tc>
          <w:tcPr>
            <w:tcW w:w="0" w:type="auto"/>
            <w:tcBorders>
              <w:top w:val="single" w:sz="8" w:space="0" w:color="E87722"/>
              <w:bottom w:val="single" w:sz="8" w:space="0" w:color="E87722"/>
            </w:tcBorders>
            <w:shd w:val="clear" w:color="auto" w:fill="FFF1E7"/>
            <w:vAlign w:val="bottom"/>
          </w:tcPr>
          <w:p w14:paraId="606F6F2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2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F3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1,577</w:t>
            </w:r>
          </w:p>
        </w:tc>
        <w:tc>
          <w:tcPr>
            <w:tcW w:w="0" w:type="auto"/>
            <w:tcBorders>
              <w:top w:val="single" w:sz="8" w:space="0" w:color="E87722"/>
              <w:bottom w:val="single" w:sz="8" w:space="0" w:color="E87722"/>
            </w:tcBorders>
            <w:shd w:val="clear" w:color="auto" w:fill="FFF1E7"/>
            <w:vAlign w:val="bottom"/>
          </w:tcPr>
          <w:p w14:paraId="606F6F3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6F3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6F3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9,351</w:t>
            </w:r>
          </w:p>
        </w:tc>
        <w:tc>
          <w:tcPr>
            <w:tcW w:w="0" w:type="auto"/>
            <w:tcBorders>
              <w:top w:val="single" w:sz="8" w:space="0" w:color="E87722"/>
              <w:bottom w:val="single" w:sz="8" w:space="0" w:color="E87722"/>
            </w:tcBorders>
            <w:shd w:val="clear" w:color="auto" w:fill="FFF1E7"/>
            <w:vAlign w:val="bottom"/>
          </w:tcPr>
          <w:p w14:paraId="606F6F34" w14:textId="77777777" w:rsidR="00FB67F9" w:rsidRDefault="00FB67F9">
            <w:pPr>
              <w:textAlignment w:val="bottom"/>
              <w:rPr>
                <w:rFonts w:ascii="Times New Roman" w:hAnsi="Times New Roman"/>
                <w:sz w:val="20"/>
                <w:szCs w:val="20"/>
              </w:rPr>
            </w:pPr>
          </w:p>
        </w:tc>
      </w:tr>
    </w:tbl>
    <w:p w14:paraId="606F6F36" w14:textId="77777777" w:rsidR="00FB67F9" w:rsidRDefault="00FB67F9">
      <w:pPr>
        <w:rPr>
          <w:vanish/>
        </w:rPr>
      </w:pPr>
    </w:p>
    <w:tbl>
      <w:tblPr>
        <w:tblW w:w="5000" w:type="pct"/>
        <w:jc w:val="center"/>
        <w:tblCellMar>
          <w:left w:w="0" w:type="dxa"/>
          <w:right w:w="0" w:type="dxa"/>
        </w:tblCellMar>
        <w:tblLook w:val="04A0" w:firstRow="1" w:lastRow="0" w:firstColumn="1" w:lastColumn="0" w:noHBand="0" w:noVBand="1"/>
      </w:tblPr>
      <w:tblGrid>
        <w:gridCol w:w="1392"/>
        <w:gridCol w:w="590"/>
        <w:gridCol w:w="97"/>
        <w:gridCol w:w="135"/>
        <w:gridCol w:w="612"/>
        <w:gridCol w:w="6"/>
        <w:gridCol w:w="130"/>
        <w:gridCol w:w="590"/>
        <w:gridCol w:w="97"/>
        <w:gridCol w:w="135"/>
        <w:gridCol w:w="612"/>
        <w:gridCol w:w="6"/>
        <w:gridCol w:w="136"/>
        <w:gridCol w:w="712"/>
        <w:gridCol w:w="97"/>
        <w:gridCol w:w="136"/>
        <w:gridCol w:w="1167"/>
        <w:gridCol w:w="97"/>
        <w:gridCol w:w="136"/>
        <w:gridCol w:w="668"/>
        <w:gridCol w:w="97"/>
        <w:gridCol w:w="135"/>
        <w:gridCol w:w="426"/>
        <w:gridCol w:w="97"/>
      </w:tblGrid>
      <w:tr w:rsidR="00FB67F9" w14:paraId="606F6F38" w14:textId="77777777">
        <w:trPr>
          <w:jc w:val="center"/>
        </w:trPr>
        <w:tc>
          <w:tcPr>
            <w:tcW w:w="0" w:type="auto"/>
            <w:gridSpan w:val="24"/>
            <w:shd w:val="clear" w:color="auto" w:fill="auto"/>
            <w:vAlign w:val="center"/>
          </w:tcPr>
          <w:p w14:paraId="606F6F37" w14:textId="77777777" w:rsidR="00FB67F9" w:rsidRDefault="00FB67F9">
            <w:pPr>
              <w:rPr>
                <w:rFonts w:ascii="Times New Roman" w:hAnsi="Times New Roman"/>
                <w:sz w:val="20"/>
                <w:szCs w:val="20"/>
              </w:rPr>
            </w:pPr>
          </w:p>
        </w:tc>
      </w:tr>
      <w:tr w:rsidR="00FB67F9" w14:paraId="606F6F51" w14:textId="77777777">
        <w:trPr>
          <w:jc w:val="center"/>
        </w:trPr>
        <w:tc>
          <w:tcPr>
            <w:tcW w:w="1550" w:type="pct"/>
            <w:shd w:val="clear" w:color="auto" w:fill="auto"/>
            <w:vAlign w:val="center"/>
          </w:tcPr>
          <w:p w14:paraId="606F6F39" w14:textId="77777777" w:rsidR="00FB67F9" w:rsidRDefault="00FB67F9">
            <w:pPr>
              <w:rPr>
                <w:rFonts w:ascii="Times New Roman" w:hAnsi="Times New Roman"/>
                <w:sz w:val="20"/>
                <w:szCs w:val="20"/>
              </w:rPr>
            </w:pPr>
          </w:p>
        </w:tc>
        <w:tc>
          <w:tcPr>
            <w:tcW w:w="300" w:type="pct"/>
            <w:shd w:val="clear" w:color="auto" w:fill="auto"/>
            <w:vAlign w:val="center"/>
          </w:tcPr>
          <w:p w14:paraId="606F6F3A" w14:textId="77777777" w:rsidR="00FB67F9" w:rsidRDefault="00FB67F9">
            <w:pPr>
              <w:rPr>
                <w:rFonts w:ascii="Times New Roman" w:hAnsi="Times New Roman"/>
                <w:sz w:val="20"/>
                <w:szCs w:val="20"/>
              </w:rPr>
            </w:pPr>
          </w:p>
        </w:tc>
        <w:tc>
          <w:tcPr>
            <w:tcW w:w="50" w:type="pct"/>
            <w:shd w:val="clear" w:color="auto" w:fill="auto"/>
            <w:vAlign w:val="center"/>
          </w:tcPr>
          <w:p w14:paraId="606F6F3B" w14:textId="77777777" w:rsidR="00FB67F9" w:rsidRDefault="00FB67F9">
            <w:pPr>
              <w:rPr>
                <w:rFonts w:ascii="Times New Roman" w:hAnsi="Times New Roman"/>
                <w:sz w:val="20"/>
                <w:szCs w:val="20"/>
              </w:rPr>
            </w:pPr>
          </w:p>
        </w:tc>
        <w:tc>
          <w:tcPr>
            <w:tcW w:w="50" w:type="pct"/>
            <w:shd w:val="clear" w:color="auto" w:fill="auto"/>
            <w:vAlign w:val="center"/>
          </w:tcPr>
          <w:p w14:paraId="606F6F3C" w14:textId="77777777" w:rsidR="00FB67F9" w:rsidRDefault="00FB67F9">
            <w:pPr>
              <w:rPr>
                <w:rFonts w:ascii="Times New Roman" w:hAnsi="Times New Roman"/>
                <w:sz w:val="20"/>
                <w:szCs w:val="20"/>
              </w:rPr>
            </w:pPr>
          </w:p>
        </w:tc>
        <w:tc>
          <w:tcPr>
            <w:tcW w:w="300" w:type="pct"/>
            <w:shd w:val="clear" w:color="auto" w:fill="auto"/>
            <w:vAlign w:val="center"/>
          </w:tcPr>
          <w:p w14:paraId="606F6F3D" w14:textId="77777777" w:rsidR="00FB67F9" w:rsidRDefault="00FB67F9">
            <w:pPr>
              <w:rPr>
                <w:rFonts w:ascii="Times New Roman" w:hAnsi="Times New Roman"/>
                <w:sz w:val="20"/>
                <w:szCs w:val="20"/>
              </w:rPr>
            </w:pPr>
          </w:p>
        </w:tc>
        <w:tc>
          <w:tcPr>
            <w:tcW w:w="50" w:type="pct"/>
            <w:shd w:val="clear" w:color="auto" w:fill="auto"/>
            <w:vAlign w:val="center"/>
          </w:tcPr>
          <w:p w14:paraId="606F6F3E" w14:textId="77777777" w:rsidR="00FB67F9" w:rsidRDefault="00FB67F9">
            <w:pPr>
              <w:rPr>
                <w:rFonts w:ascii="Times New Roman" w:hAnsi="Times New Roman"/>
                <w:sz w:val="20"/>
                <w:szCs w:val="20"/>
              </w:rPr>
            </w:pPr>
          </w:p>
        </w:tc>
        <w:tc>
          <w:tcPr>
            <w:tcW w:w="50" w:type="pct"/>
            <w:shd w:val="clear" w:color="auto" w:fill="auto"/>
            <w:vAlign w:val="center"/>
          </w:tcPr>
          <w:p w14:paraId="606F6F3F" w14:textId="77777777" w:rsidR="00FB67F9" w:rsidRDefault="00FB67F9">
            <w:pPr>
              <w:rPr>
                <w:rFonts w:ascii="Times New Roman" w:hAnsi="Times New Roman"/>
                <w:sz w:val="20"/>
                <w:szCs w:val="20"/>
              </w:rPr>
            </w:pPr>
          </w:p>
        </w:tc>
        <w:tc>
          <w:tcPr>
            <w:tcW w:w="300" w:type="pct"/>
            <w:shd w:val="clear" w:color="auto" w:fill="auto"/>
            <w:vAlign w:val="center"/>
          </w:tcPr>
          <w:p w14:paraId="606F6F40" w14:textId="77777777" w:rsidR="00FB67F9" w:rsidRDefault="00FB67F9">
            <w:pPr>
              <w:rPr>
                <w:rFonts w:ascii="Times New Roman" w:hAnsi="Times New Roman"/>
                <w:sz w:val="20"/>
                <w:szCs w:val="20"/>
              </w:rPr>
            </w:pPr>
          </w:p>
        </w:tc>
        <w:tc>
          <w:tcPr>
            <w:tcW w:w="50" w:type="pct"/>
            <w:shd w:val="clear" w:color="auto" w:fill="auto"/>
            <w:vAlign w:val="center"/>
          </w:tcPr>
          <w:p w14:paraId="606F6F41" w14:textId="77777777" w:rsidR="00FB67F9" w:rsidRDefault="00FB67F9">
            <w:pPr>
              <w:rPr>
                <w:rFonts w:ascii="Times New Roman" w:hAnsi="Times New Roman"/>
                <w:sz w:val="20"/>
                <w:szCs w:val="20"/>
              </w:rPr>
            </w:pPr>
          </w:p>
        </w:tc>
        <w:tc>
          <w:tcPr>
            <w:tcW w:w="50" w:type="pct"/>
            <w:shd w:val="clear" w:color="auto" w:fill="auto"/>
            <w:vAlign w:val="center"/>
          </w:tcPr>
          <w:p w14:paraId="606F6F42" w14:textId="77777777" w:rsidR="00FB67F9" w:rsidRDefault="00FB67F9">
            <w:pPr>
              <w:rPr>
                <w:rFonts w:ascii="Times New Roman" w:hAnsi="Times New Roman"/>
                <w:sz w:val="20"/>
                <w:szCs w:val="20"/>
              </w:rPr>
            </w:pPr>
          </w:p>
        </w:tc>
        <w:tc>
          <w:tcPr>
            <w:tcW w:w="300" w:type="pct"/>
            <w:shd w:val="clear" w:color="auto" w:fill="auto"/>
            <w:vAlign w:val="center"/>
          </w:tcPr>
          <w:p w14:paraId="606F6F43" w14:textId="77777777" w:rsidR="00FB67F9" w:rsidRDefault="00FB67F9">
            <w:pPr>
              <w:rPr>
                <w:rFonts w:ascii="Times New Roman" w:hAnsi="Times New Roman"/>
                <w:sz w:val="20"/>
                <w:szCs w:val="20"/>
              </w:rPr>
            </w:pPr>
          </w:p>
        </w:tc>
        <w:tc>
          <w:tcPr>
            <w:tcW w:w="50" w:type="pct"/>
            <w:shd w:val="clear" w:color="auto" w:fill="auto"/>
            <w:vAlign w:val="center"/>
          </w:tcPr>
          <w:p w14:paraId="606F6F44" w14:textId="77777777" w:rsidR="00FB67F9" w:rsidRDefault="00FB67F9">
            <w:pPr>
              <w:rPr>
                <w:rFonts w:ascii="Times New Roman" w:hAnsi="Times New Roman"/>
                <w:sz w:val="20"/>
                <w:szCs w:val="20"/>
              </w:rPr>
            </w:pPr>
          </w:p>
        </w:tc>
        <w:tc>
          <w:tcPr>
            <w:tcW w:w="50" w:type="pct"/>
            <w:shd w:val="clear" w:color="auto" w:fill="auto"/>
            <w:vAlign w:val="center"/>
          </w:tcPr>
          <w:p w14:paraId="606F6F45" w14:textId="77777777" w:rsidR="00FB67F9" w:rsidRDefault="00FB67F9">
            <w:pPr>
              <w:rPr>
                <w:rFonts w:ascii="Times New Roman" w:hAnsi="Times New Roman"/>
                <w:sz w:val="20"/>
                <w:szCs w:val="20"/>
              </w:rPr>
            </w:pPr>
          </w:p>
        </w:tc>
        <w:tc>
          <w:tcPr>
            <w:tcW w:w="350" w:type="pct"/>
            <w:shd w:val="clear" w:color="auto" w:fill="auto"/>
            <w:vAlign w:val="center"/>
          </w:tcPr>
          <w:p w14:paraId="606F6F46" w14:textId="77777777" w:rsidR="00FB67F9" w:rsidRDefault="00FB67F9">
            <w:pPr>
              <w:rPr>
                <w:rFonts w:ascii="Times New Roman" w:hAnsi="Times New Roman"/>
                <w:sz w:val="20"/>
                <w:szCs w:val="20"/>
              </w:rPr>
            </w:pPr>
          </w:p>
        </w:tc>
        <w:tc>
          <w:tcPr>
            <w:tcW w:w="50" w:type="pct"/>
            <w:shd w:val="clear" w:color="auto" w:fill="auto"/>
            <w:vAlign w:val="center"/>
          </w:tcPr>
          <w:p w14:paraId="606F6F47" w14:textId="77777777" w:rsidR="00FB67F9" w:rsidRDefault="00FB67F9">
            <w:pPr>
              <w:rPr>
                <w:rFonts w:ascii="Times New Roman" w:hAnsi="Times New Roman"/>
                <w:sz w:val="20"/>
                <w:szCs w:val="20"/>
              </w:rPr>
            </w:pPr>
          </w:p>
        </w:tc>
        <w:tc>
          <w:tcPr>
            <w:tcW w:w="50" w:type="pct"/>
            <w:shd w:val="clear" w:color="auto" w:fill="auto"/>
            <w:vAlign w:val="center"/>
          </w:tcPr>
          <w:p w14:paraId="606F6F48" w14:textId="77777777" w:rsidR="00FB67F9" w:rsidRDefault="00FB67F9">
            <w:pPr>
              <w:rPr>
                <w:rFonts w:ascii="Times New Roman" w:hAnsi="Times New Roman"/>
                <w:sz w:val="20"/>
                <w:szCs w:val="20"/>
              </w:rPr>
            </w:pPr>
          </w:p>
        </w:tc>
        <w:tc>
          <w:tcPr>
            <w:tcW w:w="550" w:type="pct"/>
            <w:shd w:val="clear" w:color="auto" w:fill="auto"/>
            <w:vAlign w:val="center"/>
          </w:tcPr>
          <w:p w14:paraId="606F6F49" w14:textId="77777777" w:rsidR="00FB67F9" w:rsidRDefault="00FB67F9">
            <w:pPr>
              <w:rPr>
                <w:rFonts w:ascii="Times New Roman" w:hAnsi="Times New Roman"/>
                <w:sz w:val="20"/>
                <w:szCs w:val="20"/>
              </w:rPr>
            </w:pPr>
          </w:p>
        </w:tc>
        <w:tc>
          <w:tcPr>
            <w:tcW w:w="50" w:type="pct"/>
            <w:shd w:val="clear" w:color="auto" w:fill="auto"/>
            <w:vAlign w:val="center"/>
          </w:tcPr>
          <w:p w14:paraId="606F6F4A" w14:textId="77777777" w:rsidR="00FB67F9" w:rsidRDefault="00FB67F9">
            <w:pPr>
              <w:rPr>
                <w:rFonts w:ascii="Times New Roman" w:hAnsi="Times New Roman"/>
                <w:sz w:val="20"/>
                <w:szCs w:val="20"/>
              </w:rPr>
            </w:pPr>
          </w:p>
        </w:tc>
        <w:tc>
          <w:tcPr>
            <w:tcW w:w="50" w:type="pct"/>
            <w:shd w:val="clear" w:color="auto" w:fill="auto"/>
            <w:vAlign w:val="center"/>
          </w:tcPr>
          <w:p w14:paraId="606F6F4B" w14:textId="77777777" w:rsidR="00FB67F9" w:rsidRDefault="00FB67F9">
            <w:pPr>
              <w:rPr>
                <w:rFonts w:ascii="Times New Roman" w:hAnsi="Times New Roman"/>
                <w:sz w:val="20"/>
                <w:szCs w:val="20"/>
              </w:rPr>
            </w:pPr>
          </w:p>
        </w:tc>
        <w:tc>
          <w:tcPr>
            <w:tcW w:w="300" w:type="pct"/>
            <w:shd w:val="clear" w:color="auto" w:fill="auto"/>
            <w:vAlign w:val="center"/>
          </w:tcPr>
          <w:p w14:paraId="606F6F4C" w14:textId="77777777" w:rsidR="00FB67F9" w:rsidRDefault="00FB67F9">
            <w:pPr>
              <w:rPr>
                <w:rFonts w:ascii="Times New Roman" w:hAnsi="Times New Roman"/>
                <w:sz w:val="20"/>
                <w:szCs w:val="20"/>
              </w:rPr>
            </w:pPr>
          </w:p>
        </w:tc>
        <w:tc>
          <w:tcPr>
            <w:tcW w:w="50" w:type="pct"/>
            <w:shd w:val="clear" w:color="auto" w:fill="auto"/>
            <w:vAlign w:val="center"/>
          </w:tcPr>
          <w:p w14:paraId="606F6F4D" w14:textId="77777777" w:rsidR="00FB67F9" w:rsidRDefault="00FB67F9">
            <w:pPr>
              <w:rPr>
                <w:rFonts w:ascii="Times New Roman" w:hAnsi="Times New Roman"/>
                <w:sz w:val="20"/>
                <w:szCs w:val="20"/>
              </w:rPr>
            </w:pPr>
          </w:p>
        </w:tc>
        <w:tc>
          <w:tcPr>
            <w:tcW w:w="50" w:type="pct"/>
            <w:shd w:val="clear" w:color="auto" w:fill="auto"/>
            <w:vAlign w:val="center"/>
          </w:tcPr>
          <w:p w14:paraId="606F6F4E" w14:textId="77777777" w:rsidR="00FB67F9" w:rsidRDefault="00FB67F9">
            <w:pPr>
              <w:rPr>
                <w:rFonts w:ascii="Times New Roman" w:hAnsi="Times New Roman"/>
                <w:sz w:val="20"/>
                <w:szCs w:val="20"/>
              </w:rPr>
            </w:pPr>
          </w:p>
        </w:tc>
        <w:tc>
          <w:tcPr>
            <w:tcW w:w="300" w:type="pct"/>
            <w:shd w:val="clear" w:color="auto" w:fill="auto"/>
            <w:vAlign w:val="center"/>
          </w:tcPr>
          <w:p w14:paraId="606F6F4F" w14:textId="77777777" w:rsidR="00FB67F9" w:rsidRDefault="00FB67F9">
            <w:pPr>
              <w:rPr>
                <w:rFonts w:ascii="Times New Roman" w:hAnsi="Times New Roman"/>
                <w:sz w:val="20"/>
                <w:szCs w:val="20"/>
              </w:rPr>
            </w:pPr>
          </w:p>
        </w:tc>
        <w:tc>
          <w:tcPr>
            <w:tcW w:w="50" w:type="pct"/>
            <w:shd w:val="clear" w:color="auto" w:fill="auto"/>
            <w:vAlign w:val="center"/>
          </w:tcPr>
          <w:p w14:paraId="606F6F50" w14:textId="77777777" w:rsidR="00FB67F9" w:rsidRDefault="00FB67F9">
            <w:pPr>
              <w:rPr>
                <w:rFonts w:ascii="Times New Roman" w:hAnsi="Times New Roman"/>
                <w:sz w:val="20"/>
                <w:szCs w:val="20"/>
              </w:rPr>
            </w:pPr>
          </w:p>
        </w:tc>
      </w:tr>
      <w:tr w:rsidR="00FB67F9" w14:paraId="606F6F5C" w14:textId="77777777">
        <w:trPr>
          <w:jc w:val="center"/>
        </w:trPr>
        <w:tc>
          <w:tcPr>
            <w:tcW w:w="0" w:type="auto"/>
            <w:shd w:val="clear" w:color="auto" w:fill="auto"/>
            <w:tcMar>
              <w:top w:w="40" w:type="dxa"/>
              <w:left w:w="40" w:type="dxa"/>
              <w:bottom w:w="40" w:type="dxa"/>
              <w:right w:w="40" w:type="dxa"/>
            </w:tcMar>
            <w:vAlign w:val="bottom"/>
          </w:tcPr>
          <w:p w14:paraId="606F6F5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E87722"/>
            </w:tcBorders>
            <w:shd w:val="clear" w:color="auto" w:fill="auto"/>
            <w:tcMar>
              <w:top w:w="40" w:type="dxa"/>
              <w:left w:w="40" w:type="dxa"/>
              <w:bottom w:w="40" w:type="dxa"/>
            </w:tcMar>
            <w:vAlign w:val="bottom"/>
          </w:tcPr>
          <w:p w14:paraId="606F6F5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COMMON STOCK</w:t>
            </w: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606F6F54"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CAPITAL IN EXCESS OF STATED VALUE</w:t>
            </w:r>
          </w:p>
        </w:tc>
        <w:tc>
          <w:tcPr>
            <w:tcW w:w="0" w:type="auto"/>
            <w:vMerge w:val="restart"/>
            <w:tcBorders>
              <w:bottom w:val="single" w:sz="8" w:space="0" w:color="E87722"/>
            </w:tcBorders>
            <w:shd w:val="clear" w:color="auto" w:fill="auto"/>
            <w:vAlign w:val="bottom"/>
          </w:tcPr>
          <w:p w14:paraId="606F6F55" w14:textId="77777777" w:rsidR="00FB67F9" w:rsidRDefault="00FB67F9">
            <w:pPr>
              <w:textAlignment w:val="bottom"/>
              <w:rPr>
                <w:rFonts w:ascii="Times New Roman" w:hAnsi="Times New Roman"/>
                <w:sz w:val="20"/>
                <w:szCs w:val="20"/>
              </w:rPr>
            </w:pP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606F6F5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ACCUMULATED OTHER COMPREHENSIVE INCOME (LOSS)</w:t>
            </w:r>
          </w:p>
        </w:tc>
        <w:tc>
          <w:tcPr>
            <w:tcW w:w="0" w:type="auto"/>
            <w:vMerge w:val="restart"/>
            <w:tcBorders>
              <w:bottom w:val="single" w:sz="8" w:space="0" w:color="E87722"/>
            </w:tcBorders>
            <w:shd w:val="clear" w:color="auto" w:fill="auto"/>
            <w:vAlign w:val="bottom"/>
          </w:tcPr>
          <w:p w14:paraId="606F6F57" w14:textId="77777777" w:rsidR="00FB67F9" w:rsidRDefault="00FB67F9">
            <w:pPr>
              <w:textAlignment w:val="bottom"/>
              <w:rPr>
                <w:rFonts w:ascii="Times New Roman" w:hAnsi="Times New Roman"/>
                <w:sz w:val="20"/>
                <w:szCs w:val="20"/>
              </w:rPr>
            </w:pP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606F6F5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RETAINED EARNINGS</w:t>
            </w:r>
          </w:p>
        </w:tc>
        <w:tc>
          <w:tcPr>
            <w:tcW w:w="0" w:type="auto"/>
            <w:vMerge w:val="restart"/>
            <w:tcBorders>
              <w:bottom w:val="single" w:sz="8" w:space="0" w:color="E87722"/>
            </w:tcBorders>
            <w:shd w:val="clear" w:color="auto" w:fill="auto"/>
            <w:vAlign w:val="bottom"/>
          </w:tcPr>
          <w:p w14:paraId="606F6F59" w14:textId="77777777" w:rsidR="00FB67F9" w:rsidRDefault="00FB67F9">
            <w:pPr>
              <w:textAlignment w:val="bottom"/>
              <w:rPr>
                <w:rFonts w:ascii="Times New Roman" w:hAnsi="Times New Roman"/>
                <w:sz w:val="20"/>
                <w:szCs w:val="20"/>
              </w:rPr>
            </w:pP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606F6F5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vMerge w:val="restart"/>
            <w:tcBorders>
              <w:bottom w:val="single" w:sz="8" w:space="0" w:color="E87722"/>
            </w:tcBorders>
            <w:shd w:val="clear" w:color="auto" w:fill="auto"/>
            <w:vAlign w:val="bottom"/>
          </w:tcPr>
          <w:p w14:paraId="606F6F5B" w14:textId="77777777" w:rsidR="00FB67F9" w:rsidRDefault="00FB67F9">
            <w:pPr>
              <w:textAlignment w:val="bottom"/>
              <w:rPr>
                <w:rFonts w:ascii="Times New Roman" w:hAnsi="Times New Roman"/>
                <w:sz w:val="20"/>
                <w:szCs w:val="20"/>
              </w:rPr>
            </w:pPr>
          </w:p>
        </w:tc>
      </w:tr>
      <w:tr w:rsidR="00FB67F9" w14:paraId="606F6F69" w14:textId="77777777">
        <w:trPr>
          <w:jc w:val="center"/>
        </w:trPr>
        <w:tc>
          <w:tcPr>
            <w:tcW w:w="0" w:type="auto"/>
            <w:shd w:val="clear" w:color="auto" w:fill="auto"/>
            <w:tcMar>
              <w:top w:w="40" w:type="dxa"/>
              <w:left w:w="40" w:type="dxa"/>
              <w:bottom w:w="40" w:type="dxa"/>
              <w:right w:w="40" w:type="dxa"/>
            </w:tcMar>
            <w:vAlign w:val="bottom"/>
          </w:tcPr>
          <w:p w14:paraId="606F6F5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F5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A</w:t>
            </w:r>
          </w:p>
        </w:tc>
        <w:tc>
          <w:tcPr>
            <w:tcW w:w="0" w:type="auto"/>
            <w:shd w:val="clear" w:color="auto" w:fill="auto"/>
            <w:tcMar>
              <w:top w:w="40" w:type="dxa"/>
              <w:left w:w="40" w:type="dxa"/>
              <w:bottom w:w="40" w:type="dxa"/>
              <w:right w:w="40" w:type="dxa"/>
            </w:tcMar>
            <w:vAlign w:val="bottom"/>
          </w:tcPr>
          <w:p w14:paraId="606F6F5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6F6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B</w:t>
            </w: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61"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62" w14:textId="77777777" w:rsidR="00FB67F9" w:rsidRDefault="00FB67F9">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63"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64" w14:textId="77777777" w:rsidR="00FB67F9" w:rsidRDefault="00FB67F9">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65"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66" w14:textId="77777777" w:rsidR="00FB67F9" w:rsidRDefault="00FB67F9">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67"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68" w14:textId="77777777" w:rsidR="00FB67F9" w:rsidRDefault="00FB67F9">
            <w:pPr>
              <w:rPr>
                <w:rFonts w:ascii="Times New Roman" w:hAnsi="Times New Roman"/>
                <w:sz w:val="20"/>
                <w:szCs w:val="20"/>
              </w:rPr>
            </w:pPr>
          </w:p>
        </w:tc>
      </w:tr>
      <w:tr w:rsidR="00FB67F9" w14:paraId="606F6F7C"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6F6A"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tcBorders>
              <w:bottom w:val="single" w:sz="8" w:space="0" w:color="E87722"/>
            </w:tcBorders>
            <w:shd w:val="clear" w:color="auto" w:fill="auto"/>
            <w:tcMar>
              <w:top w:w="40" w:type="dxa"/>
              <w:left w:w="40" w:type="dxa"/>
              <w:bottom w:w="40" w:type="dxa"/>
            </w:tcMar>
            <w:vAlign w:val="bottom"/>
          </w:tcPr>
          <w:p w14:paraId="606F6F6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tcBorders>
              <w:bottom w:val="single" w:sz="8" w:space="0" w:color="E87722"/>
            </w:tcBorders>
            <w:shd w:val="clear" w:color="auto" w:fill="auto"/>
            <w:vAlign w:val="bottom"/>
          </w:tcPr>
          <w:p w14:paraId="606F6F6C"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6F6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tcBorders>
              <w:bottom w:val="single" w:sz="8" w:space="0" w:color="E87722"/>
            </w:tcBorders>
            <w:shd w:val="clear" w:color="auto" w:fill="auto"/>
            <w:vAlign w:val="bottom"/>
          </w:tcPr>
          <w:p w14:paraId="606F6F6E"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F6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606F6F7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tcBorders>
              <w:bottom w:val="single" w:sz="8" w:space="0" w:color="E87722"/>
            </w:tcBorders>
            <w:shd w:val="clear" w:color="auto" w:fill="auto"/>
            <w:vAlign w:val="bottom"/>
          </w:tcPr>
          <w:p w14:paraId="606F6F7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6F7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tcBorders>
              <w:bottom w:val="single" w:sz="8" w:space="0" w:color="E87722"/>
            </w:tcBorders>
            <w:shd w:val="clear" w:color="auto" w:fill="auto"/>
            <w:vAlign w:val="bottom"/>
          </w:tcPr>
          <w:p w14:paraId="606F6F73" w14:textId="77777777" w:rsidR="00FB67F9" w:rsidRDefault="00FB67F9">
            <w:pPr>
              <w:textAlignment w:val="bottom"/>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74"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75" w14:textId="77777777" w:rsidR="00FB67F9" w:rsidRDefault="00FB67F9">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76"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77" w14:textId="77777777" w:rsidR="00FB67F9" w:rsidRDefault="00FB67F9">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78"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79" w14:textId="77777777" w:rsidR="00FB67F9" w:rsidRDefault="00FB67F9">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606F6F7A" w14:textId="77777777" w:rsidR="00FB67F9" w:rsidRDefault="00FB67F9">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606F6F7B" w14:textId="77777777" w:rsidR="00FB67F9" w:rsidRDefault="00FB67F9">
            <w:pPr>
              <w:rPr>
                <w:rFonts w:ascii="Times New Roman" w:hAnsi="Times New Roman"/>
                <w:sz w:val="20"/>
                <w:szCs w:val="20"/>
              </w:rPr>
            </w:pPr>
          </w:p>
        </w:tc>
      </w:tr>
      <w:tr w:rsidR="00FB67F9" w14:paraId="606F6F95"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6F7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May 31, 2018</w:t>
            </w:r>
          </w:p>
        </w:tc>
        <w:tc>
          <w:tcPr>
            <w:tcW w:w="0" w:type="auto"/>
            <w:tcBorders>
              <w:bottom w:val="single" w:sz="8" w:space="0" w:color="E87722"/>
            </w:tcBorders>
            <w:shd w:val="clear" w:color="auto" w:fill="auto"/>
            <w:tcMar>
              <w:top w:w="40" w:type="dxa"/>
              <w:left w:w="40" w:type="dxa"/>
              <w:bottom w:w="40" w:type="dxa"/>
            </w:tcMar>
            <w:vAlign w:val="bottom"/>
          </w:tcPr>
          <w:p w14:paraId="606F6F7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329</w:t>
            </w:r>
          </w:p>
        </w:tc>
        <w:tc>
          <w:tcPr>
            <w:tcW w:w="0" w:type="auto"/>
            <w:tcBorders>
              <w:bottom w:val="single" w:sz="8" w:space="0" w:color="E87722"/>
            </w:tcBorders>
            <w:shd w:val="clear" w:color="auto" w:fill="auto"/>
            <w:vAlign w:val="bottom"/>
          </w:tcPr>
          <w:p w14:paraId="606F6F7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F8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F8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vAlign w:val="bottom"/>
          </w:tcPr>
          <w:p w14:paraId="606F6F82"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6F8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606F6F8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1,272</w:t>
            </w:r>
          </w:p>
        </w:tc>
        <w:tc>
          <w:tcPr>
            <w:tcW w:w="0" w:type="auto"/>
            <w:tcBorders>
              <w:bottom w:val="single" w:sz="8" w:space="0" w:color="E87722"/>
            </w:tcBorders>
            <w:shd w:val="clear" w:color="auto" w:fill="auto"/>
            <w:vAlign w:val="bottom"/>
          </w:tcPr>
          <w:p w14:paraId="606F6F85"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F8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F8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vAlign w:val="bottom"/>
          </w:tcPr>
          <w:p w14:paraId="606F6F88"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F8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F8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6,384</w:t>
            </w:r>
          </w:p>
        </w:tc>
        <w:tc>
          <w:tcPr>
            <w:tcW w:w="0" w:type="auto"/>
            <w:tcBorders>
              <w:bottom w:val="single" w:sz="8" w:space="0" w:color="E87722"/>
            </w:tcBorders>
            <w:shd w:val="clear" w:color="auto" w:fill="auto"/>
            <w:vAlign w:val="bottom"/>
          </w:tcPr>
          <w:p w14:paraId="606F6F8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F8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F8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(92</w:t>
            </w:r>
          </w:p>
        </w:tc>
        <w:tc>
          <w:tcPr>
            <w:tcW w:w="0" w:type="auto"/>
            <w:tcBorders>
              <w:bottom w:val="single" w:sz="8" w:space="0" w:color="E87722"/>
            </w:tcBorders>
            <w:shd w:val="clear" w:color="auto" w:fill="auto"/>
            <w:tcMar>
              <w:top w:w="40" w:type="dxa"/>
              <w:bottom w:w="40" w:type="dxa"/>
              <w:right w:w="40" w:type="dxa"/>
            </w:tcMar>
            <w:vAlign w:val="bottom"/>
          </w:tcPr>
          <w:p w14:paraId="606F6F8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606F6F8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F9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3,517</w:t>
            </w:r>
          </w:p>
        </w:tc>
        <w:tc>
          <w:tcPr>
            <w:tcW w:w="0" w:type="auto"/>
            <w:tcBorders>
              <w:bottom w:val="single" w:sz="8" w:space="0" w:color="E87722"/>
            </w:tcBorders>
            <w:shd w:val="clear" w:color="auto" w:fill="auto"/>
            <w:vAlign w:val="bottom"/>
          </w:tcPr>
          <w:p w14:paraId="606F6F91"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6F9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6F9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9,812</w:t>
            </w:r>
          </w:p>
        </w:tc>
        <w:tc>
          <w:tcPr>
            <w:tcW w:w="0" w:type="auto"/>
            <w:tcBorders>
              <w:bottom w:val="single" w:sz="8" w:space="0" w:color="E87722"/>
            </w:tcBorders>
            <w:shd w:val="clear" w:color="auto" w:fill="auto"/>
            <w:vAlign w:val="bottom"/>
          </w:tcPr>
          <w:p w14:paraId="606F6F94" w14:textId="77777777" w:rsidR="00FB67F9" w:rsidRDefault="00FB67F9">
            <w:pPr>
              <w:textAlignment w:val="bottom"/>
              <w:rPr>
                <w:rFonts w:ascii="Times New Roman" w:hAnsi="Times New Roman"/>
                <w:sz w:val="20"/>
                <w:szCs w:val="20"/>
              </w:rPr>
            </w:pPr>
          </w:p>
        </w:tc>
      </w:tr>
      <w:tr w:rsidR="00FB67F9" w14:paraId="606F6FA3" w14:textId="77777777">
        <w:trPr>
          <w:jc w:val="center"/>
        </w:trPr>
        <w:tc>
          <w:tcPr>
            <w:tcW w:w="0" w:type="auto"/>
            <w:shd w:val="clear" w:color="auto" w:fill="auto"/>
            <w:tcMar>
              <w:top w:w="40" w:type="dxa"/>
              <w:left w:w="40" w:type="dxa"/>
              <w:bottom w:w="40" w:type="dxa"/>
              <w:right w:w="40" w:type="dxa"/>
            </w:tcMar>
            <w:vAlign w:val="bottom"/>
          </w:tcPr>
          <w:p w14:paraId="606F6F96" w14:textId="77777777" w:rsidR="00FB67F9" w:rsidRDefault="00E839DF">
            <w:pPr>
              <w:textAlignment w:val="bottom"/>
              <w:rPr>
                <w:rFonts w:ascii="Times New Roman" w:hAnsi="Times New Roman"/>
                <w:sz w:val="17"/>
                <w:szCs w:val="17"/>
              </w:rPr>
            </w:pPr>
            <w:r>
              <w:rPr>
                <w:rFonts w:ascii="Arial" w:eastAsia="宋体" w:hAnsi="Arial" w:cs="Arial"/>
                <w:sz w:val="17"/>
                <w:szCs w:val="17"/>
              </w:rPr>
              <w:t>Stock options exercised</w:t>
            </w:r>
          </w:p>
        </w:tc>
        <w:tc>
          <w:tcPr>
            <w:tcW w:w="0" w:type="auto"/>
            <w:gridSpan w:val="2"/>
            <w:shd w:val="clear" w:color="auto" w:fill="auto"/>
            <w:tcMar>
              <w:top w:w="40" w:type="dxa"/>
              <w:left w:w="40" w:type="dxa"/>
              <w:bottom w:w="40" w:type="dxa"/>
              <w:right w:w="40" w:type="dxa"/>
            </w:tcMar>
            <w:vAlign w:val="bottom"/>
          </w:tcPr>
          <w:p w14:paraId="606F6F97"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6F98" w14:textId="77777777" w:rsidR="00FB67F9" w:rsidRDefault="00FB67F9">
            <w:pPr>
              <w:textAlignment w:val="bottom"/>
              <w:rPr>
                <w:rFonts w:ascii="Times New Roman" w:hAnsi="Times New Roman"/>
                <w:sz w:val="17"/>
                <w:szCs w:val="17"/>
              </w:rPr>
            </w:pPr>
          </w:p>
        </w:tc>
        <w:tc>
          <w:tcPr>
            <w:tcW w:w="0" w:type="auto"/>
            <w:shd w:val="clear" w:color="auto" w:fill="auto"/>
            <w:tcMar>
              <w:top w:w="40" w:type="dxa"/>
              <w:left w:w="40" w:type="dxa"/>
              <w:bottom w:w="40" w:type="dxa"/>
              <w:right w:w="40" w:type="dxa"/>
            </w:tcMar>
            <w:vAlign w:val="bottom"/>
          </w:tcPr>
          <w:p w14:paraId="606F6F9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06F6F9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shd w:val="clear" w:color="auto" w:fill="auto"/>
            <w:vAlign w:val="bottom"/>
          </w:tcPr>
          <w:p w14:paraId="606F6F9B" w14:textId="77777777" w:rsidR="00FB67F9" w:rsidRDefault="00FB67F9">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606F6F9C" w14:textId="77777777" w:rsidR="00FB67F9" w:rsidRDefault="00FB67F9">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606F6F9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260</w:t>
            </w:r>
          </w:p>
        </w:tc>
        <w:tc>
          <w:tcPr>
            <w:tcW w:w="0" w:type="auto"/>
            <w:shd w:val="clear" w:color="auto" w:fill="auto"/>
            <w:vAlign w:val="bottom"/>
          </w:tcPr>
          <w:p w14:paraId="606F6F9E" w14:textId="77777777" w:rsidR="00FB67F9" w:rsidRDefault="00FB67F9">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606F6F9F"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6FA0" w14:textId="77777777" w:rsidR="00FB67F9" w:rsidRDefault="00FB67F9">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606F6FA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260</w:t>
            </w:r>
          </w:p>
        </w:tc>
        <w:tc>
          <w:tcPr>
            <w:tcW w:w="0" w:type="auto"/>
            <w:shd w:val="clear" w:color="auto" w:fill="auto"/>
            <w:vAlign w:val="bottom"/>
          </w:tcPr>
          <w:p w14:paraId="606F6FA2" w14:textId="77777777" w:rsidR="00FB67F9" w:rsidRDefault="00FB67F9">
            <w:pPr>
              <w:textAlignment w:val="bottom"/>
              <w:rPr>
                <w:rFonts w:ascii="Times New Roman" w:hAnsi="Times New Roman"/>
                <w:sz w:val="20"/>
                <w:szCs w:val="20"/>
              </w:rPr>
            </w:pPr>
          </w:p>
        </w:tc>
      </w:tr>
      <w:tr w:rsidR="00FB67F9" w14:paraId="606F6FB3"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FA4"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Conversion to Class B Common Stock</w:t>
            </w:r>
          </w:p>
        </w:tc>
        <w:tc>
          <w:tcPr>
            <w:tcW w:w="0" w:type="auto"/>
            <w:tcBorders>
              <w:top w:val="single" w:sz="8" w:space="0" w:color="808080"/>
            </w:tcBorders>
            <w:shd w:val="clear" w:color="auto" w:fill="auto"/>
            <w:tcMar>
              <w:top w:w="40" w:type="dxa"/>
              <w:left w:w="40" w:type="dxa"/>
              <w:bottom w:w="40" w:type="dxa"/>
            </w:tcMar>
            <w:vAlign w:val="bottom"/>
          </w:tcPr>
          <w:p w14:paraId="606F6FA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tcMar>
              <w:top w:w="40" w:type="dxa"/>
              <w:bottom w:w="40" w:type="dxa"/>
              <w:right w:w="40" w:type="dxa"/>
            </w:tcMar>
            <w:vAlign w:val="bottom"/>
          </w:tcPr>
          <w:p w14:paraId="606F6FA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A7"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FA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FA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vAlign w:val="bottom"/>
          </w:tcPr>
          <w:p w14:paraId="606F6FAA"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AB"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AC"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auto"/>
            <w:vAlign w:val="bottom"/>
          </w:tcPr>
          <w:p w14:paraId="606F6FAD"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AE"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AF"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tcBorders>
            <w:shd w:val="clear" w:color="auto" w:fill="auto"/>
            <w:vAlign w:val="bottom"/>
          </w:tcPr>
          <w:p w14:paraId="606F6FB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B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6FB2" w14:textId="77777777" w:rsidR="00FB67F9" w:rsidRDefault="00FB67F9">
            <w:pPr>
              <w:textAlignment w:val="bottom"/>
              <w:rPr>
                <w:rFonts w:ascii="Times New Roman" w:hAnsi="Times New Roman"/>
                <w:sz w:val="20"/>
                <w:szCs w:val="20"/>
              </w:rPr>
            </w:pPr>
          </w:p>
        </w:tc>
      </w:tr>
      <w:tr w:rsidR="00FB67F9" w14:paraId="606F6FC2"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FB4" w14:textId="77777777" w:rsidR="00FB67F9" w:rsidRDefault="00E839DF">
            <w:pPr>
              <w:textAlignment w:val="bottom"/>
              <w:rPr>
                <w:rFonts w:ascii="Times New Roman" w:hAnsi="Times New Roman"/>
                <w:sz w:val="17"/>
                <w:szCs w:val="17"/>
              </w:rPr>
            </w:pPr>
            <w:r>
              <w:rPr>
                <w:rFonts w:ascii="Arial" w:eastAsia="宋体" w:hAnsi="Arial" w:cs="Arial"/>
                <w:sz w:val="17"/>
                <w:szCs w:val="17"/>
              </w:rPr>
              <w:t>Repurchase of Class B Common Stock</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FB5"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B6"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FB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F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tcBorders>
            <w:shd w:val="clear" w:color="auto" w:fill="auto"/>
            <w:tcMar>
              <w:top w:w="40" w:type="dxa"/>
              <w:bottom w:w="40" w:type="dxa"/>
              <w:right w:w="40" w:type="dxa"/>
            </w:tcMar>
            <w:vAlign w:val="bottom"/>
          </w:tcPr>
          <w:p w14:paraId="606F6FB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BA"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(137</w:t>
            </w:r>
          </w:p>
        </w:tc>
        <w:tc>
          <w:tcPr>
            <w:tcW w:w="0" w:type="auto"/>
            <w:tcBorders>
              <w:top w:val="single" w:sz="8" w:space="0" w:color="808080"/>
            </w:tcBorders>
            <w:shd w:val="clear" w:color="auto" w:fill="auto"/>
            <w:tcMar>
              <w:top w:w="40" w:type="dxa"/>
              <w:bottom w:w="40" w:type="dxa"/>
              <w:right w:w="40" w:type="dxa"/>
            </w:tcMar>
            <w:vAlign w:val="bottom"/>
          </w:tcPr>
          <w:p w14:paraId="606F6FB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BD"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(2,495</w:t>
            </w:r>
          </w:p>
        </w:tc>
        <w:tc>
          <w:tcPr>
            <w:tcW w:w="0" w:type="auto"/>
            <w:tcBorders>
              <w:top w:val="single" w:sz="8" w:space="0" w:color="808080"/>
            </w:tcBorders>
            <w:shd w:val="clear" w:color="auto" w:fill="auto"/>
            <w:tcMar>
              <w:top w:w="40" w:type="dxa"/>
              <w:bottom w:w="40" w:type="dxa"/>
              <w:right w:w="40" w:type="dxa"/>
            </w:tcMar>
            <w:vAlign w:val="bottom"/>
          </w:tcPr>
          <w:p w14:paraId="606F6FB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F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(2,632</w:t>
            </w:r>
          </w:p>
        </w:tc>
        <w:tc>
          <w:tcPr>
            <w:tcW w:w="0" w:type="auto"/>
            <w:tcBorders>
              <w:top w:val="single" w:sz="8" w:space="0" w:color="808080"/>
            </w:tcBorders>
            <w:shd w:val="clear" w:color="auto" w:fill="auto"/>
            <w:tcMar>
              <w:top w:w="40" w:type="dxa"/>
              <w:bottom w:w="40" w:type="dxa"/>
              <w:right w:w="40" w:type="dxa"/>
            </w:tcMar>
            <w:vAlign w:val="bottom"/>
          </w:tcPr>
          <w:p w14:paraId="606F6FC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FCF"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FC3" w14:textId="77777777" w:rsidR="00FB67F9" w:rsidRDefault="00E839DF">
            <w:pPr>
              <w:textAlignment w:val="bottom"/>
              <w:rPr>
                <w:rFonts w:ascii="Times New Roman" w:hAnsi="Times New Roman"/>
                <w:sz w:val="17"/>
                <w:szCs w:val="17"/>
              </w:rPr>
            </w:pPr>
            <w:r>
              <w:rPr>
                <w:rFonts w:ascii="Arial" w:eastAsia="宋体" w:hAnsi="Arial" w:cs="Arial"/>
                <w:sz w:val="17"/>
                <w:szCs w:val="17"/>
              </w:rPr>
              <w:t>Dividends on common stock ($0.42 per share) and preferred stock ($0.10 per share)</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FC4"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C5"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FC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FC7"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C8"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C9"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CA"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(666</w:t>
            </w:r>
          </w:p>
        </w:tc>
        <w:tc>
          <w:tcPr>
            <w:tcW w:w="0" w:type="auto"/>
            <w:tcBorders>
              <w:top w:val="single" w:sz="8" w:space="0" w:color="808080"/>
            </w:tcBorders>
            <w:shd w:val="clear" w:color="auto" w:fill="auto"/>
            <w:tcMar>
              <w:top w:w="40" w:type="dxa"/>
              <w:bottom w:w="40" w:type="dxa"/>
              <w:right w:w="40" w:type="dxa"/>
            </w:tcMar>
            <w:vAlign w:val="bottom"/>
          </w:tcPr>
          <w:p w14:paraId="606F6FC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F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(666</w:t>
            </w:r>
          </w:p>
        </w:tc>
        <w:tc>
          <w:tcPr>
            <w:tcW w:w="0" w:type="auto"/>
            <w:tcBorders>
              <w:top w:val="single" w:sz="8" w:space="0" w:color="808080"/>
            </w:tcBorders>
            <w:shd w:val="clear" w:color="auto" w:fill="auto"/>
            <w:tcMar>
              <w:top w:w="40" w:type="dxa"/>
              <w:bottom w:w="40" w:type="dxa"/>
              <w:right w:w="40" w:type="dxa"/>
            </w:tcMar>
            <w:vAlign w:val="bottom"/>
          </w:tcPr>
          <w:p w14:paraId="606F6FC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6FDE"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FD0" w14:textId="77777777" w:rsidR="00FB67F9" w:rsidRDefault="00E839DF">
            <w:pPr>
              <w:textAlignment w:val="bottom"/>
              <w:rPr>
                <w:rFonts w:ascii="Times New Roman" w:hAnsi="Times New Roman"/>
                <w:sz w:val="17"/>
                <w:szCs w:val="17"/>
              </w:rPr>
            </w:pPr>
            <w:r>
              <w:rPr>
                <w:rFonts w:ascii="Arial" w:eastAsia="宋体" w:hAnsi="Arial" w:cs="Arial"/>
                <w:sz w:val="17"/>
                <w:szCs w:val="17"/>
              </w:rPr>
              <w:t>Issuance of shares to employees, net of shares withheld for employee taxes</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FD1"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D2"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FD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6FD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vAlign w:val="bottom"/>
          </w:tcPr>
          <w:p w14:paraId="606F6FD5"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D6"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67</w:t>
            </w:r>
          </w:p>
        </w:tc>
        <w:tc>
          <w:tcPr>
            <w:tcW w:w="0" w:type="auto"/>
            <w:tcBorders>
              <w:top w:val="single" w:sz="8" w:space="0" w:color="808080"/>
            </w:tcBorders>
            <w:shd w:val="clear" w:color="auto" w:fill="auto"/>
            <w:vAlign w:val="bottom"/>
          </w:tcPr>
          <w:p w14:paraId="606F6FD8"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D9"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D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tcMar>
              <w:top w:w="40" w:type="dxa"/>
              <w:bottom w:w="40" w:type="dxa"/>
              <w:right w:w="40" w:type="dxa"/>
            </w:tcMar>
            <w:vAlign w:val="bottom"/>
          </w:tcPr>
          <w:p w14:paraId="606F6FD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6F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top w:val="single" w:sz="8" w:space="0" w:color="808080"/>
            </w:tcBorders>
            <w:shd w:val="clear" w:color="auto" w:fill="auto"/>
            <w:vAlign w:val="bottom"/>
          </w:tcPr>
          <w:p w14:paraId="606F6FDD" w14:textId="77777777" w:rsidR="00FB67F9" w:rsidRDefault="00FB67F9">
            <w:pPr>
              <w:textAlignment w:val="bottom"/>
              <w:rPr>
                <w:rFonts w:ascii="Times New Roman" w:hAnsi="Times New Roman"/>
                <w:sz w:val="20"/>
                <w:szCs w:val="20"/>
              </w:rPr>
            </w:pPr>
          </w:p>
        </w:tc>
      </w:tr>
      <w:tr w:rsidR="00FB67F9" w14:paraId="606F6FEB" w14:textId="77777777">
        <w:trPr>
          <w:jc w:val="center"/>
        </w:trPr>
        <w:tc>
          <w:tcPr>
            <w:tcW w:w="0" w:type="auto"/>
            <w:tcBorders>
              <w:top w:val="single" w:sz="8" w:space="0" w:color="808080"/>
            </w:tcBorders>
            <w:shd w:val="clear" w:color="auto" w:fill="auto"/>
            <w:tcMar>
              <w:top w:w="40" w:type="dxa"/>
              <w:left w:w="40" w:type="dxa"/>
              <w:bottom w:w="40" w:type="dxa"/>
              <w:right w:w="40" w:type="dxa"/>
            </w:tcMar>
            <w:vAlign w:val="bottom"/>
          </w:tcPr>
          <w:p w14:paraId="606F6FDF" w14:textId="77777777" w:rsidR="00FB67F9" w:rsidRDefault="00E839DF">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FE0"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E1" w14:textId="77777777" w:rsidR="00FB67F9" w:rsidRDefault="00FB67F9">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6FE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6FE3"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E4"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E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133</w:t>
            </w:r>
          </w:p>
        </w:tc>
        <w:tc>
          <w:tcPr>
            <w:tcW w:w="0" w:type="auto"/>
            <w:tcBorders>
              <w:top w:val="single" w:sz="8" w:space="0" w:color="808080"/>
            </w:tcBorders>
            <w:shd w:val="clear" w:color="auto" w:fill="auto"/>
            <w:vAlign w:val="bottom"/>
          </w:tcPr>
          <w:p w14:paraId="606F6FE6"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E7"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6FE8"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606F6F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133</w:t>
            </w:r>
          </w:p>
        </w:tc>
        <w:tc>
          <w:tcPr>
            <w:tcW w:w="0" w:type="auto"/>
            <w:tcBorders>
              <w:top w:val="single" w:sz="8" w:space="0" w:color="808080"/>
            </w:tcBorders>
            <w:shd w:val="clear" w:color="auto" w:fill="auto"/>
            <w:vAlign w:val="bottom"/>
          </w:tcPr>
          <w:p w14:paraId="606F6FEA" w14:textId="77777777" w:rsidR="00FB67F9" w:rsidRDefault="00FB67F9">
            <w:pPr>
              <w:textAlignment w:val="bottom"/>
              <w:rPr>
                <w:rFonts w:ascii="Times New Roman" w:hAnsi="Times New Roman"/>
                <w:sz w:val="20"/>
                <w:szCs w:val="20"/>
              </w:rPr>
            </w:pPr>
          </w:p>
        </w:tc>
      </w:tr>
      <w:tr w:rsidR="00FB67F9" w14:paraId="606F6FF8" w14:textId="77777777">
        <w:trPr>
          <w:jc w:val="center"/>
        </w:trPr>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EC"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Net </w:t>
            </w:r>
            <w:r>
              <w:rPr>
                <w:rFonts w:ascii="Arial" w:eastAsia="宋体" w:hAnsi="Arial" w:cs="Arial"/>
                <w:sz w:val="17"/>
                <w:szCs w:val="17"/>
              </w:rPr>
              <w:t>income</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ED"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EE"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E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0"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1"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2"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3"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FF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1,939</w:t>
            </w:r>
          </w:p>
        </w:tc>
        <w:tc>
          <w:tcPr>
            <w:tcW w:w="0" w:type="auto"/>
            <w:tcBorders>
              <w:top w:val="single" w:sz="8" w:space="0" w:color="808080"/>
              <w:bottom w:val="single" w:sz="8" w:space="0" w:color="808080"/>
            </w:tcBorders>
            <w:shd w:val="clear" w:color="auto" w:fill="auto"/>
            <w:vAlign w:val="bottom"/>
          </w:tcPr>
          <w:p w14:paraId="606F6FF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FF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1,939</w:t>
            </w:r>
          </w:p>
        </w:tc>
        <w:tc>
          <w:tcPr>
            <w:tcW w:w="0" w:type="auto"/>
            <w:tcBorders>
              <w:top w:val="single" w:sz="8" w:space="0" w:color="808080"/>
              <w:bottom w:val="single" w:sz="8" w:space="0" w:color="808080"/>
            </w:tcBorders>
            <w:shd w:val="clear" w:color="auto" w:fill="auto"/>
            <w:vAlign w:val="bottom"/>
          </w:tcPr>
          <w:p w14:paraId="606F6FF7" w14:textId="77777777" w:rsidR="00FB67F9" w:rsidRDefault="00FB67F9">
            <w:pPr>
              <w:textAlignment w:val="bottom"/>
              <w:rPr>
                <w:rFonts w:ascii="Times New Roman" w:hAnsi="Times New Roman"/>
                <w:sz w:val="20"/>
                <w:szCs w:val="20"/>
              </w:rPr>
            </w:pPr>
          </w:p>
        </w:tc>
      </w:tr>
      <w:tr w:rsidR="00FB67F9" w14:paraId="606F7006" w14:textId="77777777">
        <w:trPr>
          <w:jc w:val="center"/>
        </w:trPr>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9"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comprehensive income (loss)</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A"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B"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D"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6FFE"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6FFF"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vAlign w:val="bottom"/>
          </w:tcPr>
          <w:p w14:paraId="606F700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0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301</w:t>
            </w:r>
          </w:p>
        </w:tc>
        <w:tc>
          <w:tcPr>
            <w:tcW w:w="0" w:type="auto"/>
            <w:tcBorders>
              <w:top w:val="single" w:sz="8" w:space="0" w:color="808080"/>
              <w:bottom w:val="single" w:sz="8" w:space="0" w:color="808080"/>
            </w:tcBorders>
            <w:shd w:val="clear" w:color="auto" w:fill="auto"/>
            <w:vAlign w:val="bottom"/>
          </w:tcPr>
          <w:p w14:paraId="606F7002"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3"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0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301</w:t>
            </w:r>
          </w:p>
        </w:tc>
        <w:tc>
          <w:tcPr>
            <w:tcW w:w="0" w:type="auto"/>
            <w:tcBorders>
              <w:top w:val="single" w:sz="8" w:space="0" w:color="808080"/>
              <w:bottom w:val="single" w:sz="8" w:space="0" w:color="808080"/>
            </w:tcBorders>
            <w:shd w:val="clear" w:color="auto" w:fill="auto"/>
            <w:vAlign w:val="bottom"/>
          </w:tcPr>
          <w:p w14:paraId="606F7005" w14:textId="77777777" w:rsidR="00FB67F9" w:rsidRDefault="00FB67F9">
            <w:pPr>
              <w:textAlignment w:val="bottom"/>
              <w:rPr>
                <w:rFonts w:ascii="Times New Roman" w:hAnsi="Times New Roman"/>
                <w:sz w:val="20"/>
                <w:szCs w:val="20"/>
              </w:rPr>
            </w:pPr>
          </w:p>
        </w:tc>
      </w:tr>
      <w:tr w:rsidR="00FB67F9" w14:paraId="606F7014" w14:textId="77777777">
        <w:trPr>
          <w:jc w:val="center"/>
        </w:trPr>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7" w14:textId="77777777" w:rsidR="00FB67F9" w:rsidRDefault="00E839DF">
            <w:pPr>
              <w:textAlignment w:val="bottom"/>
              <w:rPr>
                <w:rFonts w:ascii="Times New Roman" w:hAnsi="Times New Roman"/>
                <w:sz w:val="17"/>
                <w:szCs w:val="17"/>
              </w:rPr>
            </w:pPr>
            <w:r>
              <w:rPr>
                <w:rFonts w:ascii="Arial" w:eastAsia="宋体" w:hAnsi="Arial" w:cs="Arial"/>
                <w:sz w:val="17"/>
                <w:szCs w:val="17"/>
              </w:rPr>
              <w:t>Adoption of ASU 2016-16</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8"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9" w14:textId="77777777" w:rsidR="00FB67F9" w:rsidRDefault="00FB67F9">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B"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C"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0D" w14:textId="77777777" w:rsidR="00FB67F9" w:rsidRDefault="00FB67F9">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vAlign w:val="bottom"/>
          </w:tcPr>
          <w:p w14:paraId="606F700E" w14:textId="77777777" w:rsidR="00FB67F9" w:rsidRDefault="00FB67F9">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0F" w14:textId="77777777" w:rsidR="00FB67F9" w:rsidRDefault="00FB67F9">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1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01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1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01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021"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7015" w14:textId="77777777" w:rsidR="00FB67F9" w:rsidRDefault="00E839DF">
            <w:pPr>
              <w:textAlignment w:val="bottom"/>
              <w:rPr>
                <w:rFonts w:ascii="Times New Roman" w:hAnsi="Times New Roman"/>
                <w:sz w:val="17"/>
                <w:szCs w:val="17"/>
              </w:rPr>
            </w:pPr>
            <w:r>
              <w:rPr>
                <w:rFonts w:ascii="Arial" w:eastAsia="宋体" w:hAnsi="Arial" w:cs="Arial"/>
                <w:sz w:val="17"/>
                <w:szCs w:val="17"/>
              </w:rPr>
              <w:t>Adoption of ASC Topic 606</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7016" w14:textId="77777777" w:rsidR="00FB67F9" w:rsidRDefault="00FB67F9">
            <w:pPr>
              <w:textAlignment w:val="bottom"/>
              <w:rPr>
                <w:rFonts w:ascii="Times New Roman" w:hAnsi="Times New Roman"/>
                <w:sz w:val="17"/>
                <w:szCs w:val="17"/>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017" w14:textId="77777777" w:rsidR="00FB67F9" w:rsidRDefault="00FB67F9">
            <w:pPr>
              <w:textAlignment w:val="bottom"/>
              <w:rPr>
                <w:rFonts w:ascii="Times New Roman" w:hAnsi="Times New Roman"/>
                <w:sz w:val="17"/>
                <w:szCs w:val="17"/>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01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7019" w14:textId="77777777" w:rsidR="00FB67F9" w:rsidRDefault="00FB67F9">
            <w:pPr>
              <w:textAlignment w:val="bottom"/>
              <w:rPr>
                <w:rFonts w:ascii="Times New Roman" w:hAnsi="Times New Roman"/>
                <w:sz w:val="17"/>
                <w:szCs w:val="17"/>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01A" w14:textId="77777777" w:rsidR="00FB67F9" w:rsidRDefault="00FB67F9">
            <w:pPr>
              <w:textAlignment w:val="bottom"/>
              <w:rPr>
                <w:rFonts w:ascii="Times New Roman" w:hAnsi="Times New Roman"/>
                <w:sz w:val="17"/>
                <w:szCs w:val="17"/>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01B" w14:textId="77777777" w:rsidR="00FB67F9" w:rsidRDefault="00FB67F9">
            <w:pPr>
              <w:textAlignment w:val="bottom"/>
              <w:rPr>
                <w:rFonts w:ascii="Times New Roman" w:hAnsi="Times New Roman"/>
                <w:sz w:val="17"/>
                <w:szCs w:val="17"/>
              </w:rPr>
            </w:pP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01C" w14:textId="77777777" w:rsidR="00FB67F9" w:rsidRDefault="00FB67F9">
            <w:pPr>
              <w:textAlignment w:val="bottom"/>
              <w:rPr>
                <w:rFonts w:ascii="Times New Roman" w:hAnsi="Times New Roman"/>
                <w:sz w:val="17"/>
                <w:szCs w:val="17"/>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0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bottom w:val="single" w:sz="8" w:space="0" w:color="E87722"/>
            </w:tcBorders>
            <w:shd w:val="clear" w:color="auto" w:fill="auto"/>
            <w:vAlign w:val="bottom"/>
          </w:tcPr>
          <w:p w14:paraId="606F701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701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E87722"/>
            </w:tcBorders>
            <w:shd w:val="clear" w:color="auto" w:fill="auto"/>
            <w:vAlign w:val="bottom"/>
          </w:tcPr>
          <w:p w14:paraId="606F7020" w14:textId="77777777" w:rsidR="00FB67F9" w:rsidRDefault="00FB67F9">
            <w:pPr>
              <w:textAlignment w:val="bottom"/>
              <w:rPr>
                <w:rFonts w:ascii="Times New Roman" w:hAnsi="Times New Roman"/>
                <w:sz w:val="20"/>
                <w:szCs w:val="20"/>
              </w:rPr>
            </w:pPr>
          </w:p>
        </w:tc>
      </w:tr>
      <w:tr w:rsidR="00FB67F9" w14:paraId="606F703A"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702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November 30, 2018</w:t>
            </w:r>
          </w:p>
        </w:tc>
        <w:tc>
          <w:tcPr>
            <w:tcW w:w="0" w:type="auto"/>
            <w:tcBorders>
              <w:bottom w:val="single" w:sz="8" w:space="0" w:color="E87722"/>
            </w:tcBorders>
            <w:shd w:val="clear" w:color="auto" w:fill="auto"/>
            <w:tcMar>
              <w:top w:w="40" w:type="dxa"/>
              <w:left w:w="40" w:type="dxa"/>
              <w:bottom w:w="40" w:type="dxa"/>
            </w:tcMar>
            <w:vAlign w:val="bottom"/>
          </w:tcPr>
          <w:p w14:paraId="606F702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bottom w:val="single" w:sz="8" w:space="0" w:color="E87722"/>
            </w:tcBorders>
            <w:shd w:val="clear" w:color="auto" w:fill="auto"/>
            <w:vAlign w:val="bottom"/>
          </w:tcPr>
          <w:p w14:paraId="606F702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02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02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vAlign w:val="bottom"/>
          </w:tcPr>
          <w:p w14:paraId="606F7027"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02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606F702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1,262</w:t>
            </w:r>
          </w:p>
        </w:tc>
        <w:tc>
          <w:tcPr>
            <w:tcW w:w="0" w:type="auto"/>
            <w:tcBorders>
              <w:bottom w:val="single" w:sz="8" w:space="0" w:color="E87722"/>
            </w:tcBorders>
            <w:shd w:val="clear" w:color="auto" w:fill="auto"/>
            <w:vAlign w:val="bottom"/>
          </w:tcPr>
          <w:p w14:paraId="606F702A"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02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02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vAlign w:val="bottom"/>
          </w:tcPr>
          <w:p w14:paraId="606F702D"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02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02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6,707</w:t>
            </w:r>
          </w:p>
        </w:tc>
        <w:tc>
          <w:tcPr>
            <w:tcW w:w="0" w:type="auto"/>
            <w:tcBorders>
              <w:bottom w:val="single" w:sz="8" w:space="0" w:color="E87722"/>
            </w:tcBorders>
            <w:shd w:val="clear" w:color="auto" w:fill="auto"/>
            <w:vAlign w:val="bottom"/>
          </w:tcPr>
          <w:p w14:paraId="606F7030"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03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03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w:t>
            </w:r>
          </w:p>
        </w:tc>
        <w:tc>
          <w:tcPr>
            <w:tcW w:w="0" w:type="auto"/>
            <w:tcBorders>
              <w:bottom w:val="single" w:sz="8" w:space="0" w:color="E87722"/>
            </w:tcBorders>
            <w:shd w:val="clear" w:color="auto" w:fill="auto"/>
            <w:vAlign w:val="bottom"/>
          </w:tcPr>
          <w:p w14:paraId="606F7033"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03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03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1,810</w:t>
            </w:r>
          </w:p>
        </w:tc>
        <w:tc>
          <w:tcPr>
            <w:tcW w:w="0" w:type="auto"/>
            <w:tcBorders>
              <w:bottom w:val="single" w:sz="8" w:space="0" w:color="E87722"/>
            </w:tcBorders>
            <w:shd w:val="clear" w:color="auto" w:fill="auto"/>
            <w:vAlign w:val="bottom"/>
          </w:tcPr>
          <w:p w14:paraId="606F703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03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03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8,729</w:t>
            </w:r>
          </w:p>
        </w:tc>
        <w:tc>
          <w:tcPr>
            <w:tcW w:w="0" w:type="auto"/>
            <w:tcBorders>
              <w:bottom w:val="single" w:sz="8" w:space="0" w:color="E87722"/>
            </w:tcBorders>
            <w:shd w:val="clear" w:color="auto" w:fill="auto"/>
            <w:vAlign w:val="bottom"/>
          </w:tcPr>
          <w:p w14:paraId="606F7039" w14:textId="77777777" w:rsidR="00FB67F9" w:rsidRDefault="00FB67F9">
            <w:pPr>
              <w:textAlignment w:val="bottom"/>
              <w:rPr>
                <w:rFonts w:ascii="Times New Roman" w:hAnsi="Times New Roman"/>
                <w:sz w:val="20"/>
                <w:szCs w:val="20"/>
              </w:rPr>
            </w:pPr>
          </w:p>
        </w:tc>
      </w:tr>
    </w:tbl>
    <w:p w14:paraId="606F703B" w14:textId="77777777" w:rsidR="00FB67F9" w:rsidRDefault="00FB67F9">
      <w:pPr>
        <w:spacing w:line="312" w:lineRule="auto"/>
        <w:jc w:val="center"/>
        <w:rPr>
          <w:rFonts w:ascii="Times New Roman" w:hAnsi="Times New Roman"/>
          <w:sz w:val="20"/>
          <w:szCs w:val="20"/>
        </w:rPr>
      </w:pPr>
    </w:p>
    <w:p w14:paraId="606F703C"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The accompanying Notes to the Unaudited Condensed Consolidated Financial Statements are an integral part of this statement.</w:t>
      </w:r>
    </w:p>
    <w:p w14:paraId="606F703D" w14:textId="77777777" w:rsidR="00FB67F9" w:rsidRDefault="00FB67F9">
      <w:pPr>
        <w:rPr>
          <w:rFonts w:ascii="Times New Roman" w:hAnsi="Times New Roman"/>
          <w:sz w:val="20"/>
          <w:szCs w:val="20"/>
        </w:rPr>
      </w:pPr>
    </w:p>
    <w:p w14:paraId="606F703E"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6</w:t>
      </w:r>
      <w:r>
        <w:rPr>
          <w:rFonts w:ascii="sans-serif" w:eastAsia="sans-serif" w:hAnsi="sans-serif" w:cs="sans-serif"/>
          <w:sz w:val="17"/>
          <w:szCs w:val="17"/>
        </w:rPr>
        <w:t xml:space="preserve"> </w:t>
      </w:r>
    </w:p>
    <w:p w14:paraId="606F703F" w14:textId="77777777" w:rsidR="00FB67F9" w:rsidRDefault="00E839DF">
      <w:r>
        <w:rPr>
          <w:rFonts w:ascii="Times New Roman" w:hAnsi="Times New Roman"/>
          <w:sz w:val="17"/>
          <w:szCs w:val="17"/>
        </w:rPr>
        <w:pict w14:anchorId="606F8F83">
          <v:rect id="_x0000_i1032" style="width:415.3pt;height:1.5pt" o:hralign="center" o:hrstd="t" o:hr="t" fillcolor="#a0a0a0" stroked="f"/>
        </w:pict>
      </w:r>
    </w:p>
    <w:p w14:paraId="606F7040" w14:textId="77777777" w:rsidR="00FB67F9" w:rsidRDefault="00FB67F9">
      <w:pPr>
        <w:rPr>
          <w:rFonts w:ascii="Times New Roman" w:hAnsi="Times New Roman"/>
          <w:sz w:val="17"/>
          <w:szCs w:val="17"/>
        </w:rPr>
      </w:pPr>
    </w:p>
    <w:p w14:paraId="606F7041" w14:textId="77777777" w:rsidR="00FB67F9" w:rsidRDefault="00E839DF">
      <w:pPr>
        <w:rPr>
          <w:rFonts w:ascii="Times New Roman" w:hAnsi="Times New Roman"/>
          <w:sz w:val="17"/>
          <w:szCs w:val="17"/>
        </w:rPr>
      </w:pPr>
      <w:hyperlink r:id="rId50" w:anchor="s42C493F7582652B69E70047AB812E6A5" w:history="1">
        <w:r>
          <w:rPr>
            <w:rStyle w:val="a5"/>
            <w:rFonts w:ascii="sans-serif" w:eastAsia="sans-serif" w:hAnsi="sans-serif" w:cs="sans-serif"/>
            <w:sz w:val="17"/>
            <w:szCs w:val="17"/>
          </w:rPr>
          <w:t>Table of Contents</w:t>
        </w:r>
      </w:hyperlink>
    </w:p>
    <w:p w14:paraId="606F7042" w14:textId="77777777" w:rsidR="00FB67F9" w:rsidRDefault="00FB67F9">
      <w:pPr>
        <w:rPr>
          <w:rFonts w:ascii="Times New Roman" w:hAnsi="Times New Roman"/>
          <w:sz w:val="17"/>
          <w:szCs w:val="17"/>
        </w:rPr>
      </w:pPr>
    </w:p>
    <w:p w14:paraId="606F7043" w14:textId="77777777" w:rsidR="00FB67F9" w:rsidRDefault="00FB67F9">
      <w:pPr>
        <w:rPr>
          <w:rFonts w:ascii="Times New Roman" w:hAnsi="Times New Roman"/>
          <w:sz w:val="20"/>
          <w:szCs w:val="20"/>
        </w:rPr>
      </w:pPr>
    </w:p>
    <w:p w14:paraId="606F7044"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NOTES TO THE UNAUDITED CONDENSED CONSOLIDATED FINANCIAL STATEMENTS</w:t>
      </w:r>
    </w:p>
    <w:tbl>
      <w:tblPr>
        <w:tblW w:w="5000" w:type="pct"/>
        <w:tblCellMar>
          <w:left w:w="0" w:type="dxa"/>
          <w:right w:w="0" w:type="dxa"/>
        </w:tblCellMar>
        <w:tblLook w:val="04A0" w:firstRow="1" w:lastRow="0" w:firstColumn="1" w:lastColumn="0" w:noHBand="0" w:noVBand="1"/>
      </w:tblPr>
      <w:tblGrid>
        <w:gridCol w:w="831"/>
        <w:gridCol w:w="6977"/>
        <w:gridCol w:w="498"/>
      </w:tblGrid>
      <w:tr w:rsidR="00FB67F9" w14:paraId="606F7046" w14:textId="77777777">
        <w:tc>
          <w:tcPr>
            <w:tcW w:w="0" w:type="auto"/>
            <w:gridSpan w:val="3"/>
            <w:shd w:val="clear" w:color="auto" w:fill="auto"/>
            <w:vAlign w:val="center"/>
          </w:tcPr>
          <w:p w14:paraId="606F7045" w14:textId="77777777" w:rsidR="00FB67F9" w:rsidRDefault="00FB67F9">
            <w:pPr>
              <w:rPr>
                <w:rFonts w:ascii="Times New Roman" w:hAnsi="Times New Roman"/>
                <w:sz w:val="20"/>
                <w:szCs w:val="20"/>
              </w:rPr>
            </w:pPr>
          </w:p>
        </w:tc>
      </w:tr>
      <w:tr w:rsidR="00FB67F9" w14:paraId="606F704A" w14:textId="77777777">
        <w:tc>
          <w:tcPr>
            <w:tcW w:w="500" w:type="pct"/>
            <w:shd w:val="clear" w:color="auto" w:fill="auto"/>
            <w:vAlign w:val="center"/>
          </w:tcPr>
          <w:p w14:paraId="606F7047" w14:textId="77777777" w:rsidR="00FB67F9" w:rsidRDefault="00FB67F9">
            <w:pPr>
              <w:rPr>
                <w:rFonts w:ascii="Times New Roman" w:hAnsi="Times New Roman"/>
                <w:sz w:val="20"/>
                <w:szCs w:val="20"/>
              </w:rPr>
            </w:pPr>
          </w:p>
        </w:tc>
        <w:tc>
          <w:tcPr>
            <w:tcW w:w="4200" w:type="pct"/>
            <w:shd w:val="clear" w:color="auto" w:fill="auto"/>
            <w:vAlign w:val="center"/>
          </w:tcPr>
          <w:p w14:paraId="606F7048" w14:textId="77777777" w:rsidR="00FB67F9" w:rsidRDefault="00FB67F9">
            <w:pPr>
              <w:rPr>
                <w:rFonts w:ascii="Times New Roman" w:hAnsi="Times New Roman"/>
                <w:sz w:val="20"/>
                <w:szCs w:val="20"/>
              </w:rPr>
            </w:pPr>
          </w:p>
        </w:tc>
        <w:tc>
          <w:tcPr>
            <w:tcW w:w="300" w:type="pct"/>
            <w:shd w:val="clear" w:color="auto" w:fill="auto"/>
            <w:vAlign w:val="center"/>
          </w:tcPr>
          <w:p w14:paraId="606F7049" w14:textId="77777777" w:rsidR="00FB67F9" w:rsidRDefault="00FB67F9">
            <w:pPr>
              <w:rPr>
                <w:rFonts w:ascii="Times New Roman" w:hAnsi="Times New Roman"/>
                <w:sz w:val="20"/>
                <w:szCs w:val="20"/>
              </w:rPr>
            </w:pPr>
          </w:p>
        </w:tc>
      </w:tr>
      <w:tr w:rsidR="00FB67F9" w14:paraId="606F704E"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04B"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1</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04C" w14:textId="77777777" w:rsidR="00FB67F9" w:rsidRDefault="00E839DF">
            <w:pPr>
              <w:textAlignment w:val="bottom"/>
              <w:rPr>
                <w:rFonts w:ascii="Times New Roman" w:hAnsi="Times New Roman"/>
                <w:sz w:val="16"/>
                <w:szCs w:val="16"/>
              </w:rPr>
            </w:pPr>
            <w:hyperlink r:id="rId51" w:anchor="s1DBE643738FF5FA98CA9CF7E8914B1BF" w:history="1">
              <w:r>
                <w:rPr>
                  <w:rStyle w:val="a5"/>
                  <w:rFonts w:ascii="sans-serif" w:eastAsia="sans-serif" w:hAnsi="sans-serif" w:cs="sans-serif"/>
                  <w:color w:val="000000"/>
                  <w:sz w:val="16"/>
                  <w:szCs w:val="16"/>
                  <w:u w:val="none"/>
                </w:rPr>
                <w:t>Summary of Significant Accounting Policies</w:t>
              </w:r>
            </w:hyperlink>
          </w:p>
        </w:tc>
        <w:tc>
          <w:tcPr>
            <w:tcW w:w="0" w:type="auto"/>
            <w:tcBorders>
              <w:top w:val="single" w:sz="8" w:space="0" w:color="E87722"/>
            </w:tcBorders>
            <w:shd w:val="clear" w:color="auto" w:fill="auto"/>
            <w:tcMar>
              <w:top w:w="40" w:type="dxa"/>
              <w:left w:w="40" w:type="dxa"/>
              <w:bottom w:w="40" w:type="dxa"/>
              <w:right w:w="40" w:type="dxa"/>
            </w:tcMar>
            <w:vAlign w:val="bottom"/>
          </w:tcPr>
          <w:p w14:paraId="606F704D" w14:textId="77777777" w:rsidR="00FB67F9" w:rsidRDefault="00E839DF">
            <w:pPr>
              <w:jc w:val="right"/>
              <w:textAlignment w:val="bottom"/>
              <w:rPr>
                <w:rFonts w:ascii="Times New Roman" w:hAnsi="Times New Roman"/>
                <w:sz w:val="16"/>
                <w:szCs w:val="16"/>
              </w:rPr>
            </w:pPr>
            <w:hyperlink r:id="rId52" w:anchor="s1DBE643738FF5FA98CA9CF7E8914B1BF" w:history="1">
              <w:r>
                <w:rPr>
                  <w:rStyle w:val="a5"/>
                  <w:rFonts w:ascii="sans-serif" w:eastAsia="sans-serif" w:hAnsi="sans-serif" w:cs="sans-serif"/>
                  <w:color w:val="000000"/>
                  <w:sz w:val="16"/>
                  <w:szCs w:val="16"/>
                  <w:u w:val="none"/>
                </w:rPr>
                <w:t>8</w:t>
              </w:r>
            </w:hyperlink>
          </w:p>
        </w:tc>
      </w:tr>
      <w:tr w:rsidR="00FB67F9" w14:paraId="606F705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4F"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0" w14:textId="77777777" w:rsidR="00FB67F9" w:rsidRDefault="00E839DF">
            <w:pPr>
              <w:textAlignment w:val="bottom"/>
              <w:rPr>
                <w:rFonts w:ascii="Times New Roman" w:hAnsi="Times New Roman"/>
                <w:sz w:val="16"/>
                <w:szCs w:val="16"/>
              </w:rPr>
            </w:pPr>
            <w:hyperlink r:id="rId53" w:anchor="s9308830FAF7E550FB7E9B3D157D95F34" w:history="1">
              <w:r>
                <w:rPr>
                  <w:rStyle w:val="a5"/>
                  <w:rFonts w:ascii="sans-serif" w:eastAsia="sans-serif" w:hAnsi="sans-serif" w:cs="sans-serif"/>
                  <w:color w:val="000000"/>
                  <w:sz w:val="16"/>
                  <w:szCs w:val="16"/>
                  <w:u w:val="none"/>
                </w:rPr>
                <w:t>Inventories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1" w14:textId="77777777" w:rsidR="00FB67F9" w:rsidRDefault="00E839DF">
            <w:pPr>
              <w:jc w:val="right"/>
              <w:textAlignment w:val="bottom"/>
              <w:rPr>
                <w:rFonts w:ascii="Times New Roman" w:hAnsi="Times New Roman"/>
                <w:sz w:val="16"/>
                <w:szCs w:val="16"/>
              </w:rPr>
            </w:pPr>
            <w:hyperlink r:id="rId54" w:anchor="s9308830FAF7E550FB7E9B3D157D95F34" w:history="1">
              <w:r>
                <w:rPr>
                  <w:rStyle w:val="a5"/>
                  <w:rFonts w:ascii="sans-serif" w:eastAsia="sans-serif" w:hAnsi="sans-serif" w:cs="sans-serif"/>
                  <w:color w:val="000000"/>
                  <w:sz w:val="16"/>
                  <w:szCs w:val="16"/>
                  <w:u w:val="none"/>
                </w:rPr>
                <w:t>8</w:t>
              </w:r>
            </w:hyperlink>
          </w:p>
        </w:tc>
      </w:tr>
      <w:tr w:rsidR="00FB67F9" w14:paraId="606F705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3"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3</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4" w14:textId="77777777" w:rsidR="00FB67F9" w:rsidRDefault="00E839DF">
            <w:pPr>
              <w:textAlignment w:val="bottom"/>
              <w:rPr>
                <w:rFonts w:ascii="Times New Roman" w:hAnsi="Times New Roman"/>
                <w:sz w:val="16"/>
                <w:szCs w:val="16"/>
              </w:rPr>
            </w:pPr>
            <w:hyperlink r:id="rId55" w:anchor="s099F99BED0F15C92A52F10EBCCBABEF8" w:history="1">
              <w:r>
                <w:rPr>
                  <w:rStyle w:val="a5"/>
                  <w:rFonts w:ascii="sans-serif" w:eastAsia="sans-serif" w:hAnsi="sans-serif" w:cs="sans-serif"/>
                  <w:color w:val="000000"/>
                  <w:sz w:val="16"/>
                  <w:szCs w:val="16"/>
                  <w:u w:val="none"/>
                </w:rPr>
                <w:t>Accrued Liabilities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5" w14:textId="77777777" w:rsidR="00FB67F9" w:rsidRDefault="00E839DF">
            <w:pPr>
              <w:jc w:val="right"/>
              <w:textAlignment w:val="bottom"/>
              <w:rPr>
                <w:rFonts w:ascii="Times New Roman" w:hAnsi="Times New Roman"/>
                <w:sz w:val="16"/>
                <w:szCs w:val="16"/>
              </w:rPr>
            </w:pPr>
            <w:hyperlink r:id="rId56" w:anchor="s099F99BED0F15C92A52F10EBCCBABEF8" w:history="1">
              <w:r>
                <w:rPr>
                  <w:rStyle w:val="a5"/>
                  <w:rFonts w:ascii="sans-serif" w:eastAsia="sans-serif" w:hAnsi="sans-serif" w:cs="sans-serif"/>
                  <w:color w:val="000000"/>
                  <w:sz w:val="16"/>
                  <w:szCs w:val="16"/>
                  <w:u w:val="none"/>
                </w:rPr>
                <w:t>9</w:t>
              </w:r>
            </w:hyperlink>
          </w:p>
        </w:tc>
      </w:tr>
      <w:tr w:rsidR="00FB67F9" w14:paraId="606F705A"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7"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4</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058" w14:textId="77777777" w:rsidR="00FB67F9" w:rsidRDefault="00E839DF">
            <w:pPr>
              <w:textAlignment w:val="bottom"/>
              <w:rPr>
                <w:rFonts w:ascii="Times New Roman" w:hAnsi="Times New Roman"/>
                <w:sz w:val="16"/>
                <w:szCs w:val="16"/>
              </w:rPr>
            </w:pPr>
            <w:hyperlink r:id="rId57" w:anchor="s3CD607F146445FEB8BD49C3D3592ACAB" w:history="1">
              <w:r>
                <w:rPr>
                  <w:rStyle w:val="a5"/>
                  <w:rFonts w:ascii="sans-serif" w:eastAsia="sans-serif" w:hAnsi="sans-serif" w:cs="sans-serif"/>
                  <w:color w:val="000000"/>
                  <w:sz w:val="16"/>
                  <w:szCs w:val="16"/>
                  <w:u w:val="none"/>
                </w:rPr>
                <w:t>Fair Value Measurements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7059" w14:textId="77777777" w:rsidR="00FB67F9" w:rsidRDefault="00E839DF">
            <w:pPr>
              <w:jc w:val="right"/>
              <w:textAlignment w:val="bottom"/>
              <w:rPr>
                <w:rFonts w:ascii="Times New Roman" w:hAnsi="Times New Roman"/>
                <w:sz w:val="16"/>
                <w:szCs w:val="16"/>
              </w:rPr>
            </w:pPr>
            <w:hyperlink r:id="rId58" w:anchor="s099F99BED0F15C92A52F10EBCCBABEF8" w:history="1">
              <w:r>
                <w:rPr>
                  <w:rStyle w:val="a5"/>
                  <w:rFonts w:ascii="sans-serif" w:eastAsia="sans-serif" w:hAnsi="sans-serif" w:cs="sans-serif"/>
                  <w:color w:val="000000"/>
                  <w:sz w:val="16"/>
                  <w:szCs w:val="16"/>
                  <w:u w:val="none"/>
                </w:rPr>
                <w:t>9</w:t>
              </w:r>
            </w:hyperlink>
          </w:p>
        </w:tc>
      </w:tr>
      <w:tr w:rsidR="00FB67F9" w14:paraId="606F705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B"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5</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05C" w14:textId="77777777" w:rsidR="00FB67F9" w:rsidRDefault="00E839DF">
            <w:pPr>
              <w:textAlignment w:val="bottom"/>
              <w:rPr>
                <w:rFonts w:ascii="Times New Roman" w:hAnsi="Times New Roman"/>
                <w:sz w:val="16"/>
                <w:szCs w:val="16"/>
              </w:rPr>
            </w:pPr>
            <w:hyperlink r:id="rId59" w:anchor="sF7A6C4B47F5951DBB61D2E233BE49727" w:history="1">
              <w:r>
                <w:rPr>
                  <w:rStyle w:val="a5"/>
                  <w:rFonts w:ascii="sans-serif" w:eastAsia="sans-serif" w:hAnsi="sans-serif" w:cs="sans-serif"/>
                  <w:color w:val="000000"/>
                  <w:sz w:val="16"/>
                  <w:szCs w:val="16"/>
                  <w:u w:val="none"/>
                </w:rPr>
                <w:t xml:space="preserve">Short-Term </w:t>
              </w:r>
              <w:r>
                <w:rPr>
                  <w:rStyle w:val="a5"/>
                  <w:rFonts w:ascii="sans-serif" w:eastAsia="sans-serif" w:hAnsi="sans-serif" w:cs="sans-serif"/>
                  <w:color w:val="000000"/>
                  <w:sz w:val="16"/>
                  <w:szCs w:val="16"/>
                  <w:u w:val="none"/>
                </w:rPr>
                <w:t>Borrowings and Credit Lines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705D" w14:textId="77777777" w:rsidR="00FB67F9" w:rsidRDefault="00E839DF">
            <w:pPr>
              <w:jc w:val="right"/>
              <w:textAlignment w:val="bottom"/>
              <w:rPr>
                <w:rFonts w:ascii="Times New Roman" w:hAnsi="Times New Roman"/>
                <w:sz w:val="16"/>
                <w:szCs w:val="16"/>
              </w:rPr>
            </w:pPr>
            <w:hyperlink r:id="rId60" w:anchor="sF7A6C4B47F5951DBB61D2E233BE49727" w:history="1">
              <w:r>
                <w:rPr>
                  <w:rStyle w:val="a5"/>
                  <w:rFonts w:ascii="sans-serif" w:eastAsia="sans-serif" w:hAnsi="sans-serif" w:cs="sans-serif"/>
                  <w:color w:val="000000"/>
                  <w:sz w:val="16"/>
                  <w:szCs w:val="16"/>
                  <w:u w:val="none"/>
                </w:rPr>
                <w:t>11</w:t>
              </w:r>
            </w:hyperlink>
          </w:p>
        </w:tc>
      </w:tr>
      <w:tr w:rsidR="00FB67F9" w14:paraId="606F706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5F"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6</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060" w14:textId="77777777" w:rsidR="00FB67F9" w:rsidRDefault="00E839DF">
            <w:pPr>
              <w:textAlignment w:val="bottom"/>
              <w:rPr>
                <w:rFonts w:ascii="Times New Roman" w:hAnsi="Times New Roman"/>
                <w:sz w:val="16"/>
                <w:szCs w:val="16"/>
              </w:rPr>
            </w:pPr>
            <w:hyperlink r:id="rId61" w:anchor="s2860BD986DEC5475ABDC4FF915A88FA8" w:history="1">
              <w:r>
                <w:rPr>
                  <w:rStyle w:val="a5"/>
                  <w:rFonts w:ascii="sans-serif" w:eastAsia="sans-serif" w:hAnsi="sans-serif" w:cs="sans-serif"/>
                  <w:color w:val="000000"/>
                  <w:sz w:val="16"/>
                  <w:szCs w:val="16"/>
                  <w:u w:val="none"/>
                </w:rPr>
                <w:t>Income Taxes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7061" w14:textId="77777777" w:rsidR="00FB67F9" w:rsidRDefault="00E839DF">
            <w:pPr>
              <w:jc w:val="right"/>
              <w:textAlignment w:val="bottom"/>
              <w:rPr>
                <w:rFonts w:ascii="Times New Roman" w:hAnsi="Times New Roman"/>
                <w:sz w:val="16"/>
                <w:szCs w:val="16"/>
              </w:rPr>
            </w:pPr>
            <w:hyperlink r:id="rId62" w:anchor="s2860BD986DEC5475ABDC4FF915A88FA8" w:history="1">
              <w:r>
                <w:rPr>
                  <w:rStyle w:val="a5"/>
                  <w:rFonts w:ascii="sans-serif" w:eastAsia="sans-serif" w:hAnsi="sans-serif" w:cs="sans-serif"/>
                  <w:color w:val="000000"/>
                  <w:sz w:val="16"/>
                  <w:szCs w:val="16"/>
                  <w:u w:val="none"/>
                </w:rPr>
                <w:t>1</w:t>
              </w:r>
              <w:r>
                <w:rPr>
                  <w:rStyle w:val="a5"/>
                  <w:rFonts w:ascii="sans-serif" w:eastAsia="sans-serif" w:hAnsi="sans-serif" w:cs="sans-serif"/>
                  <w:color w:val="000000"/>
                  <w:sz w:val="16"/>
                  <w:szCs w:val="16"/>
                  <w:u w:val="none"/>
                </w:rPr>
                <w:t>1</w:t>
              </w:r>
            </w:hyperlink>
          </w:p>
        </w:tc>
      </w:tr>
      <w:tr w:rsidR="00FB67F9" w14:paraId="606F706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63"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7</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64" w14:textId="77777777" w:rsidR="00FB67F9" w:rsidRDefault="00E839DF">
            <w:pPr>
              <w:textAlignment w:val="bottom"/>
              <w:rPr>
                <w:rFonts w:ascii="Times New Roman" w:hAnsi="Times New Roman"/>
                <w:sz w:val="16"/>
                <w:szCs w:val="16"/>
              </w:rPr>
            </w:pPr>
            <w:hyperlink r:id="rId63" w:anchor="s5A3567DCA0F95B55BA8A1FE5A6E84F53" w:history="1">
              <w:r>
                <w:rPr>
                  <w:rStyle w:val="a5"/>
                  <w:rFonts w:ascii="sans-serif" w:eastAsia="sans-serif" w:hAnsi="sans-serif" w:cs="sans-serif"/>
                  <w:color w:val="000000"/>
                  <w:sz w:val="16"/>
                  <w:szCs w:val="16"/>
                  <w:u w:val="none"/>
                </w:rPr>
                <w:t>Stock-Based Compensation</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7065" w14:textId="77777777" w:rsidR="00FB67F9" w:rsidRDefault="00E839DF">
            <w:pPr>
              <w:jc w:val="right"/>
              <w:textAlignment w:val="bottom"/>
              <w:rPr>
                <w:rFonts w:ascii="Times New Roman" w:hAnsi="Times New Roman"/>
                <w:sz w:val="16"/>
                <w:szCs w:val="16"/>
              </w:rPr>
            </w:pPr>
            <w:hyperlink r:id="rId64" w:anchor="s5A3567DCA0F95B55BA8A1FE5A6E84F53" w:history="1">
              <w:r>
                <w:rPr>
                  <w:rStyle w:val="a5"/>
                  <w:rFonts w:ascii="sans-serif" w:eastAsia="sans-serif" w:hAnsi="sans-serif" w:cs="sans-serif"/>
                  <w:color w:val="000000"/>
                  <w:sz w:val="16"/>
                  <w:szCs w:val="16"/>
                  <w:u w:val="none"/>
                </w:rPr>
                <w:t>12</w:t>
              </w:r>
            </w:hyperlink>
          </w:p>
        </w:tc>
      </w:tr>
      <w:tr w:rsidR="00FB67F9" w14:paraId="606F706A"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67"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8</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068" w14:textId="77777777" w:rsidR="00FB67F9" w:rsidRDefault="00E839DF">
            <w:pPr>
              <w:textAlignment w:val="bottom"/>
              <w:rPr>
                <w:rFonts w:ascii="Times New Roman" w:hAnsi="Times New Roman"/>
                <w:sz w:val="16"/>
                <w:szCs w:val="16"/>
              </w:rPr>
            </w:pPr>
            <w:hyperlink r:id="rId65" w:anchor="s8AB157AFB29D54F4ABF50DCCE3200745" w:history="1">
              <w:r>
                <w:rPr>
                  <w:rStyle w:val="a5"/>
                  <w:rFonts w:ascii="sans-serif" w:eastAsia="sans-serif" w:hAnsi="sans-serif" w:cs="sans-serif"/>
                  <w:color w:val="000000"/>
                  <w:sz w:val="16"/>
                  <w:szCs w:val="16"/>
                  <w:u w:val="none"/>
                </w:rPr>
                <w:t>Earnings Per Share</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7069" w14:textId="77777777" w:rsidR="00FB67F9" w:rsidRDefault="00E839DF">
            <w:pPr>
              <w:jc w:val="right"/>
              <w:textAlignment w:val="bottom"/>
              <w:rPr>
                <w:rFonts w:ascii="Times New Roman" w:hAnsi="Times New Roman"/>
                <w:sz w:val="16"/>
                <w:szCs w:val="16"/>
              </w:rPr>
            </w:pPr>
            <w:hyperlink r:id="rId66" w:anchor="s8AB157AFB29D54F4ABF50DCCE3200745" w:history="1">
              <w:r>
                <w:rPr>
                  <w:rStyle w:val="a5"/>
                  <w:rFonts w:ascii="sans-serif" w:eastAsia="sans-serif" w:hAnsi="sans-serif" w:cs="sans-serif"/>
                  <w:color w:val="000000"/>
                  <w:sz w:val="16"/>
                  <w:szCs w:val="16"/>
                  <w:u w:val="none"/>
                </w:rPr>
                <w:t>13</w:t>
              </w:r>
            </w:hyperlink>
          </w:p>
        </w:tc>
      </w:tr>
      <w:tr w:rsidR="00FB67F9" w14:paraId="606F706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06B"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9</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6C" w14:textId="77777777" w:rsidR="00FB67F9" w:rsidRDefault="00E839DF">
            <w:pPr>
              <w:textAlignment w:val="bottom"/>
              <w:rPr>
                <w:rFonts w:ascii="Times New Roman" w:hAnsi="Times New Roman"/>
                <w:sz w:val="16"/>
                <w:szCs w:val="16"/>
              </w:rPr>
            </w:pPr>
            <w:hyperlink r:id="rId67" w:anchor="s8B64C1E5691B5EADA68BD37CAAC8D577" w:history="1">
              <w:r>
                <w:rPr>
                  <w:rStyle w:val="a5"/>
                  <w:rFonts w:ascii="sans-serif" w:eastAsia="sans-serif" w:hAnsi="sans-serif" w:cs="sans-serif"/>
                  <w:color w:val="000000"/>
                  <w:sz w:val="16"/>
                  <w:szCs w:val="16"/>
                  <w:u w:val="none"/>
                </w:rPr>
                <w:t>Risk Management and Deriva</w:t>
              </w:r>
              <w:r>
                <w:rPr>
                  <w:rStyle w:val="a5"/>
                  <w:rFonts w:ascii="sans-serif" w:eastAsia="sans-serif" w:hAnsi="sans-serif" w:cs="sans-serif"/>
                  <w:color w:val="000000"/>
                  <w:sz w:val="16"/>
                  <w:szCs w:val="16"/>
                  <w:u w:val="none"/>
                </w:rPr>
                <w:t>tives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706D" w14:textId="77777777" w:rsidR="00FB67F9" w:rsidRDefault="00E839DF">
            <w:pPr>
              <w:jc w:val="right"/>
              <w:textAlignment w:val="bottom"/>
              <w:rPr>
                <w:rFonts w:ascii="Times New Roman" w:hAnsi="Times New Roman"/>
                <w:sz w:val="16"/>
                <w:szCs w:val="16"/>
              </w:rPr>
            </w:pPr>
            <w:hyperlink r:id="rId68" w:anchor="s8B64C1E5691B5EADA68BD37CAAC8D577" w:history="1">
              <w:r>
                <w:rPr>
                  <w:rStyle w:val="a5"/>
                  <w:rFonts w:ascii="sans-serif" w:eastAsia="sans-serif" w:hAnsi="sans-serif" w:cs="sans-serif"/>
                  <w:color w:val="000000"/>
                  <w:sz w:val="16"/>
                  <w:szCs w:val="16"/>
                  <w:u w:val="none"/>
                </w:rPr>
                <w:t>13</w:t>
              </w:r>
            </w:hyperlink>
          </w:p>
        </w:tc>
      </w:tr>
      <w:tr w:rsidR="00FB67F9" w14:paraId="606F707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6F"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10</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070" w14:textId="77777777" w:rsidR="00FB67F9" w:rsidRDefault="00E839DF">
            <w:pPr>
              <w:textAlignment w:val="bottom"/>
              <w:rPr>
                <w:rFonts w:ascii="Times New Roman" w:hAnsi="Times New Roman"/>
                <w:sz w:val="16"/>
                <w:szCs w:val="16"/>
              </w:rPr>
            </w:pPr>
            <w:hyperlink r:id="rId69" w:anchor="s92C49F6060075EBC84B80E79931DC6A1" w:history="1">
              <w:r>
                <w:rPr>
                  <w:rStyle w:val="a5"/>
                  <w:rFonts w:ascii="sans-serif" w:eastAsia="sans-serif" w:hAnsi="sans-serif" w:cs="sans-serif"/>
                  <w:color w:val="000000"/>
                  <w:sz w:val="16"/>
                  <w:szCs w:val="16"/>
                  <w:u w:val="none"/>
                </w:rPr>
                <w:t>Accumulated Other Comprehensive Income (Loss)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606F7071" w14:textId="77777777" w:rsidR="00FB67F9" w:rsidRDefault="00E839DF">
            <w:pPr>
              <w:jc w:val="right"/>
              <w:textAlignment w:val="bottom"/>
              <w:rPr>
                <w:rFonts w:ascii="Times New Roman" w:hAnsi="Times New Roman"/>
                <w:sz w:val="16"/>
                <w:szCs w:val="16"/>
              </w:rPr>
            </w:pPr>
            <w:hyperlink r:id="rId70" w:anchor="s92C49F6060075EBC84B80E79931DC6A1" w:history="1">
              <w:r>
                <w:rPr>
                  <w:rStyle w:val="a5"/>
                  <w:rFonts w:ascii="sans-serif" w:eastAsia="sans-serif" w:hAnsi="sans-serif" w:cs="sans-serif"/>
                  <w:color w:val="000000"/>
                  <w:sz w:val="16"/>
                  <w:szCs w:val="16"/>
                  <w:u w:val="none"/>
                </w:rPr>
                <w:t>17</w:t>
              </w:r>
            </w:hyperlink>
          </w:p>
        </w:tc>
      </w:tr>
      <w:tr w:rsidR="00FB67F9" w14:paraId="606F707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73"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11</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74" w14:textId="77777777" w:rsidR="00FB67F9" w:rsidRDefault="00E839DF">
            <w:pPr>
              <w:textAlignment w:val="bottom"/>
              <w:rPr>
                <w:rFonts w:ascii="Times New Roman" w:hAnsi="Times New Roman"/>
                <w:sz w:val="16"/>
                <w:szCs w:val="16"/>
              </w:rPr>
            </w:pPr>
            <w:hyperlink r:id="rId71" w:anchor="s191B4029522758259064293E653EFAE1" w:history="1">
              <w:r>
                <w:rPr>
                  <w:rStyle w:val="a5"/>
                  <w:rFonts w:ascii="sans-serif" w:eastAsia="sans-serif" w:hAnsi="sans-serif" w:cs="sans-serif"/>
                  <w:color w:val="000000"/>
                  <w:sz w:val="16"/>
                  <w:szCs w:val="16"/>
                  <w:u w:val="none"/>
                </w:rPr>
                <w:t>Revenues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75" w14:textId="77777777" w:rsidR="00FB67F9" w:rsidRDefault="00E839DF">
            <w:pPr>
              <w:jc w:val="right"/>
              <w:textAlignment w:val="bottom"/>
              <w:rPr>
                <w:rFonts w:ascii="Times New Roman" w:hAnsi="Times New Roman"/>
                <w:sz w:val="16"/>
                <w:szCs w:val="16"/>
              </w:rPr>
            </w:pPr>
            <w:hyperlink r:id="rId72" w:anchor="s191B4029522758259064293E653EFAE1" w:history="1">
              <w:r>
                <w:rPr>
                  <w:rStyle w:val="a5"/>
                  <w:rFonts w:ascii="sans-serif" w:eastAsia="sans-serif" w:hAnsi="sans-serif" w:cs="sans-serif"/>
                  <w:color w:val="000000"/>
                  <w:sz w:val="16"/>
                  <w:szCs w:val="16"/>
                  <w:u w:val="none"/>
                </w:rPr>
                <w:t>20</w:t>
              </w:r>
            </w:hyperlink>
          </w:p>
        </w:tc>
      </w:tr>
      <w:tr w:rsidR="00FB67F9" w14:paraId="606F707A"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77"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12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78" w14:textId="77777777" w:rsidR="00FB67F9" w:rsidRDefault="00E839DF">
            <w:pPr>
              <w:textAlignment w:val="bottom"/>
              <w:rPr>
                <w:rFonts w:ascii="Times New Roman" w:hAnsi="Times New Roman"/>
                <w:sz w:val="16"/>
                <w:szCs w:val="16"/>
              </w:rPr>
            </w:pPr>
            <w:hyperlink r:id="rId73" w:anchor="s5859674FE2065A68A667523506FE1315" w:history="1">
              <w:r>
                <w:rPr>
                  <w:rStyle w:val="a5"/>
                  <w:rFonts w:ascii="sans-serif" w:eastAsia="sans-serif" w:hAnsi="sans-serif" w:cs="sans-serif"/>
                  <w:color w:val="000000"/>
                  <w:sz w:val="16"/>
                  <w:szCs w:val="16"/>
                  <w:u w:val="none"/>
                </w:rPr>
                <w:t>Operating Segments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79" w14:textId="77777777" w:rsidR="00FB67F9" w:rsidRDefault="00E839DF">
            <w:pPr>
              <w:jc w:val="right"/>
              <w:textAlignment w:val="bottom"/>
              <w:rPr>
                <w:rFonts w:ascii="Times New Roman" w:hAnsi="Times New Roman"/>
                <w:sz w:val="16"/>
                <w:szCs w:val="16"/>
              </w:rPr>
            </w:pPr>
            <w:hyperlink r:id="rId74" w:anchor="s5859674FE2065A68A667523506FE1315" w:history="1">
              <w:r>
                <w:rPr>
                  <w:rStyle w:val="a5"/>
                  <w:rFonts w:ascii="sans-serif" w:eastAsia="sans-serif" w:hAnsi="sans-serif" w:cs="sans-serif"/>
                  <w:color w:val="000000"/>
                  <w:sz w:val="16"/>
                  <w:szCs w:val="16"/>
                  <w:u w:val="none"/>
                </w:rPr>
                <w:t>22</w:t>
              </w:r>
            </w:hyperlink>
          </w:p>
        </w:tc>
      </w:tr>
      <w:tr w:rsidR="00FB67F9" w14:paraId="606F707E"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07B" w14:textId="77777777" w:rsidR="00FB67F9" w:rsidRDefault="00E839DF">
            <w:pPr>
              <w:textAlignment w:val="bottom"/>
              <w:rPr>
                <w:rFonts w:ascii="Times New Roman" w:hAnsi="Times New Roman"/>
                <w:sz w:val="18"/>
                <w:szCs w:val="18"/>
              </w:rPr>
            </w:pPr>
            <w:r>
              <w:rPr>
                <w:rFonts w:ascii="sans-serif" w:eastAsia="sans-serif" w:hAnsi="sans-serif" w:cs="sans-serif"/>
                <w:b/>
                <w:bCs/>
                <w:sz w:val="18"/>
                <w:szCs w:val="18"/>
              </w:rPr>
              <w:t>Note 13</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07C" w14:textId="77777777" w:rsidR="00FB67F9" w:rsidRDefault="00E839DF">
            <w:pPr>
              <w:textAlignment w:val="bottom"/>
              <w:rPr>
                <w:rFonts w:ascii="Times New Roman" w:hAnsi="Times New Roman"/>
                <w:sz w:val="16"/>
                <w:szCs w:val="16"/>
              </w:rPr>
            </w:pPr>
            <w:hyperlink r:id="rId75" w:anchor="sB5B75D3C1A1E54F98B9CE793606D6F12" w:history="1">
              <w:r>
                <w:rPr>
                  <w:rStyle w:val="a5"/>
                  <w:rFonts w:ascii="sans-serif" w:eastAsia="sans-serif" w:hAnsi="sans-serif" w:cs="sans-serif"/>
                  <w:color w:val="000000"/>
                  <w:sz w:val="16"/>
                  <w:szCs w:val="16"/>
                  <w:u w:val="none"/>
                </w:rPr>
                <w:t>Leases</w:t>
              </w:r>
            </w:hyperlink>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07D" w14:textId="77777777" w:rsidR="00FB67F9" w:rsidRDefault="00E839DF">
            <w:pPr>
              <w:jc w:val="right"/>
              <w:textAlignment w:val="bottom"/>
              <w:rPr>
                <w:rFonts w:ascii="Times New Roman" w:hAnsi="Times New Roman"/>
                <w:sz w:val="16"/>
                <w:szCs w:val="16"/>
              </w:rPr>
            </w:pPr>
            <w:hyperlink r:id="rId76" w:anchor="sB5B75D3C1A1E54F98B9CE793606D6F12" w:history="1">
              <w:r>
                <w:rPr>
                  <w:rStyle w:val="a5"/>
                  <w:rFonts w:ascii="sans-serif" w:eastAsia="sans-serif" w:hAnsi="sans-serif" w:cs="sans-serif"/>
                  <w:color w:val="000000"/>
                  <w:sz w:val="16"/>
                  <w:szCs w:val="16"/>
                  <w:u w:val="none"/>
                </w:rPr>
                <w:t>24</w:t>
              </w:r>
            </w:hyperlink>
          </w:p>
        </w:tc>
      </w:tr>
    </w:tbl>
    <w:p w14:paraId="606F707F" w14:textId="77777777" w:rsidR="00FB67F9" w:rsidRDefault="00FB67F9">
      <w:pPr>
        <w:rPr>
          <w:rFonts w:ascii="Times New Roman" w:hAnsi="Times New Roman"/>
          <w:sz w:val="20"/>
          <w:szCs w:val="20"/>
        </w:rPr>
      </w:pPr>
    </w:p>
    <w:p w14:paraId="606F7080"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7</w:t>
      </w:r>
    </w:p>
    <w:p w14:paraId="606F7081" w14:textId="77777777" w:rsidR="00FB67F9" w:rsidRDefault="00E839DF">
      <w:r>
        <w:rPr>
          <w:rFonts w:ascii="Times New Roman" w:hAnsi="Times New Roman"/>
          <w:sz w:val="17"/>
          <w:szCs w:val="17"/>
        </w:rPr>
        <w:pict w14:anchorId="606F8F84">
          <v:rect id="_x0000_i1033" style="width:415.3pt;height:1.5pt" o:hralign="center" o:hrstd="t" o:hr="t" fillcolor="#a0a0a0" stroked="f"/>
        </w:pict>
      </w:r>
    </w:p>
    <w:p w14:paraId="606F7082" w14:textId="77777777" w:rsidR="00FB67F9" w:rsidRDefault="00FB67F9">
      <w:pPr>
        <w:rPr>
          <w:rFonts w:ascii="Times New Roman" w:hAnsi="Times New Roman"/>
          <w:sz w:val="17"/>
          <w:szCs w:val="17"/>
        </w:rPr>
      </w:pPr>
    </w:p>
    <w:p w14:paraId="606F7083" w14:textId="77777777" w:rsidR="00FB67F9" w:rsidRDefault="00E839DF">
      <w:pPr>
        <w:rPr>
          <w:rFonts w:ascii="Times New Roman" w:hAnsi="Times New Roman"/>
          <w:sz w:val="17"/>
          <w:szCs w:val="17"/>
        </w:rPr>
      </w:pPr>
      <w:hyperlink r:id="rId77" w:anchor="s42C493F7582652B69E70047AB812E6A5" w:history="1">
        <w:r>
          <w:rPr>
            <w:rStyle w:val="a5"/>
            <w:rFonts w:ascii="sans-serif" w:eastAsia="sans-serif" w:hAnsi="sans-serif" w:cs="sans-serif"/>
            <w:sz w:val="17"/>
            <w:szCs w:val="17"/>
          </w:rPr>
          <w:t>Table of Contents</w:t>
        </w:r>
      </w:hyperlink>
    </w:p>
    <w:p w14:paraId="606F7084" w14:textId="77777777" w:rsidR="00FB67F9" w:rsidRDefault="00FB67F9">
      <w:pPr>
        <w:rPr>
          <w:rFonts w:ascii="Times New Roman" w:hAnsi="Times New Roman"/>
          <w:sz w:val="17"/>
          <w:szCs w:val="17"/>
        </w:rPr>
      </w:pPr>
    </w:p>
    <w:p w14:paraId="606F7085"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FB67F9" w14:paraId="606F7087" w14:textId="77777777">
        <w:tc>
          <w:tcPr>
            <w:tcW w:w="0" w:type="auto"/>
            <w:shd w:val="clear" w:color="auto" w:fill="auto"/>
            <w:vAlign w:val="center"/>
          </w:tcPr>
          <w:p w14:paraId="606F7086" w14:textId="77777777" w:rsidR="00FB67F9" w:rsidRDefault="00FB67F9">
            <w:pPr>
              <w:rPr>
                <w:rFonts w:ascii="Times New Roman" w:hAnsi="Times New Roman"/>
                <w:sz w:val="20"/>
                <w:szCs w:val="20"/>
              </w:rPr>
            </w:pPr>
          </w:p>
        </w:tc>
      </w:tr>
      <w:tr w:rsidR="00FB67F9" w14:paraId="606F7089" w14:textId="77777777">
        <w:tc>
          <w:tcPr>
            <w:tcW w:w="5000" w:type="pct"/>
            <w:shd w:val="clear" w:color="auto" w:fill="auto"/>
            <w:vAlign w:val="center"/>
          </w:tcPr>
          <w:p w14:paraId="606F7088" w14:textId="77777777" w:rsidR="00FB67F9" w:rsidRDefault="00FB67F9">
            <w:pPr>
              <w:rPr>
                <w:rFonts w:ascii="Times New Roman" w:hAnsi="Times New Roman"/>
                <w:sz w:val="20"/>
                <w:szCs w:val="20"/>
              </w:rPr>
            </w:pPr>
          </w:p>
        </w:tc>
      </w:tr>
      <w:tr w:rsidR="00FB67F9" w14:paraId="606F708B" w14:textId="77777777">
        <w:tc>
          <w:tcPr>
            <w:tcW w:w="0" w:type="auto"/>
            <w:shd w:val="clear" w:color="auto" w:fill="auto"/>
            <w:tcMar>
              <w:top w:w="40" w:type="dxa"/>
              <w:left w:w="40" w:type="dxa"/>
              <w:bottom w:w="40" w:type="dxa"/>
              <w:right w:w="40" w:type="dxa"/>
            </w:tcMar>
            <w:vAlign w:val="bottom"/>
          </w:tcPr>
          <w:p w14:paraId="606F708A"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1 — SUMMARY OF SIGNIFICANT ACCOUNTING POLICIES</w:t>
            </w:r>
          </w:p>
        </w:tc>
      </w:tr>
    </w:tbl>
    <w:p w14:paraId="606F708C"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 xml:space="preserve">BASIS OF </w:t>
      </w:r>
      <w:r>
        <w:rPr>
          <w:rFonts w:ascii="sans-serif" w:eastAsia="sans-serif" w:hAnsi="sans-serif" w:cs="sans-serif"/>
          <w:b/>
          <w:bCs/>
          <w:color w:val="000000"/>
          <w:sz w:val="28"/>
          <w:szCs w:val="28"/>
        </w:rPr>
        <w:t>PRESENTATION</w:t>
      </w:r>
    </w:p>
    <w:p w14:paraId="606F708D"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Unaudited Condensed Consolidated Financial Statements include the accounts of NIKE, Inc. and its subsidiaries (the “Company” or “NIKE”) and reflect all normal recurring adjustments which are, in the opinion of management, </w:t>
      </w:r>
      <w:r>
        <w:rPr>
          <w:rFonts w:ascii="Arial" w:eastAsia="宋体" w:hAnsi="Arial" w:cs="Arial"/>
          <w:sz w:val="17"/>
          <w:szCs w:val="17"/>
        </w:rPr>
        <w:t>necessary for a fair statement of the results of operations for the interim period. The year-end Condensed Consolidated Balance Sheet data as of May 31, 2019 was derived from audited financial statements, but does not include all disclosures required by ac</w:t>
      </w:r>
      <w:r>
        <w:rPr>
          <w:rFonts w:ascii="Arial" w:eastAsia="宋体" w:hAnsi="Arial" w:cs="Arial"/>
          <w:sz w:val="17"/>
          <w:szCs w:val="17"/>
        </w:rPr>
        <w:t xml:space="preserve">counting principles generally accepted in the United States of America (“U.S. GAAP”). The interim financial information and notes thereto should be read in conjunction with the Company's latest Annual Report on Form 10-K. The results of operations for the </w:t>
      </w:r>
      <w:r>
        <w:rPr>
          <w:rFonts w:ascii="Arial" w:eastAsia="宋体" w:hAnsi="Arial" w:cs="Arial"/>
          <w:sz w:val="17"/>
          <w:szCs w:val="17"/>
        </w:rPr>
        <w:t>three and six months ended November 30, 2019 are not necessarily indicative of results to be expected for the entire year.</w:t>
      </w:r>
    </w:p>
    <w:p w14:paraId="606F708E"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RECENTLY ADOPTED ACCOUNTING STANDARDS</w:t>
      </w:r>
    </w:p>
    <w:p w14:paraId="606F708F"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In February 2016, the Financial Accounting Standards Board (FASB) issued Accounting Standards U</w:t>
      </w:r>
      <w:r>
        <w:rPr>
          <w:rFonts w:ascii="Arial" w:eastAsia="宋体" w:hAnsi="Arial" w:cs="Arial"/>
          <w:sz w:val="17"/>
          <w:szCs w:val="17"/>
        </w:rPr>
        <w:t xml:space="preserve">pdate (ASU) No. 2016-02, </w:t>
      </w:r>
      <w:r>
        <w:rPr>
          <w:rFonts w:ascii="Arial" w:eastAsia="宋体" w:hAnsi="Arial" w:cs="Arial"/>
          <w:i/>
          <w:iCs/>
          <w:sz w:val="17"/>
          <w:szCs w:val="17"/>
        </w:rPr>
        <w:t>Leases (Topic 842)</w:t>
      </w:r>
      <w:r>
        <w:rPr>
          <w:rFonts w:ascii="Arial" w:eastAsia="宋体" w:hAnsi="Arial" w:cs="Arial"/>
          <w:sz w:val="17"/>
          <w:szCs w:val="17"/>
        </w:rPr>
        <w:t>, which replaced existing lease accounting guidance. The new standard is intended to provide enhanced transparency and comparability by requiring lessees to record right-of-use (ROU) assets and corresponding lease</w:t>
      </w:r>
      <w:r>
        <w:rPr>
          <w:rFonts w:ascii="Arial" w:eastAsia="宋体" w:hAnsi="Arial" w:cs="Arial"/>
          <w:sz w:val="17"/>
          <w:szCs w:val="17"/>
        </w:rPr>
        <w:t xml:space="preserve"> liabilities on the balance sheet. ROU assets represent the Company's right to use an underlying asset for the lease term and lease liabilities represent the Company's obligation to make lease payments arising from the lease. The new guidance requires the </w:t>
      </w:r>
      <w:r>
        <w:rPr>
          <w:rFonts w:ascii="Arial" w:eastAsia="宋体" w:hAnsi="Arial" w:cs="Arial"/>
          <w:sz w:val="17"/>
          <w:szCs w:val="17"/>
        </w:rPr>
        <w:t>Company to continue to classify leases as either an operating or finance lease, with classification affecting the pattern of expense recognition in the income statement. In addition, the new standard requires enhanced disclosure surrounding the amount, tim</w:t>
      </w:r>
      <w:r>
        <w:rPr>
          <w:rFonts w:ascii="Arial" w:eastAsia="宋体" w:hAnsi="Arial" w:cs="Arial"/>
          <w:sz w:val="17"/>
          <w:szCs w:val="17"/>
        </w:rPr>
        <w:t xml:space="preserve">ing and uncertainty of cash flows arising from leasing agreements. </w:t>
      </w:r>
    </w:p>
    <w:p w14:paraId="606F709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In July 2018, the FASB issued ASU No. 2018-11, which provided entities with an additional transition method. Under the new transition method, an entity initially applies the new standard a</w:t>
      </w:r>
      <w:r>
        <w:rPr>
          <w:rFonts w:ascii="Arial" w:eastAsia="宋体" w:hAnsi="Arial" w:cs="Arial"/>
          <w:sz w:val="17"/>
          <w:szCs w:val="17"/>
        </w:rPr>
        <w:t>t the adoption date, versus at the beginning of the earliest period presented, and recognizes a cumulative-effect adjustment to the opening balance of retained earnings in the period of adoption. The Company elected this transition method and adopted Topic</w:t>
      </w:r>
      <w:r>
        <w:rPr>
          <w:rFonts w:ascii="Arial" w:eastAsia="宋体" w:hAnsi="Arial" w:cs="Arial"/>
          <w:sz w:val="17"/>
          <w:szCs w:val="17"/>
        </w:rPr>
        <w:t xml:space="preserve"> 842 using a modified retrospective approach in the first quarter of fiscal 2020 with the cumulative effect of initially applying the new standard recognized in </w:t>
      </w:r>
      <w:r>
        <w:rPr>
          <w:rFonts w:ascii="Arial" w:eastAsia="宋体" w:hAnsi="Arial" w:cs="Arial"/>
          <w:i/>
          <w:iCs/>
          <w:sz w:val="17"/>
          <w:szCs w:val="17"/>
        </w:rPr>
        <w:t>Retained earnings</w:t>
      </w:r>
      <w:r>
        <w:rPr>
          <w:rFonts w:ascii="Arial" w:eastAsia="宋体" w:hAnsi="Arial" w:cs="Arial"/>
          <w:sz w:val="17"/>
          <w:szCs w:val="17"/>
        </w:rPr>
        <w:t xml:space="preserve"> at June 1, 2019. Comparative prior period information has not been adjusted a</w:t>
      </w:r>
      <w:r>
        <w:rPr>
          <w:rFonts w:ascii="Arial" w:eastAsia="宋体" w:hAnsi="Arial" w:cs="Arial"/>
          <w:sz w:val="17"/>
          <w:szCs w:val="17"/>
        </w:rPr>
        <w:t xml:space="preserve">nd continues to be reported in accordance with previous lease accounting guidance in Accounting Standards Codification (ASC) Topic 840 — </w:t>
      </w:r>
      <w:r>
        <w:rPr>
          <w:rFonts w:ascii="Arial" w:eastAsia="宋体" w:hAnsi="Arial" w:cs="Arial"/>
          <w:i/>
          <w:iCs/>
          <w:sz w:val="17"/>
          <w:szCs w:val="17"/>
        </w:rPr>
        <w:t>Leases</w:t>
      </w:r>
      <w:r>
        <w:rPr>
          <w:rFonts w:ascii="Arial" w:eastAsia="宋体" w:hAnsi="Arial" w:cs="Arial"/>
          <w:sz w:val="17"/>
          <w:szCs w:val="17"/>
        </w:rPr>
        <w:t xml:space="preserve">. </w:t>
      </w:r>
    </w:p>
    <w:p w14:paraId="606F709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Upon adoption, the Company elected the package of transition practical expedients which allowed the Company to</w:t>
      </w:r>
      <w:r>
        <w:rPr>
          <w:rFonts w:ascii="Arial" w:eastAsia="宋体" w:hAnsi="Arial" w:cs="Arial"/>
          <w:sz w:val="17"/>
          <w:szCs w:val="17"/>
        </w:rPr>
        <w:t xml:space="preserve"> carry forward prior conclusions related to: (i) whether any expired or existing contracts are or contain leases, (ii) the lease classification for any expired or existing leases and (iii) initial direct costs for existing leases. Additionally, the Company</w:t>
      </w:r>
      <w:r>
        <w:rPr>
          <w:rFonts w:ascii="Arial" w:eastAsia="宋体" w:hAnsi="Arial" w:cs="Arial"/>
          <w:sz w:val="17"/>
          <w:szCs w:val="17"/>
        </w:rPr>
        <w:t xml:space="preserve"> elected the practical expedient to not separate lease components from nonlease components for all real estate leases within the portfolio. The Company made an accounting policy election to not record leases with an initial term of 12 months or less on the</w:t>
      </w:r>
      <w:r>
        <w:rPr>
          <w:rFonts w:ascii="Arial" w:eastAsia="宋体" w:hAnsi="Arial" w:cs="Arial"/>
          <w:sz w:val="17"/>
          <w:szCs w:val="17"/>
        </w:rPr>
        <w:t xml:space="preserve"> Unaudited Condensed Consolidated Balance Sheets and will recognize related lease payments in the Unaudited Condensed Consolidated Statements of Income on a straight-line basis over the lease term.</w:t>
      </w:r>
    </w:p>
    <w:p w14:paraId="606F709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In preparation for implementation, the Company executed ch</w:t>
      </w:r>
      <w:r>
        <w:rPr>
          <w:rFonts w:ascii="Arial" w:eastAsia="宋体" w:hAnsi="Arial" w:cs="Arial"/>
          <w:sz w:val="17"/>
          <w:szCs w:val="17"/>
        </w:rPr>
        <w:t>anges to business processes, including implementing a software solution to assist with the new reporting requirements. The adoption of Topic 842 resulted in a $2.7 billion increase to total assets and total liabilities as of June 1, 2019. Upon adoption, th</w:t>
      </w:r>
      <w:r>
        <w:rPr>
          <w:rFonts w:ascii="Arial" w:eastAsia="宋体" w:hAnsi="Arial" w:cs="Arial"/>
          <w:sz w:val="17"/>
          <w:szCs w:val="17"/>
        </w:rPr>
        <w:t>e Company recognized $3.2 billion of total operating lease liabilities and $2.9 billion of operating lease ROU assets, as well as removed $348 million of existing deferred rent liabilities, which was recorded as an offset against the ROU assets. In additio</w:t>
      </w:r>
      <w:r>
        <w:rPr>
          <w:rFonts w:ascii="Arial" w:eastAsia="宋体" w:hAnsi="Arial" w:cs="Arial"/>
          <w:sz w:val="17"/>
          <w:szCs w:val="17"/>
        </w:rPr>
        <w:t>n, the Company removed $184 million of existing assets and liabilities related to build-to-suit lease arrangements. Several other asset and liability line items in the Company's Unaudited Condensed Consolidated Balance Sheets were also impacted by immateri</w:t>
      </w:r>
      <w:r>
        <w:rPr>
          <w:rFonts w:ascii="Arial" w:eastAsia="宋体" w:hAnsi="Arial" w:cs="Arial"/>
          <w:sz w:val="17"/>
          <w:szCs w:val="17"/>
        </w:rPr>
        <w:t>al amounts. The adoption of the standard did not have a material impact on the Unaudited Condensed Consolidated Statements of Income or Unaudited Condensed Consolidated Statements of Cash Flows. For more information on the Company's lease arrangements refe</w:t>
      </w:r>
      <w:r>
        <w:rPr>
          <w:rFonts w:ascii="Arial" w:eastAsia="宋体" w:hAnsi="Arial" w:cs="Arial"/>
          <w:sz w:val="17"/>
          <w:szCs w:val="17"/>
        </w:rPr>
        <w:t>r to Note 13 — Leases.</w:t>
      </w:r>
    </w:p>
    <w:tbl>
      <w:tblPr>
        <w:tblW w:w="5000" w:type="pct"/>
        <w:tblCellMar>
          <w:left w:w="0" w:type="dxa"/>
          <w:right w:w="0" w:type="dxa"/>
        </w:tblCellMar>
        <w:tblLook w:val="04A0" w:firstRow="1" w:lastRow="0" w:firstColumn="1" w:lastColumn="0" w:noHBand="0" w:noVBand="1"/>
      </w:tblPr>
      <w:tblGrid>
        <w:gridCol w:w="8306"/>
      </w:tblGrid>
      <w:tr w:rsidR="00FB67F9" w14:paraId="606F7094" w14:textId="77777777">
        <w:tc>
          <w:tcPr>
            <w:tcW w:w="0" w:type="auto"/>
            <w:shd w:val="clear" w:color="auto" w:fill="auto"/>
            <w:vAlign w:val="center"/>
          </w:tcPr>
          <w:p w14:paraId="606F7093" w14:textId="77777777" w:rsidR="00FB67F9" w:rsidRDefault="00FB67F9">
            <w:pPr>
              <w:rPr>
                <w:rFonts w:ascii="Times New Roman" w:hAnsi="Times New Roman"/>
                <w:sz w:val="20"/>
                <w:szCs w:val="20"/>
              </w:rPr>
            </w:pPr>
          </w:p>
        </w:tc>
      </w:tr>
      <w:tr w:rsidR="00FB67F9" w14:paraId="606F7096" w14:textId="77777777">
        <w:tc>
          <w:tcPr>
            <w:tcW w:w="5000" w:type="pct"/>
            <w:shd w:val="clear" w:color="auto" w:fill="auto"/>
            <w:vAlign w:val="center"/>
          </w:tcPr>
          <w:p w14:paraId="606F7095" w14:textId="77777777" w:rsidR="00FB67F9" w:rsidRDefault="00FB67F9">
            <w:pPr>
              <w:rPr>
                <w:rFonts w:ascii="Times New Roman" w:hAnsi="Times New Roman"/>
                <w:sz w:val="20"/>
                <w:szCs w:val="20"/>
              </w:rPr>
            </w:pPr>
          </w:p>
        </w:tc>
      </w:tr>
      <w:tr w:rsidR="00FB67F9" w14:paraId="606F7098" w14:textId="77777777">
        <w:tc>
          <w:tcPr>
            <w:tcW w:w="0" w:type="auto"/>
            <w:shd w:val="clear" w:color="auto" w:fill="auto"/>
            <w:tcMar>
              <w:top w:w="40" w:type="dxa"/>
              <w:left w:w="40" w:type="dxa"/>
              <w:bottom w:w="40" w:type="dxa"/>
              <w:right w:w="40" w:type="dxa"/>
            </w:tcMar>
            <w:vAlign w:val="bottom"/>
          </w:tcPr>
          <w:p w14:paraId="606F7097"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2 — INVENTORIES</w:t>
            </w:r>
          </w:p>
        </w:tc>
      </w:tr>
    </w:tbl>
    <w:p w14:paraId="606F709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Inventory balances of $6,199 million and $5,622 million at November 30, 2019 and May 31, 2019, respectively, were substantially all finished goods.</w:t>
      </w:r>
    </w:p>
    <w:p w14:paraId="606F709A" w14:textId="77777777" w:rsidR="00FB67F9" w:rsidRDefault="00FB67F9">
      <w:pPr>
        <w:rPr>
          <w:rFonts w:ascii="Times New Roman" w:hAnsi="Times New Roman"/>
          <w:sz w:val="20"/>
          <w:szCs w:val="20"/>
        </w:rPr>
      </w:pPr>
    </w:p>
    <w:p w14:paraId="606F709B"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8</w:t>
      </w:r>
      <w:r>
        <w:rPr>
          <w:rFonts w:ascii="sans-serif" w:eastAsia="sans-serif" w:hAnsi="sans-serif" w:cs="sans-serif"/>
          <w:sz w:val="17"/>
          <w:szCs w:val="17"/>
        </w:rPr>
        <w:t xml:space="preserve"> </w:t>
      </w:r>
    </w:p>
    <w:p w14:paraId="606F709C" w14:textId="77777777" w:rsidR="00FB67F9" w:rsidRDefault="00E839DF">
      <w:r>
        <w:rPr>
          <w:rFonts w:ascii="Times New Roman" w:hAnsi="Times New Roman"/>
          <w:sz w:val="17"/>
          <w:szCs w:val="17"/>
        </w:rPr>
        <w:pict w14:anchorId="606F8F85">
          <v:rect id="_x0000_i1034" style="width:415.3pt;height:1.5pt" o:hralign="center" o:hrstd="t" o:hr="t" fillcolor="#a0a0a0" stroked="f"/>
        </w:pict>
      </w:r>
    </w:p>
    <w:p w14:paraId="606F709D" w14:textId="77777777" w:rsidR="00FB67F9" w:rsidRDefault="00FB67F9">
      <w:pPr>
        <w:rPr>
          <w:rFonts w:ascii="Times New Roman" w:hAnsi="Times New Roman"/>
          <w:sz w:val="17"/>
          <w:szCs w:val="17"/>
        </w:rPr>
      </w:pPr>
    </w:p>
    <w:p w14:paraId="606F709E" w14:textId="77777777" w:rsidR="00FB67F9" w:rsidRDefault="00E839DF">
      <w:pPr>
        <w:rPr>
          <w:rFonts w:ascii="Times New Roman" w:hAnsi="Times New Roman"/>
          <w:sz w:val="17"/>
          <w:szCs w:val="17"/>
        </w:rPr>
      </w:pPr>
      <w:hyperlink r:id="rId78" w:anchor="s42C493F7582652B69E70047AB812E6A5" w:history="1">
        <w:r>
          <w:rPr>
            <w:rStyle w:val="a5"/>
            <w:rFonts w:ascii="sans-serif" w:eastAsia="sans-serif" w:hAnsi="sans-serif" w:cs="sans-serif"/>
            <w:sz w:val="17"/>
            <w:szCs w:val="17"/>
          </w:rPr>
          <w:t>Table of Contents</w:t>
        </w:r>
      </w:hyperlink>
    </w:p>
    <w:p w14:paraId="606F709F" w14:textId="77777777" w:rsidR="00FB67F9" w:rsidRDefault="00FB67F9">
      <w:pPr>
        <w:rPr>
          <w:rFonts w:ascii="Times New Roman" w:hAnsi="Times New Roman"/>
          <w:sz w:val="17"/>
          <w:szCs w:val="17"/>
        </w:rPr>
      </w:pPr>
    </w:p>
    <w:p w14:paraId="606F70A0"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FB67F9" w14:paraId="606F70A2" w14:textId="77777777">
        <w:tc>
          <w:tcPr>
            <w:tcW w:w="0" w:type="auto"/>
            <w:shd w:val="clear" w:color="auto" w:fill="auto"/>
            <w:vAlign w:val="center"/>
          </w:tcPr>
          <w:p w14:paraId="606F70A1" w14:textId="77777777" w:rsidR="00FB67F9" w:rsidRDefault="00FB67F9">
            <w:pPr>
              <w:rPr>
                <w:rFonts w:ascii="Times New Roman" w:hAnsi="Times New Roman"/>
                <w:sz w:val="20"/>
                <w:szCs w:val="20"/>
              </w:rPr>
            </w:pPr>
          </w:p>
        </w:tc>
      </w:tr>
      <w:tr w:rsidR="00FB67F9" w14:paraId="606F70A4" w14:textId="77777777">
        <w:tc>
          <w:tcPr>
            <w:tcW w:w="5000" w:type="pct"/>
            <w:shd w:val="clear" w:color="auto" w:fill="auto"/>
            <w:vAlign w:val="center"/>
          </w:tcPr>
          <w:p w14:paraId="606F70A3" w14:textId="77777777" w:rsidR="00FB67F9" w:rsidRDefault="00FB67F9">
            <w:pPr>
              <w:rPr>
                <w:rFonts w:ascii="Times New Roman" w:hAnsi="Times New Roman"/>
                <w:sz w:val="20"/>
                <w:szCs w:val="20"/>
              </w:rPr>
            </w:pPr>
          </w:p>
        </w:tc>
      </w:tr>
      <w:tr w:rsidR="00FB67F9" w14:paraId="606F70A6" w14:textId="77777777">
        <w:tc>
          <w:tcPr>
            <w:tcW w:w="0" w:type="auto"/>
            <w:shd w:val="clear" w:color="auto" w:fill="auto"/>
            <w:tcMar>
              <w:top w:w="40" w:type="dxa"/>
              <w:left w:w="40" w:type="dxa"/>
              <w:bottom w:w="40" w:type="dxa"/>
              <w:right w:w="40" w:type="dxa"/>
            </w:tcMar>
            <w:vAlign w:val="bottom"/>
          </w:tcPr>
          <w:p w14:paraId="606F70A5"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3 — ACCRUED LIABILITIES</w:t>
            </w:r>
          </w:p>
        </w:tc>
      </w:tr>
    </w:tbl>
    <w:p w14:paraId="606F70A7"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Accrued liabilities</w:t>
      </w:r>
      <w:r>
        <w:rPr>
          <w:rFonts w:ascii="Arial" w:eastAsia="宋体" w:hAnsi="Arial" w:cs="Arial"/>
          <w:sz w:val="17"/>
          <w:szCs w:val="17"/>
        </w:rPr>
        <w:t xml:space="preserve"> included the following:</w:t>
      </w:r>
    </w:p>
    <w:tbl>
      <w:tblPr>
        <w:tblW w:w="5000" w:type="pct"/>
        <w:tblCellMar>
          <w:left w:w="0" w:type="dxa"/>
          <w:right w:w="0" w:type="dxa"/>
        </w:tblCellMar>
        <w:tblLook w:val="04A0" w:firstRow="1" w:lastRow="0" w:firstColumn="1" w:lastColumn="0" w:noHBand="0" w:noVBand="1"/>
      </w:tblPr>
      <w:tblGrid>
        <w:gridCol w:w="5534"/>
        <w:gridCol w:w="136"/>
        <w:gridCol w:w="1132"/>
        <w:gridCol w:w="57"/>
        <w:gridCol w:w="130"/>
        <w:gridCol w:w="135"/>
        <w:gridCol w:w="1129"/>
        <w:gridCol w:w="53"/>
      </w:tblGrid>
      <w:tr w:rsidR="00FB67F9" w14:paraId="606F70A9" w14:textId="77777777">
        <w:tc>
          <w:tcPr>
            <w:tcW w:w="0" w:type="auto"/>
            <w:gridSpan w:val="8"/>
            <w:shd w:val="clear" w:color="auto" w:fill="auto"/>
            <w:vAlign w:val="center"/>
          </w:tcPr>
          <w:p w14:paraId="606F70A8" w14:textId="77777777" w:rsidR="00FB67F9" w:rsidRDefault="00FB67F9">
            <w:pPr>
              <w:rPr>
                <w:rFonts w:ascii="Times New Roman" w:hAnsi="Times New Roman"/>
                <w:sz w:val="20"/>
                <w:szCs w:val="20"/>
              </w:rPr>
            </w:pPr>
          </w:p>
        </w:tc>
      </w:tr>
      <w:tr w:rsidR="00FB67F9" w14:paraId="606F70B2" w14:textId="77777777">
        <w:tc>
          <w:tcPr>
            <w:tcW w:w="3350" w:type="pct"/>
            <w:shd w:val="clear" w:color="auto" w:fill="auto"/>
            <w:vAlign w:val="center"/>
          </w:tcPr>
          <w:p w14:paraId="606F70AA" w14:textId="77777777" w:rsidR="00FB67F9" w:rsidRDefault="00FB67F9">
            <w:pPr>
              <w:rPr>
                <w:rFonts w:ascii="Times New Roman" w:hAnsi="Times New Roman"/>
                <w:sz w:val="20"/>
                <w:szCs w:val="20"/>
              </w:rPr>
            </w:pPr>
          </w:p>
        </w:tc>
        <w:tc>
          <w:tcPr>
            <w:tcW w:w="50" w:type="pct"/>
            <w:shd w:val="clear" w:color="auto" w:fill="auto"/>
            <w:vAlign w:val="center"/>
          </w:tcPr>
          <w:p w14:paraId="606F70AB" w14:textId="77777777" w:rsidR="00FB67F9" w:rsidRDefault="00FB67F9">
            <w:pPr>
              <w:rPr>
                <w:rFonts w:ascii="Times New Roman" w:hAnsi="Times New Roman"/>
                <w:sz w:val="20"/>
                <w:szCs w:val="20"/>
              </w:rPr>
            </w:pPr>
          </w:p>
        </w:tc>
        <w:tc>
          <w:tcPr>
            <w:tcW w:w="700" w:type="pct"/>
            <w:shd w:val="clear" w:color="auto" w:fill="auto"/>
            <w:vAlign w:val="center"/>
          </w:tcPr>
          <w:p w14:paraId="606F70AC" w14:textId="77777777" w:rsidR="00FB67F9" w:rsidRDefault="00FB67F9">
            <w:pPr>
              <w:rPr>
                <w:rFonts w:ascii="Times New Roman" w:hAnsi="Times New Roman"/>
                <w:sz w:val="20"/>
                <w:szCs w:val="20"/>
              </w:rPr>
            </w:pPr>
          </w:p>
        </w:tc>
        <w:tc>
          <w:tcPr>
            <w:tcW w:w="50" w:type="pct"/>
            <w:shd w:val="clear" w:color="auto" w:fill="auto"/>
            <w:vAlign w:val="center"/>
          </w:tcPr>
          <w:p w14:paraId="606F70AD" w14:textId="77777777" w:rsidR="00FB67F9" w:rsidRDefault="00FB67F9">
            <w:pPr>
              <w:rPr>
                <w:rFonts w:ascii="Times New Roman" w:hAnsi="Times New Roman"/>
                <w:sz w:val="20"/>
                <w:szCs w:val="20"/>
              </w:rPr>
            </w:pPr>
          </w:p>
        </w:tc>
        <w:tc>
          <w:tcPr>
            <w:tcW w:w="50" w:type="pct"/>
            <w:shd w:val="clear" w:color="auto" w:fill="auto"/>
            <w:vAlign w:val="center"/>
          </w:tcPr>
          <w:p w14:paraId="606F70AE" w14:textId="77777777" w:rsidR="00FB67F9" w:rsidRDefault="00FB67F9">
            <w:pPr>
              <w:rPr>
                <w:rFonts w:ascii="Times New Roman" w:hAnsi="Times New Roman"/>
                <w:sz w:val="20"/>
                <w:szCs w:val="20"/>
              </w:rPr>
            </w:pPr>
          </w:p>
        </w:tc>
        <w:tc>
          <w:tcPr>
            <w:tcW w:w="50" w:type="pct"/>
            <w:shd w:val="clear" w:color="auto" w:fill="auto"/>
            <w:vAlign w:val="center"/>
          </w:tcPr>
          <w:p w14:paraId="606F70AF" w14:textId="77777777" w:rsidR="00FB67F9" w:rsidRDefault="00FB67F9">
            <w:pPr>
              <w:rPr>
                <w:rFonts w:ascii="Times New Roman" w:hAnsi="Times New Roman"/>
                <w:sz w:val="20"/>
                <w:szCs w:val="20"/>
              </w:rPr>
            </w:pPr>
          </w:p>
        </w:tc>
        <w:tc>
          <w:tcPr>
            <w:tcW w:w="700" w:type="pct"/>
            <w:shd w:val="clear" w:color="auto" w:fill="auto"/>
            <w:vAlign w:val="center"/>
          </w:tcPr>
          <w:p w14:paraId="606F70B0" w14:textId="77777777" w:rsidR="00FB67F9" w:rsidRDefault="00FB67F9">
            <w:pPr>
              <w:rPr>
                <w:rFonts w:ascii="Times New Roman" w:hAnsi="Times New Roman"/>
                <w:sz w:val="20"/>
                <w:szCs w:val="20"/>
              </w:rPr>
            </w:pPr>
          </w:p>
        </w:tc>
        <w:tc>
          <w:tcPr>
            <w:tcW w:w="50" w:type="pct"/>
            <w:shd w:val="clear" w:color="auto" w:fill="auto"/>
            <w:vAlign w:val="center"/>
          </w:tcPr>
          <w:p w14:paraId="606F70B1" w14:textId="77777777" w:rsidR="00FB67F9" w:rsidRDefault="00FB67F9">
            <w:pPr>
              <w:rPr>
                <w:rFonts w:ascii="Times New Roman" w:hAnsi="Times New Roman"/>
                <w:sz w:val="20"/>
                <w:szCs w:val="20"/>
              </w:rPr>
            </w:pPr>
          </w:p>
        </w:tc>
      </w:tr>
      <w:tr w:rsidR="00FB67F9" w14:paraId="606F70B7" w14:textId="77777777">
        <w:tc>
          <w:tcPr>
            <w:tcW w:w="0" w:type="auto"/>
            <w:shd w:val="clear" w:color="auto" w:fill="auto"/>
            <w:tcMar>
              <w:top w:w="40" w:type="dxa"/>
              <w:left w:w="40" w:type="dxa"/>
              <w:bottom w:w="40" w:type="dxa"/>
              <w:right w:w="40" w:type="dxa"/>
            </w:tcMar>
            <w:vAlign w:val="bottom"/>
          </w:tcPr>
          <w:p w14:paraId="606F70B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0B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w:t>
            </w:r>
          </w:p>
        </w:tc>
        <w:tc>
          <w:tcPr>
            <w:tcW w:w="0" w:type="auto"/>
            <w:shd w:val="clear" w:color="auto" w:fill="auto"/>
            <w:tcMar>
              <w:top w:w="40" w:type="dxa"/>
              <w:left w:w="40" w:type="dxa"/>
              <w:bottom w:w="40" w:type="dxa"/>
              <w:right w:w="40" w:type="dxa"/>
            </w:tcMar>
            <w:vAlign w:val="bottom"/>
          </w:tcPr>
          <w:p w14:paraId="606F70B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0B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FB67F9" w14:paraId="606F70B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0B8"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0B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0B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0B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FB67F9" w14:paraId="606F70C5"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0BD" w14:textId="77777777" w:rsidR="00FB67F9" w:rsidRDefault="00E839DF">
            <w:pPr>
              <w:textAlignment w:val="bottom"/>
              <w:rPr>
                <w:rFonts w:ascii="Times New Roman" w:hAnsi="Times New Roman"/>
                <w:sz w:val="17"/>
                <w:szCs w:val="17"/>
              </w:rPr>
            </w:pPr>
            <w:r>
              <w:rPr>
                <w:rFonts w:ascii="Arial" w:eastAsia="宋体" w:hAnsi="Arial" w:cs="Arial"/>
                <w:sz w:val="17"/>
                <w:szCs w:val="17"/>
              </w:rPr>
              <w:t>Sales-related reserves</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70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70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1,256</w:t>
            </w:r>
          </w:p>
        </w:tc>
        <w:tc>
          <w:tcPr>
            <w:tcW w:w="0" w:type="auto"/>
            <w:tcBorders>
              <w:top w:val="single" w:sz="8" w:space="0" w:color="E87722"/>
              <w:bottom w:val="single" w:sz="8" w:space="0" w:color="808080"/>
            </w:tcBorders>
            <w:shd w:val="clear" w:color="auto" w:fill="FFF1E7"/>
            <w:vAlign w:val="bottom"/>
          </w:tcPr>
          <w:p w14:paraId="606F70C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0C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0C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0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1,218</w:t>
            </w:r>
          </w:p>
        </w:tc>
        <w:tc>
          <w:tcPr>
            <w:tcW w:w="0" w:type="auto"/>
            <w:tcBorders>
              <w:top w:val="single" w:sz="8" w:space="0" w:color="E87722"/>
              <w:bottom w:val="single" w:sz="8" w:space="0" w:color="808080"/>
            </w:tcBorders>
            <w:shd w:val="clear" w:color="auto" w:fill="auto"/>
            <w:vAlign w:val="bottom"/>
          </w:tcPr>
          <w:p w14:paraId="606F70C4" w14:textId="77777777" w:rsidR="00FB67F9" w:rsidRDefault="00FB67F9">
            <w:pPr>
              <w:textAlignment w:val="bottom"/>
              <w:rPr>
                <w:rFonts w:ascii="Times New Roman" w:hAnsi="Times New Roman"/>
                <w:sz w:val="20"/>
                <w:szCs w:val="20"/>
              </w:rPr>
            </w:pPr>
          </w:p>
        </w:tc>
      </w:tr>
      <w:tr w:rsidR="00FB67F9" w14:paraId="606F70CC"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C6" w14:textId="77777777" w:rsidR="00FB67F9" w:rsidRDefault="00E839DF">
            <w:pPr>
              <w:textAlignment w:val="bottom"/>
              <w:rPr>
                <w:rFonts w:ascii="Times New Roman" w:hAnsi="Times New Roman"/>
                <w:sz w:val="17"/>
                <w:szCs w:val="17"/>
              </w:rPr>
            </w:pPr>
            <w:r>
              <w:rPr>
                <w:rFonts w:ascii="Arial" w:eastAsia="宋体" w:hAnsi="Arial" w:cs="Arial"/>
                <w:sz w:val="17"/>
                <w:szCs w:val="17"/>
              </w:rPr>
              <w:t>Compensation and benefits, excluding taxes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0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1,040</w:t>
            </w:r>
          </w:p>
        </w:tc>
        <w:tc>
          <w:tcPr>
            <w:tcW w:w="0" w:type="auto"/>
            <w:tcBorders>
              <w:top w:val="single" w:sz="8" w:space="0" w:color="808080"/>
              <w:bottom w:val="single" w:sz="8" w:space="0" w:color="808080"/>
            </w:tcBorders>
            <w:shd w:val="clear" w:color="auto" w:fill="FFF1E7"/>
            <w:vAlign w:val="bottom"/>
          </w:tcPr>
          <w:p w14:paraId="606F70C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1,232</w:t>
            </w:r>
          </w:p>
        </w:tc>
        <w:tc>
          <w:tcPr>
            <w:tcW w:w="0" w:type="auto"/>
            <w:tcBorders>
              <w:top w:val="single" w:sz="8" w:space="0" w:color="808080"/>
              <w:bottom w:val="single" w:sz="8" w:space="0" w:color="808080"/>
            </w:tcBorders>
            <w:shd w:val="clear" w:color="auto" w:fill="auto"/>
            <w:vAlign w:val="bottom"/>
          </w:tcPr>
          <w:p w14:paraId="606F70CB" w14:textId="77777777" w:rsidR="00FB67F9" w:rsidRDefault="00FB67F9">
            <w:pPr>
              <w:textAlignment w:val="bottom"/>
              <w:rPr>
                <w:rFonts w:ascii="Times New Roman" w:hAnsi="Times New Roman"/>
                <w:sz w:val="20"/>
                <w:szCs w:val="20"/>
              </w:rPr>
            </w:pPr>
          </w:p>
        </w:tc>
      </w:tr>
      <w:tr w:rsidR="00FB67F9" w14:paraId="606F70D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CD" w14:textId="77777777" w:rsidR="00FB67F9" w:rsidRDefault="00E839DF">
            <w:pPr>
              <w:textAlignment w:val="bottom"/>
              <w:rPr>
                <w:rFonts w:ascii="Times New Roman" w:hAnsi="Times New Roman"/>
                <w:sz w:val="17"/>
                <w:szCs w:val="17"/>
              </w:rPr>
            </w:pPr>
            <w:r>
              <w:rPr>
                <w:rFonts w:ascii="Arial" w:eastAsia="宋体" w:hAnsi="Arial" w:cs="Arial"/>
                <w:sz w:val="17"/>
                <w:szCs w:val="17"/>
              </w:rPr>
              <w:t>Dividends payable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0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384</w:t>
            </w:r>
          </w:p>
        </w:tc>
        <w:tc>
          <w:tcPr>
            <w:tcW w:w="0" w:type="auto"/>
            <w:tcBorders>
              <w:top w:val="single" w:sz="8" w:space="0" w:color="808080"/>
              <w:bottom w:val="single" w:sz="8" w:space="0" w:color="808080"/>
            </w:tcBorders>
            <w:shd w:val="clear" w:color="auto" w:fill="FFF1E7"/>
            <w:vAlign w:val="bottom"/>
          </w:tcPr>
          <w:p w14:paraId="606F70C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D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D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346</w:t>
            </w:r>
          </w:p>
        </w:tc>
        <w:tc>
          <w:tcPr>
            <w:tcW w:w="0" w:type="auto"/>
            <w:tcBorders>
              <w:top w:val="single" w:sz="8" w:space="0" w:color="808080"/>
              <w:bottom w:val="single" w:sz="8" w:space="0" w:color="808080"/>
            </w:tcBorders>
            <w:shd w:val="clear" w:color="auto" w:fill="auto"/>
            <w:vAlign w:val="bottom"/>
          </w:tcPr>
          <w:p w14:paraId="606F70D2" w14:textId="77777777" w:rsidR="00FB67F9" w:rsidRDefault="00FB67F9">
            <w:pPr>
              <w:textAlignment w:val="bottom"/>
              <w:rPr>
                <w:rFonts w:ascii="Times New Roman" w:hAnsi="Times New Roman"/>
                <w:sz w:val="20"/>
                <w:szCs w:val="20"/>
              </w:rPr>
            </w:pPr>
          </w:p>
        </w:tc>
      </w:tr>
      <w:tr w:rsidR="00FB67F9" w14:paraId="606F70D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0D4"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Endorsement </w:t>
            </w:r>
            <w:r>
              <w:rPr>
                <w:rFonts w:ascii="Arial" w:eastAsia="宋体" w:hAnsi="Arial" w:cs="Arial"/>
                <w:sz w:val="17"/>
                <w:szCs w:val="17"/>
              </w:rPr>
              <w:t>compensation</w:t>
            </w:r>
          </w:p>
        </w:tc>
        <w:tc>
          <w:tcPr>
            <w:tcW w:w="0" w:type="auto"/>
            <w:gridSpan w:val="2"/>
            <w:tcBorders>
              <w:top w:val="single" w:sz="8" w:space="0" w:color="808080"/>
            </w:tcBorders>
            <w:shd w:val="clear" w:color="auto" w:fill="FFF1E7"/>
            <w:tcMar>
              <w:top w:w="40" w:type="dxa"/>
              <w:left w:w="40" w:type="dxa"/>
              <w:bottom w:w="40" w:type="dxa"/>
            </w:tcMar>
            <w:vAlign w:val="bottom"/>
          </w:tcPr>
          <w:p w14:paraId="606F70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359</w:t>
            </w:r>
          </w:p>
        </w:tc>
        <w:tc>
          <w:tcPr>
            <w:tcW w:w="0" w:type="auto"/>
            <w:tcBorders>
              <w:top w:val="single" w:sz="8" w:space="0" w:color="808080"/>
            </w:tcBorders>
            <w:shd w:val="clear" w:color="auto" w:fill="FFF1E7"/>
            <w:vAlign w:val="bottom"/>
          </w:tcPr>
          <w:p w14:paraId="606F70D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0D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70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424</w:t>
            </w:r>
          </w:p>
        </w:tc>
        <w:tc>
          <w:tcPr>
            <w:tcW w:w="0" w:type="auto"/>
            <w:tcBorders>
              <w:top w:val="single" w:sz="8" w:space="0" w:color="808080"/>
            </w:tcBorders>
            <w:shd w:val="clear" w:color="auto" w:fill="auto"/>
            <w:vAlign w:val="bottom"/>
          </w:tcPr>
          <w:p w14:paraId="606F70D9" w14:textId="77777777" w:rsidR="00FB67F9" w:rsidRDefault="00FB67F9">
            <w:pPr>
              <w:textAlignment w:val="bottom"/>
              <w:rPr>
                <w:rFonts w:ascii="Times New Roman" w:hAnsi="Times New Roman"/>
                <w:sz w:val="20"/>
                <w:szCs w:val="20"/>
              </w:rPr>
            </w:pPr>
          </w:p>
        </w:tc>
      </w:tr>
      <w:tr w:rsidR="00FB67F9" w14:paraId="606F70E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0DB" w14:textId="77777777" w:rsidR="00FB67F9" w:rsidRDefault="00E839DF">
            <w:pPr>
              <w:textAlignment w:val="bottom"/>
              <w:rPr>
                <w:rFonts w:ascii="Times New Roman" w:hAnsi="Times New Roman"/>
                <w:sz w:val="17"/>
                <w:szCs w:val="17"/>
              </w:rPr>
            </w:pPr>
            <w:r>
              <w:rPr>
                <w:rFonts w:ascii="Arial" w:eastAsia="宋体" w:hAnsi="Arial" w:cs="Arial"/>
                <w:sz w:val="17"/>
                <w:szCs w:val="17"/>
              </w:rPr>
              <w:t>Import and logistics costs</w:t>
            </w:r>
          </w:p>
        </w:tc>
        <w:tc>
          <w:tcPr>
            <w:tcW w:w="0" w:type="auto"/>
            <w:gridSpan w:val="2"/>
            <w:tcBorders>
              <w:top w:val="single" w:sz="8" w:space="0" w:color="808080"/>
            </w:tcBorders>
            <w:shd w:val="clear" w:color="auto" w:fill="FFF1E7"/>
            <w:tcMar>
              <w:top w:w="40" w:type="dxa"/>
              <w:left w:w="40" w:type="dxa"/>
              <w:bottom w:w="40" w:type="dxa"/>
            </w:tcMar>
            <w:vAlign w:val="bottom"/>
          </w:tcPr>
          <w:p w14:paraId="606F70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352</w:t>
            </w:r>
          </w:p>
        </w:tc>
        <w:tc>
          <w:tcPr>
            <w:tcW w:w="0" w:type="auto"/>
            <w:tcBorders>
              <w:top w:val="single" w:sz="8" w:space="0" w:color="808080"/>
            </w:tcBorders>
            <w:shd w:val="clear" w:color="auto" w:fill="FFF1E7"/>
            <w:vAlign w:val="bottom"/>
          </w:tcPr>
          <w:p w14:paraId="606F70D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0D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70D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296</w:t>
            </w:r>
          </w:p>
        </w:tc>
        <w:tc>
          <w:tcPr>
            <w:tcW w:w="0" w:type="auto"/>
            <w:tcBorders>
              <w:top w:val="single" w:sz="8" w:space="0" w:color="808080"/>
            </w:tcBorders>
            <w:shd w:val="clear" w:color="auto" w:fill="auto"/>
            <w:vAlign w:val="bottom"/>
          </w:tcPr>
          <w:p w14:paraId="606F70E0" w14:textId="77777777" w:rsidR="00FB67F9" w:rsidRDefault="00FB67F9">
            <w:pPr>
              <w:textAlignment w:val="bottom"/>
              <w:rPr>
                <w:rFonts w:ascii="Times New Roman" w:hAnsi="Times New Roman"/>
                <w:sz w:val="20"/>
                <w:szCs w:val="20"/>
              </w:rPr>
            </w:pPr>
          </w:p>
        </w:tc>
      </w:tr>
      <w:tr w:rsidR="00FB67F9" w14:paraId="606F70E8"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E2" w14:textId="77777777" w:rsidR="00FB67F9" w:rsidRDefault="00E839DF">
            <w:pPr>
              <w:textAlignment w:val="bottom"/>
              <w:rPr>
                <w:rFonts w:ascii="Times New Roman" w:hAnsi="Times New Roman"/>
                <w:sz w:val="17"/>
                <w:szCs w:val="17"/>
              </w:rPr>
            </w:pPr>
            <w:r>
              <w:rPr>
                <w:rFonts w:ascii="Arial" w:eastAsia="宋体" w:hAnsi="Arial" w:cs="Arial"/>
                <w:sz w:val="17"/>
                <w:szCs w:val="17"/>
              </w:rPr>
              <w:t>Taxes other than income taxes payable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0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293</w:t>
            </w:r>
          </w:p>
        </w:tc>
        <w:tc>
          <w:tcPr>
            <w:tcW w:w="0" w:type="auto"/>
            <w:tcBorders>
              <w:top w:val="single" w:sz="8" w:space="0" w:color="808080"/>
              <w:bottom w:val="single" w:sz="8" w:space="0" w:color="808080"/>
            </w:tcBorders>
            <w:shd w:val="clear" w:color="auto" w:fill="FFF1E7"/>
            <w:vAlign w:val="bottom"/>
          </w:tcPr>
          <w:p w14:paraId="606F70E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E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E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234</w:t>
            </w:r>
          </w:p>
        </w:tc>
        <w:tc>
          <w:tcPr>
            <w:tcW w:w="0" w:type="auto"/>
            <w:tcBorders>
              <w:top w:val="single" w:sz="8" w:space="0" w:color="808080"/>
              <w:bottom w:val="single" w:sz="8" w:space="0" w:color="808080"/>
            </w:tcBorders>
            <w:shd w:val="clear" w:color="auto" w:fill="auto"/>
            <w:vAlign w:val="bottom"/>
          </w:tcPr>
          <w:p w14:paraId="606F70E7" w14:textId="77777777" w:rsidR="00FB67F9" w:rsidRDefault="00FB67F9">
            <w:pPr>
              <w:textAlignment w:val="bottom"/>
              <w:rPr>
                <w:rFonts w:ascii="Times New Roman" w:hAnsi="Times New Roman"/>
                <w:sz w:val="20"/>
                <w:szCs w:val="20"/>
              </w:rPr>
            </w:pPr>
          </w:p>
        </w:tc>
      </w:tr>
      <w:tr w:rsidR="00FB67F9" w14:paraId="606F70E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E9" w14:textId="77777777" w:rsidR="00FB67F9" w:rsidRDefault="00E839DF">
            <w:pPr>
              <w:textAlignment w:val="bottom"/>
              <w:rPr>
                <w:rFonts w:ascii="Times New Roman" w:hAnsi="Times New Roman"/>
                <w:sz w:val="17"/>
                <w:szCs w:val="17"/>
              </w:rPr>
            </w:pPr>
            <w:r>
              <w:rPr>
                <w:rFonts w:ascii="Arial" w:eastAsia="宋体" w:hAnsi="Arial" w:cs="Arial"/>
                <w:sz w:val="17"/>
                <w:szCs w:val="17"/>
              </w:rPr>
              <w:t>Advertising and marketing</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0E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134</w:t>
            </w:r>
          </w:p>
        </w:tc>
        <w:tc>
          <w:tcPr>
            <w:tcW w:w="0" w:type="auto"/>
            <w:tcBorders>
              <w:top w:val="single" w:sz="8" w:space="0" w:color="808080"/>
              <w:bottom w:val="single" w:sz="8" w:space="0" w:color="808080"/>
            </w:tcBorders>
            <w:shd w:val="clear" w:color="auto" w:fill="FFF1E7"/>
            <w:vAlign w:val="bottom"/>
          </w:tcPr>
          <w:p w14:paraId="606F70E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E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E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114</w:t>
            </w:r>
          </w:p>
        </w:tc>
        <w:tc>
          <w:tcPr>
            <w:tcW w:w="0" w:type="auto"/>
            <w:tcBorders>
              <w:top w:val="single" w:sz="8" w:space="0" w:color="808080"/>
              <w:bottom w:val="single" w:sz="8" w:space="0" w:color="808080"/>
            </w:tcBorders>
            <w:shd w:val="clear" w:color="auto" w:fill="auto"/>
            <w:vAlign w:val="bottom"/>
          </w:tcPr>
          <w:p w14:paraId="606F70EE" w14:textId="77777777" w:rsidR="00FB67F9" w:rsidRDefault="00FB67F9">
            <w:pPr>
              <w:textAlignment w:val="bottom"/>
              <w:rPr>
                <w:rFonts w:ascii="Times New Roman" w:hAnsi="Times New Roman"/>
                <w:sz w:val="20"/>
                <w:szCs w:val="20"/>
              </w:rPr>
            </w:pPr>
          </w:p>
        </w:tc>
      </w:tr>
      <w:tr w:rsidR="00FB67F9" w14:paraId="606F70F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F0" w14:textId="77777777" w:rsidR="00FB67F9" w:rsidRDefault="00E839DF">
            <w:pPr>
              <w:textAlignment w:val="bottom"/>
              <w:rPr>
                <w:rFonts w:ascii="Times New Roman" w:hAnsi="Times New Roman"/>
                <w:sz w:val="17"/>
                <w:szCs w:val="17"/>
              </w:rPr>
            </w:pPr>
            <w:r>
              <w:rPr>
                <w:rFonts w:ascii="Arial" w:eastAsia="宋体" w:hAnsi="Arial" w:cs="Arial"/>
                <w:sz w:val="17"/>
                <w:szCs w:val="17"/>
              </w:rPr>
              <w:t>Collateral received from counterparties to hedging instruments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0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122</w:t>
            </w:r>
          </w:p>
        </w:tc>
        <w:tc>
          <w:tcPr>
            <w:tcW w:w="0" w:type="auto"/>
            <w:tcBorders>
              <w:top w:val="single" w:sz="8" w:space="0" w:color="808080"/>
              <w:bottom w:val="single" w:sz="8" w:space="0" w:color="808080"/>
            </w:tcBorders>
            <w:shd w:val="clear" w:color="auto" w:fill="FFF1E7"/>
            <w:vAlign w:val="bottom"/>
          </w:tcPr>
          <w:p w14:paraId="606F70F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F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F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289</w:t>
            </w:r>
          </w:p>
        </w:tc>
        <w:tc>
          <w:tcPr>
            <w:tcW w:w="0" w:type="auto"/>
            <w:tcBorders>
              <w:top w:val="single" w:sz="8" w:space="0" w:color="808080"/>
              <w:bottom w:val="single" w:sz="8" w:space="0" w:color="808080"/>
            </w:tcBorders>
            <w:shd w:val="clear" w:color="auto" w:fill="auto"/>
            <w:vAlign w:val="bottom"/>
          </w:tcPr>
          <w:p w14:paraId="606F70F5" w14:textId="77777777" w:rsidR="00FB67F9" w:rsidRDefault="00FB67F9">
            <w:pPr>
              <w:textAlignment w:val="bottom"/>
              <w:rPr>
                <w:rFonts w:ascii="Times New Roman" w:hAnsi="Times New Roman"/>
                <w:sz w:val="20"/>
                <w:szCs w:val="20"/>
              </w:rPr>
            </w:pPr>
          </w:p>
        </w:tc>
      </w:tr>
      <w:tr w:rsidR="00FB67F9" w14:paraId="606F70F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F7"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Fair value of </w:t>
            </w:r>
            <w:r>
              <w:rPr>
                <w:rFonts w:ascii="Arial" w:eastAsia="宋体" w:hAnsi="Arial" w:cs="Arial"/>
                <w:sz w:val="17"/>
                <w:szCs w:val="17"/>
              </w:rPr>
              <w:t>derivatives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0F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72</w:t>
            </w:r>
          </w:p>
        </w:tc>
        <w:tc>
          <w:tcPr>
            <w:tcW w:w="0" w:type="auto"/>
            <w:tcBorders>
              <w:top w:val="single" w:sz="8" w:space="0" w:color="808080"/>
              <w:bottom w:val="single" w:sz="8" w:space="0" w:color="808080"/>
            </w:tcBorders>
            <w:shd w:val="clear" w:color="auto" w:fill="FFF1E7"/>
            <w:vAlign w:val="bottom"/>
          </w:tcPr>
          <w:p w14:paraId="606F70F9"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0F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0F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w:t>
            </w:r>
          </w:p>
        </w:tc>
        <w:tc>
          <w:tcPr>
            <w:tcW w:w="0" w:type="auto"/>
            <w:tcBorders>
              <w:top w:val="single" w:sz="8" w:space="0" w:color="808080"/>
              <w:bottom w:val="single" w:sz="8" w:space="0" w:color="808080"/>
            </w:tcBorders>
            <w:shd w:val="clear" w:color="auto" w:fill="auto"/>
            <w:vAlign w:val="bottom"/>
          </w:tcPr>
          <w:p w14:paraId="606F70FC" w14:textId="77777777" w:rsidR="00FB67F9" w:rsidRDefault="00FB67F9">
            <w:pPr>
              <w:textAlignment w:val="bottom"/>
              <w:rPr>
                <w:rFonts w:ascii="Times New Roman" w:hAnsi="Times New Roman"/>
                <w:sz w:val="20"/>
                <w:szCs w:val="20"/>
              </w:rPr>
            </w:pPr>
          </w:p>
        </w:tc>
      </w:tr>
      <w:tr w:rsidR="00FB67F9" w14:paraId="606F7104" w14:textId="77777777">
        <w:tc>
          <w:tcPr>
            <w:tcW w:w="0" w:type="auto"/>
            <w:shd w:val="clear" w:color="auto" w:fill="auto"/>
            <w:tcMar>
              <w:top w:w="40" w:type="dxa"/>
              <w:left w:w="40" w:type="dxa"/>
              <w:bottom w:w="40" w:type="dxa"/>
              <w:right w:w="40" w:type="dxa"/>
            </w:tcMar>
            <w:vAlign w:val="bottom"/>
          </w:tcPr>
          <w:p w14:paraId="606F70FE"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r>
              <w:rPr>
                <w:rFonts w:ascii="Arial" w:eastAsia="宋体" w:hAnsi="Arial" w:cs="Arial"/>
                <w:sz w:val="15"/>
                <w:szCs w:val="15"/>
              </w:rPr>
              <w:t>(1)</w:t>
            </w:r>
          </w:p>
        </w:tc>
        <w:tc>
          <w:tcPr>
            <w:tcW w:w="0" w:type="auto"/>
            <w:gridSpan w:val="2"/>
            <w:shd w:val="clear" w:color="auto" w:fill="FFF1E7"/>
            <w:tcMar>
              <w:top w:w="40" w:type="dxa"/>
              <w:left w:w="40" w:type="dxa"/>
              <w:bottom w:w="40" w:type="dxa"/>
            </w:tcMar>
            <w:vAlign w:val="bottom"/>
          </w:tcPr>
          <w:p w14:paraId="606F70F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660</w:t>
            </w:r>
          </w:p>
        </w:tc>
        <w:tc>
          <w:tcPr>
            <w:tcW w:w="0" w:type="auto"/>
            <w:shd w:val="clear" w:color="auto" w:fill="FFF1E7"/>
            <w:vAlign w:val="bottom"/>
          </w:tcPr>
          <w:p w14:paraId="606F7100"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10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710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805</w:t>
            </w:r>
          </w:p>
        </w:tc>
        <w:tc>
          <w:tcPr>
            <w:tcW w:w="0" w:type="auto"/>
            <w:shd w:val="clear" w:color="auto" w:fill="auto"/>
            <w:vAlign w:val="bottom"/>
          </w:tcPr>
          <w:p w14:paraId="606F7103" w14:textId="77777777" w:rsidR="00FB67F9" w:rsidRDefault="00FB67F9">
            <w:pPr>
              <w:textAlignment w:val="bottom"/>
              <w:rPr>
                <w:rFonts w:ascii="Times New Roman" w:hAnsi="Times New Roman"/>
                <w:sz w:val="20"/>
                <w:szCs w:val="20"/>
              </w:rPr>
            </w:pPr>
          </w:p>
        </w:tc>
      </w:tr>
      <w:tr w:rsidR="00FB67F9" w14:paraId="606F710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10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10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10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4,672</w:t>
            </w:r>
          </w:p>
        </w:tc>
        <w:tc>
          <w:tcPr>
            <w:tcW w:w="0" w:type="auto"/>
            <w:tcBorders>
              <w:top w:val="single" w:sz="8" w:space="0" w:color="E87722"/>
              <w:bottom w:val="single" w:sz="8" w:space="0" w:color="E87722"/>
            </w:tcBorders>
            <w:shd w:val="clear" w:color="auto" w:fill="FFF1E7"/>
            <w:vAlign w:val="bottom"/>
          </w:tcPr>
          <w:p w14:paraId="606F710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10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10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10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5,010</w:t>
            </w:r>
          </w:p>
        </w:tc>
        <w:tc>
          <w:tcPr>
            <w:tcW w:w="0" w:type="auto"/>
            <w:tcBorders>
              <w:top w:val="single" w:sz="8" w:space="0" w:color="E87722"/>
              <w:bottom w:val="single" w:sz="8" w:space="0" w:color="E87722"/>
            </w:tcBorders>
            <w:shd w:val="clear" w:color="auto" w:fill="auto"/>
            <w:vAlign w:val="bottom"/>
          </w:tcPr>
          <w:p w14:paraId="606F710C" w14:textId="77777777" w:rsidR="00FB67F9" w:rsidRDefault="00FB67F9">
            <w:pPr>
              <w:textAlignment w:val="bottom"/>
              <w:rPr>
                <w:rFonts w:ascii="Times New Roman" w:hAnsi="Times New Roman"/>
                <w:sz w:val="20"/>
                <w:szCs w:val="20"/>
              </w:rPr>
            </w:pPr>
          </w:p>
        </w:tc>
      </w:tr>
    </w:tbl>
    <w:p w14:paraId="606F710E"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111" w14:textId="77777777">
        <w:trPr>
          <w:tblCellSpacing w:w="0" w:type="dxa"/>
        </w:trPr>
        <w:tc>
          <w:tcPr>
            <w:tcW w:w="480" w:type="dxa"/>
            <w:shd w:val="clear" w:color="auto" w:fill="auto"/>
            <w:vAlign w:val="center"/>
          </w:tcPr>
          <w:p w14:paraId="606F710F" w14:textId="77777777" w:rsidR="00FB67F9" w:rsidRDefault="00FB67F9">
            <w:pPr>
              <w:rPr>
                <w:rFonts w:ascii="Times New Roman" w:hAnsi="Times New Roman"/>
                <w:sz w:val="20"/>
                <w:szCs w:val="20"/>
              </w:rPr>
            </w:pPr>
          </w:p>
        </w:tc>
        <w:tc>
          <w:tcPr>
            <w:tcW w:w="0" w:type="auto"/>
            <w:shd w:val="clear" w:color="auto" w:fill="auto"/>
            <w:vAlign w:val="center"/>
          </w:tcPr>
          <w:p w14:paraId="606F7110" w14:textId="77777777" w:rsidR="00FB67F9" w:rsidRDefault="00FB67F9">
            <w:pPr>
              <w:rPr>
                <w:rFonts w:ascii="Times New Roman" w:hAnsi="Times New Roman"/>
                <w:sz w:val="20"/>
                <w:szCs w:val="20"/>
              </w:rPr>
            </w:pPr>
          </w:p>
        </w:tc>
      </w:tr>
      <w:tr w:rsidR="00FB67F9" w14:paraId="606F7114" w14:textId="77777777">
        <w:trPr>
          <w:tblCellSpacing w:w="0" w:type="dxa"/>
        </w:trPr>
        <w:tc>
          <w:tcPr>
            <w:tcW w:w="0" w:type="auto"/>
            <w:shd w:val="clear" w:color="auto" w:fill="auto"/>
          </w:tcPr>
          <w:p w14:paraId="606F7112"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113"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Other consists of various accrued expenses with no individual item accounting for more than 5% of the total Accrued liabilities balance at </w:t>
            </w:r>
            <w:r>
              <w:rPr>
                <w:rFonts w:ascii="Arial" w:eastAsia="宋体" w:hAnsi="Arial" w:cs="Arial"/>
                <w:i/>
                <w:iCs/>
                <w:color w:val="000000"/>
                <w:sz w:val="14"/>
                <w:szCs w:val="14"/>
              </w:rPr>
              <w:t>November 30, 2019 and May 31, 2019.</w:t>
            </w:r>
          </w:p>
        </w:tc>
      </w:tr>
    </w:tbl>
    <w:p w14:paraId="606F7115"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8306"/>
      </w:tblGrid>
      <w:tr w:rsidR="00FB67F9" w14:paraId="606F7117" w14:textId="77777777">
        <w:tc>
          <w:tcPr>
            <w:tcW w:w="0" w:type="auto"/>
            <w:shd w:val="clear" w:color="auto" w:fill="auto"/>
            <w:vAlign w:val="center"/>
          </w:tcPr>
          <w:p w14:paraId="606F7116" w14:textId="77777777" w:rsidR="00FB67F9" w:rsidRDefault="00FB67F9">
            <w:pPr>
              <w:rPr>
                <w:rFonts w:ascii="Times New Roman" w:hAnsi="Times New Roman"/>
                <w:sz w:val="20"/>
                <w:szCs w:val="20"/>
              </w:rPr>
            </w:pPr>
          </w:p>
        </w:tc>
      </w:tr>
      <w:tr w:rsidR="00FB67F9" w14:paraId="606F7119" w14:textId="77777777">
        <w:tc>
          <w:tcPr>
            <w:tcW w:w="5000" w:type="pct"/>
            <w:shd w:val="clear" w:color="auto" w:fill="auto"/>
            <w:vAlign w:val="center"/>
          </w:tcPr>
          <w:p w14:paraId="606F7118" w14:textId="77777777" w:rsidR="00FB67F9" w:rsidRDefault="00FB67F9">
            <w:pPr>
              <w:rPr>
                <w:rFonts w:ascii="Times New Roman" w:hAnsi="Times New Roman"/>
                <w:sz w:val="20"/>
                <w:szCs w:val="20"/>
              </w:rPr>
            </w:pPr>
          </w:p>
        </w:tc>
      </w:tr>
      <w:tr w:rsidR="00FB67F9" w14:paraId="606F711B" w14:textId="77777777">
        <w:tc>
          <w:tcPr>
            <w:tcW w:w="0" w:type="auto"/>
            <w:shd w:val="clear" w:color="auto" w:fill="auto"/>
            <w:tcMar>
              <w:top w:w="40" w:type="dxa"/>
              <w:left w:w="40" w:type="dxa"/>
              <w:bottom w:w="40" w:type="dxa"/>
              <w:right w:w="40" w:type="dxa"/>
            </w:tcMar>
            <w:vAlign w:val="bottom"/>
          </w:tcPr>
          <w:p w14:paraId="606F711A"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4 — FAIR VALUE MEASUREMENTS</w:t>
            </w:r>
          </w:p>
        </w:tc>
      </w:tr>
    </w:tbl>
    <w:p w14:paraId="606F711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Company measures certain financial assets and liabilities at fair value on a recurring basis, including derivatives, equity securities and available-for-sale debt </w:t>
      </w:r>
      <w:r>
        <w:rPr>
          <w:rFonts w:ascii="Arial" w:eastAsia="宋体" w:hAnsi="Arial" w:cs="Arial"/>
          <w:sz w:val="17"/>
          <w:szCs w:val="17"/>
        </w:rPr>
        <w:t>securities. For additional information about the Company's fair value policies refer to Note 1 — Summary of Significant Accounting Policies of the Annual Report on Form 10-K for the fiscal year ended May 31, 2019.</w:t>
      </w:r>
    </w:p>
    <w:p w14:paraId="606F711D"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following tables present </w:t>
      </w:r>
      <w:r>
        <w:rPr>
          <w:rFonts w:ascii="Arial" w:eastAsia="宋体" w:hAnsi="Arial" w:cs="Arial"/>
          <w:sz w:val="17"/>
          <w:szCs w:val="17"/>
        </w:rPr>
        <w:t>information about the Company's financial assets measured at fair value on a recurring basis as of November 30, 2019 and May 31, 2019, and indicate the level in the fair value hierarchy in which the Company classifies the fair value measurement:</w:t>
      </w:r>
    </w:p>
    <w:tbl>
      <w:tblPr>
        <w:tblW w:w="5000" w:type="pct"/>
        <w:tblCellMar>
          <w:left w:w="0" w:type="dxa"/>
          <w:right w:w="0" w:type="dxa"/>
        </w:tblCellMar>
        <w:tblLook w:val="04A0" w:firstRow="1" w:lastRow="0" w:firstColumn="1" w:lastColumn="0" w:noHBand="0" w:noVBand="1"/>
      </w:tblPr>
      <w:tblGrid>
        <w:gridCol w:w="3382"/>
        <w:gridCol w:w="135"/>
        <w:gridCol w:w="1389"/>
        <w:gridCol w:w="60"/>
        <w:gridCol w:w="136"/>
        <w:gridCol w:w="1390"/>
        <w:gridCol w:w="61"/>
        <w:gridCol w:w="136"/>
        <w:gridCol w:w="1556"/>
        <w:gridCol w:w="61"/>
      </w:tblGrid>
      <w:tr w:rsidR="00FB67F9" w14:paraId="606F711F" w14:textId="77777777">
        <w:tc>
          <w:tcPr>
            <w:tcW w:w="0" w:type="auto"/>
            <w:gridSpan w:val="10"/>
            <w:shd w:val="clear" w:color="auto" w:fill="auto"/>
            <w:vAlign w:val="center"/>
          </w:tcPr>
          <w:p w14:paraId="606F711E" w14:textId="77777777" w:rsidR="00FB67F9" w:rsidRDefault="00FB67F9">
            <w:pPr>
              <w:rPr>
                <w:rFonts w:ascii="Times New Roman" w:hAnsi="Times New Roman"/>
                <w:sz w:val="20"/>
                <w:szCs w:val="20"/>
              </w:rPr>
            </w:pPr>
          </w:p>
        </w:tc>
      </w:tr>
      <w:tr w:rsidR="00FB67F9" w14:paraId="606F712A" w14:textId="77777777">
        <w:tc>
          <w:tcPr>
            <w:tcW w:w="2050" w:type="pct"/>
            <w:shd w:val="clear" w:color="auto" w:fill="auto"/>
            <w:vAlign w:val="center"/>
          </w:tcPr>
          <w:p w14:paraId="606F7120" w14:textId="77777777" w:rsidR="00FB67F9" w:rsidRDefault="00FB67F9">
            <w:pPr>
              <w:rPr>
                <w:rFonts w:ascii="Times New Roman" w:hAnsi="Times New Roman"/>
                <w:sz w:val="20"/>
                <w:szCs w:val="20"/>
              </w:rPr>
            </w:pPr>
          </w:p>
        </w:tc>
        <w:tc>
          <w:tcPr>
            <w:tcW w:w="50" w:type="pct"/>
            <w:shd w:val="clear" w:color="auto" w:fill="auto"/>
            <w:vAlign w:val="center"/>
          </w:tcPr>
          <w:p w14:paraId="606F7121" w14:textId="77777777" w:rsidR="00FB67F9" w:rsidRDefault="00FB67F9">
            <w:pPr>
              <w:rPr>
                <w:rFonts w:ascii="Times New Roman" w:hAnsi="Times New Roman"/>
                <w:sz w:val="20"/>
                <w:szCs w:val="20"/>
              </w:rPr>
            </w:pPr>
          </w:p>
        </w:tc>
        <w:tc>
          <w:tcPr>
            <w:tcW w:w="850" w:type="pct"/>
            <w:shd w:val="clear" w:color="auto" w:fill="auto"/>
            <w:vAlign w:val="center"/>
          </w:tcPr>
          <w:p w14:paraId="606F7122" w14:textId="77777777" w:rsidR="00FB67F9" w:rsidRDefault="00FB67F9">
            <w:pPr>
              <w:rPr>
                <w:rFonts w:ascii="Times New Roman" w:hAnsi="Times New Roman"/>
                <w:sz w:val="20"/>
                <w:szCs w:val="20"/>
              </w:rPr>
            </w:pPr>
          </w:p>
        </w:tc>
        <w:tc>
          <w:tcPr>
            <w:tcW w:w="50" w:type="pct"/>
            <w:shd w:val="clear" w:color="auto" w:fill="auto"/>
            <w:vAlign w:val="center"/>
          </w:tcPr>
          <w:p w14:paraId="606F7123" w14:textId="77777777" w:rsidR="00FB67F9" w:rsidRDefault="00FB67F9">
            <w:pPr>
              <w:rPr>
                <w:rFonts w:ascii="Times New Roman" w:hAnsi="Times New Roman"/>
                <w:sz w:val="20"/>
                <w:szCs w:val="20"/>
              </w:rPr>
            </w:pPr>
          </w:p>
        </w:tc>
        <w:tc>
          <w:tcPr>
            <w:tcW w:w="50" w:type="pct"/>
            <w:shd w:val="clear" w:color="auto" w:fill="auto"/>
            <w:vAlign w:val="center"/>
          </w:tcPr>
          <w:p w14:paraId="606F7124" w14:textId="77777777" w:rsidR="00FB67F9" w:rsidRDefault="00FB67F9">
            <w:pPr>
              <w:rPr>
                <w:rFonts w:ascii="Times New Roman" w:hAnsi="Times New Roman"/>
                <w:sz w:val="20"/>
                <w:szCs w:val="20"/>
              </w:rPr>
            </w:pPr>
          </w:p>
        </w:tc>
        <w:tc>
          <w:tcPr>
            <w:tcW w:w="850" w:type="pct"/>
            <w:shd w:val="clear" w:color="auto" w:fill="auto"/>
            <w:vAlign w:val="center"/>
          </w:tcPr>
          <w:p w14:paraId="606F7125" w14:textId="77777777" w:rsidR="00FB67F9" w:rsidRDefault="00FB67F9">
            <w:pPr>
              <w:rPr>
                <w:rFonts w:ascii="Times New Roman" w:hAnsi="Times New Roman"/>
                <w:sz w:val="20"/>
                <w:szCs w:val="20"/>
              </w:rPr>
            </w:pPr>
          </w:p>
        </w:tc>
        <w:tc>
          <w:tcPr>
            <w:tcW w:w="50" w:type="pct"/>
            <w:shd w:val="clear" w:color="auto" w:fill="auto"/>
            <w:vAlign w:val="center"/>
          </w:tcPr>
          <w:p w14:paraId="606F7126" w14:textId="77777777" w:rsidR="00FB67F9" w:rsidRDefault="00FB67F9">
            <w:pPr>
              <w:rPr>
                <w:rFonts w:ascii="Times New Roman" w:hAnsi="Times New Roman"/>
                <w:sz w:val="20"/>
                <w:szCs w:val="20"/>
              </w:rPr>
            </w:pPr>
          </w:p>
        </w:tc>
        <w:tc>
          <w:tcPr>
            <w:tcW w:w="50" w:type="pct"/>
            <w:shd w:val="clear" w:color="auto" w:fill="auto"/>
            <w:vAlign w:val="center"/>
          </w:tcPr>
          <w:p w14:paraId="606F7127" w14:textId="77777777" w:rsidR="00FB67F9" w:rsidRDefault="00FB67F9">
            <w:pPr>
              <w:rPr>
                <w:rFonts w:ascii="Times New Roman" w:hAnsi="Times New Roman"/>
                <w:sz w:val="20"/>
                <w:szCs w:val="20"/>
              </w:rPr>
            </w:pPr>
          </w:p>
        </w:tc>
        <w:tc>
          <w:tcPr>
            <w:tcW w:w="950" w:type="pct"/>
            <w:shd w:val="clear" w:color="auto" w:fill="auto"/>
            <w:vAlign w:val="center"/>
          </w:tcPr>
          <w:p w14:paraId="606F7128" w14:textId="77777777" w:rsidR="00FB67F9" w:rsidRDefault="00FB67F9">
            <w:pPr>
              <w:rPr>
                <w:rFonts w:ascii="Times New Roman" w:hAnsi="Times New Roman"/>
                <w:sz w:val="20"/>
                <w:szCs w:val="20"/>
              </w:rPr>
            </w:pPr>
          </w:p>
        </w:tc>
        <w:tc>
          <w:tcPr>
            <w:tcW w:w="50" w:type="pct"/>
            <w:shd w:val="clear" w:color="auto" w:fill="auto"/>
            <w:vAlign w:val="center"/>
          </w:tcPr>
          <w:p w14:paraId="606F7129" w14:textId="77777777" w:rsidR="00FB67F9" w:rsidRDefault="00FB67F9">
            <w:pPr>
              <w:rPr>
                <w:rFonts w:ascii="Times New Roman" w:hAnsi="Times New Roman"/>
                <w:sz w:val="20"/>
                <w:szCs w:val="20"/>
              </w:rPr>
            </w:pPr>
          </w:p>
        </w:tc>
      </w:tr>
      <w:tr w:rsidR="00FB67F9" w14:paraId="606F712D" w14:textId="77777777">
        <w:tc>
          <w:tcPr>
            <w:tcW w:w="0" w:type="auto"/>
            <w:shd w:val="clear" w:color="auto" w:fill="auto"/>
            <w:tcMar>
              <w:top w:w="40" w:type="dxa"/>
              <w:left w:w="40" w:type="dxa"/>
              <w:bottom w:w="40" w:type="dxa"/>
              <w:right w:w="40" w:type="dxa"/>
            </w:tcMar>
            <w:vAlign w:val="bottom"/>
          </w:tcPr>
          <w:p w14:paraId="606F712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606F712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 2019</w:t>
            </w:r>
          </w:p>
        </w:tc>
      </w:tr>
      <w:tr w:rsidR="00FB67F9" w14:paraId="606F713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12E"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12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tcBorders>
              <w:bottom w:val="single" w:sz="8" w:space="0" w:color="E87722"/>
            </w:tcBorders>
            <w:shd w:val="clear" w:color="auto" w:fill="auto"/>
            <w:vAlign w:val="bottom"/>
          </w:tcPr>
          <w:p w14:paraId="606F7130"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13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CASH AND EQUIVALENTS</w:t>
            </w:r>
          </w:p>
        </w:tc>
        <w:tc>
          <w:tcPr>
            <w:tcW w:w="0" w:type="auto"/>
            <w:tcBorders>
              <w:bottom w:val="single" w:sz="8" w:space="0" w:color="E87722"/>
            </w:tcBorders>
            <w:shd w:val="clear" w:color="auto" w:fill="auto"/>
            <w:vAlign w:val="bottom"/>
          </w:tcPr>
          <w:p w14:paraId="606F7132"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13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SHORT-TERM INVESTMENTS</w:t>
            </w:r>
          </w:p>
        </w:tc>
        <w:tc>
          <w:tcPr>
            <w:tcW w:w="0" w:type="auto"/>
            <w:tcBorders>
              <w:bottom w:val="single" w:sz="8" w:space="0" w:color="E87722"/>
            </w:tcBorders>
            <w:shd w:val="clear" w:color="auto" w:fill="auto"/>
            <w:vAlign w:val="bottom"/>
          </w:tcPr>
          <w:p w14:paraId="606F7134" w14:textId="77777777" w:rsidR="00FB67F9" w:rsidRDefault="00FB67F9">
            <w:pPr>
              <w:textAlignment w:val="bottom"/>
              <w:rPr>
                <w:rFonts w:ascii="Times New Roman" w:hAnsi="Times New Roman"/>
                <w:sz w:val="20"/>
                <w:szCs w:val="20"/>
              </w:rPr>
            </w:pPr>
          </w:p>
        </w:tc>
      </w:tr>
      <w:tr w:rsidR="00FB67F9" w14:paraId="606F7140" w14:textId="77777777">
        <w:tc>
          <w:tcPr>
            <w:tcW w:w="0" w:type="auto"/>
            <w:shd w:val="clear" w:color="auto" w:fill="auto"/>
            <w:tcMar>
              <w:top w:w="40" w:type="dxa"/>
              <w:left w:w="40" w:type="dxa"/>
              <w:bottom w:w="40" w:type="dxa"/>
              <w:right w:w="40" w:type="dxa"/>
            </w:tcMar>
            <w:vAlign w:val="bottom"/>
          </w:tcPr>
          <w:p w14:paraId="606F7136" w14:textId="77777777" w:rsidR="00FB67F9" w:rsidRDefault="00E839DF">
            <w:pPr>
              <w:textAlignment w:val="bottom"/>
              <w:rPr>
                <w:rFonts w:ascii="Times New Roman" w:hAnsi="Times New Roman"/>
                <w:sz w:val="17"/>
                <w:szCs w:val="17"/>
              </w:rPr>
            </w:pPr>
            <w:r>
              <w:rPr>
                <w:rFonts w:ascii="Arial" w:eastAsia="宋体" w:hAnsi="Arial" w:cs="Arial"/>
                <w:sz w:val="17"/>
                <w:szCs w:val="17"/>
              </w:rPr>
              <w:t>Cash</w:t>
            </w:r>
          </w:p>
        </w:tc>
        <w:tc>
          <w:tcPr>
            <w:tcW w:w="0" w:type="auto"/>
            <w:shd w:val="clear" w:color="auto" w:fill="FFF1E7"/>
            <w:tcMar>
              <w:top w:w="40" w:type="dxa"/>
              <w:left w:w="40" w:type="dxa"/>
              <w:bottom w:w="40" w:type="dxa"/>
            </w:tcMar>
            <w:vAlign w:val="bottom"/>
          </w:tcPr>
          <w:p w14:paraId="606F713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713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584</w:t>
            </w:r>
          </w:p>
        </w:tc>
        <w:tc>
          <w:tcPr>
            <w:tcW w:w="0" w:type="auto"/>
            <w:shd w:val="clear" w:color="auto" w:fill="FFF1E7"/>
            <w:vAlign w:val="bottom"/>
          </w:tcPr>
          <w:p w14:paraId="606F7139" w14:textId="77777777" w:rsidR="00FB67F9" w:rsidRDefault="00FB67F9">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606F713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713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584</w:t>
            </w:r>
          </w:p>
        </w:tc>
        <w:tc>
          <w:tcPr>
            <w:tcW w:w="0" w:type="auto"/>
            <w:shd w:val="clear" w:color="auto" w:fill="FFF1E7"/>
            <w:vAlign w:val="bottom"/>
          </w:tcPr>
          <w:p w14:paraId="606F713C" w14:textId="77777777" w:rsidR="00FB67F9" w:rsidRDefault="00FB67F9">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606F713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713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13F" w14:textId="77777777" w:rsidR="00FB67F9" w:rsidRDefault="00FB67F9">
            <w:pPr>
              <w:textAlignment w:val="bottom"/>
              <w:rPr>
                <w:rFonts w:ascii="Times New Roman" w:hAnsi="Times New Roman"/>
                <w:sz w:val="20"/>
                <w:szCs w:val="20"/>
              </w:rPr>
            </w:pPr>
          </w:p>
        </w:tc>
      </w:tr>
      <w:tr w:rsidR="00FB67F9" w14:paraId="606F714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141" w14:textId="77777777" w:rsidR="00FB67F9" w:rsidRDefault="00E839DF">
            <w:pPr>
              <w:textAlignment w:val="bottom"/>
              <w:rPr>
                <w:rFonts w:ascii="Times New Roman" w:hAnsi="Times New Roman"/>
                <w:sz w:val="17"/>
                <w:szCs w:val="17"/>
              </w:rPr>
            </w:pPr>
            <w:r>
              <w:rPr>
                <w:rFonts w:ascii="Arial" w:eastAsia="宋体" w:hAnsi="Arial" w:cs="Arial"/>
                <w:sz w:val="17"/>
                <w:szCs w:val="17"/>
                <w:u w:val="single"/>
              </w:rPr>
              <w:t>Level 1:</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14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14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14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14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146" w14:textId="77777777" w:rsidR="00FB67F9" w:rsidRDefault="00E839DF">
            <w:pPr>
              <w:textAlignment w:val="bottom"/>
              <w:rPr>
                <w:rFonts w:ascii="Times New Roman" w:hAnsi="Times New Roman"/>
                <w:sz w:val="17"/>
                <w:szCs w:val="17"/>
              </w:rPr>
            </w:pPr>
            <w:r>
              <w:rPr>
                <w:rFonts w:ascii="Arial" w:eastAsia="宋体" w:hAnsi="Arial" w:cs="Arial"/>
                <w:sz w:val="17"/>
                <w:szCs w:val="17"/>
              </w:rPr>
              <w:t>U.S. Treasury securities</w:t>
            </w:r>
          </w:p>
        </w:tc>
        <w:tc>
          <w:tcPr>
            <w:tcW w:w="0" w:type="auto"/>
            <w:gridSpan w:val="2"/>
            <w:tcBorders>
              <w:top w:val="single" w:sz="8" w:space="0" w:color="808080"/>
            </w:tcBorders>
            <w:shd w:val="clear" w:color="auto" w:fill="FFF1E7"/>
            <w:tcMar>
              <w:top w:w="40" w:type="dxa"/>
              <w:left w:w="40" w:type="dxa"/>
              <w:bottom w:w="40" w:type="dxa"/>
            </w:tcMar>
            <w:vAlign w:val="bottom"/>
          </w:tcPr>
          <w:p w14:paraId="606F714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395</w:t>
            </w:r>
          </w:p>
        </w:tc>
        <w:tc>
          <w:tcPr>
            <w:tcW w:w="0" w:type="auto"/>
            <w:tcBorders>
              <w:top w:val="single" w:sz="8" w:space="0" w:color="808080"/>
            </w:tcBorders>
            <w:shd w:val="clear" w:color="auto" w:fill="FFF1E7"/>
            <w:vAlign w:val="bottom"/>
          </w:tcPr>
          <w:p w14:paraId="606F714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14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14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14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395</w:t>
            </w:r>
          </w:p>
        </w:tc>
        <w:tc>
          <w:tcPr>
            <w:tcW w:w="0" w:type="auto"/>
            <w:tcBorders>
              <w:top w:val="single" w:sz="8" w:space="0" w:color="808080"/>
            </w:tcBorders>
            <w:shd w:val="clear" w:color="auto" w:fill="FFF1E7"/>
            <w:vAlign w:val="bottom"/>
          </w:tcPr>
          <w:p w14:paraId="606F714C" w14:textId="77777777" w:rsidR="00FB67F9" w:rsidRDefault="00FB67F9">
            <w:pPr>
              <w:textAlignment w:val="bottom"/>
              <w:rPr>
                <w:rFonts w:ascii="Times New Roman" w:hAnsi="Times New Roman"/>
                <w:sz w:val="20"/>
                <w:szCs w:val="20"/>
              </w:rPr>
            </w:pPr>
          </w:p>
        </w:tc>
      </w:tr>
      <w:tr w:rsidR="00FB67F9" w14:paraId="606F715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14E" w14:textId="77777777" w:rsidR="00FB67F9" w:rsidRDefault="00E839DF">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14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15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15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15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153" w14:textId="77777777" w:rsidR="00FB67F9" w:rsidRDefault="00E839DF">
            <w:pPr>
              <w:textAlignment w:val="bottom"/>
              <w:rPr>
                <w:rFonts w:ascii="Times New Roman" w:hAnsi="Times New Roman"/>
                <w:sz w:val="17"/>
                <w:szCs w:val="17"/>
              </w:rPr>
            </w:pPr>
            <w:r>
              <w:rPr>
                <w:rFonts w:ascii="Arial" w:eastAsia="宋体" w:hAnsi="Arial" w:cs="Arial"/>
                <w:sz w:val="17"/>
                <w:szCs w:val="17"/>
              </w:rPr>
              <w:t>Commercial paper and bonds</w:t>
            </w:r>
          </w:p>
        </w:tc>
        <w:tc>
          <w:tcPr>
            <w:tcW w:w="0" w:type="auto"/>
            <w:gridSpan w:val="2"/>
            <w:tcBorders>
              <w:top w:val="single" w:sz="8" w:space="0" w:color="808080"/>
            </w:tcBorders>
            <w:shd w:val="clear" w:color="auto" w:fill="FFF1E7"/>
            <w:tcMar>
              <w:top w:w="40" w:type="dxa"/>
              <w:left w:w="40" w:type="dxa"/>
              <w:bottom w:w="40" w:type="dxa"/>
            </w:tcMar>
            <w:vAlign w:val="bottom"/>
          </w:tcPr>
          <w:p w14:paraId="606F715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w:t>
            </w:r>
          </w:p>
        </w:tc>
        <w:tc>
          <w:tcPr>
            <w:tcW w:w="0" w:type="auto"/>
            <w:tcBorders>
              <w:top w:val="single" w:sz="8" w:space="0" w:color="808080"/>
            </w:tcBorders>
            <w:shd w:val="clear" w:color="auto" w:fill="FFF1E7"/>
            <w:vAlign w:val="bottom"/>
          </w:tcPr>
          <w:p w14:paraId="606F715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15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FFF1E7"/>
            <w:vAlign w:val="bottom"/>
          </w:tcPr>
          <w:p w14:paraId="606F715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15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top w:val="single" w:sz="8" w:space="0" w:color="808080"/>
            </w:tcBorders>
            <w:shd w:val="clear" w:color="auto" w:fill="FFF1E7"/>
            <w:vAlign w:val="bottom"/>
          </w:tcPr>
          <w:p w14:paraId="606F7159" w14:textId="77777777" w:rsidR="00FB67F9" w:rsidRDefault="00FB67F9">
            <w:pPr>
              <w:textAlignment w:val="bottom"/>
              <w:rPr>
                <w:rFonts w:ascii="Times New Roman" w:hAnsi="Times New Roman"/>
                <w:sz w:val="20"/>
                <w:szCs w:val="20"/>
              </w:rPr>
            </w:pPr>
          </w:p>
        </w:tc>
      </w:tr>
      <w:tr w:rsidR="00FB67F9" w14:paraId="606F716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15B" w14:textId="77777777" w:rsidR="00FB67F9" w:rsidRDefault="00E839DF">
            <w:pPr>
              <w:textAlignment w:val="bottom"/>
              <w:rPr>
                <w:rFonts w:ascii="Times New Roman" w:hAnsi="Times New Roman"/>
                <w:sz w:val="17"/>
                <w:szCs w:val="17"/>
              </w:rPr>
            </w:pPr>
            <w:r>
              <w:rPr>
                <w:rFonts w:ascii="Arial" w:eastAsia="宋体" w:hAnsi="Arial" w:cs="Arial"/>
                <w:sz w:val="17"/>
                <w:szCs w:val="17"/>
              </w:rPr>
              <w:t>Money market funds</w:t>
            </w:r>
          </w:p>
        </w:tc>
        <w:tc>
          <w:tcPr>
            <w:tcW w:w="0" w:type="auto"/>
            <w:gridSpan w:val="2"/>
            <w:tcBorders>
              <w:top w:val="single" w:sz="8" w:space="0" w:color="808080"/>
            </w:tcBorders>
            <w:shd w:val="clear" w:color="auto" w:fill="FFF1E7"/>
            <w:tcMar>
              <w:top w:w="40" w:type="dxa"/>
              <w:left w:w="40" w:type="dxa"/>
              <w:bottom w:w="40" w:type="dxa"/>
            </w:tcMar>
            <w:vAlign w:val="bottom"/>
          </w:tcPr>
          <w:p w14:paraId="606F71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1,362</w:t>
            </w:r>
          </w:p>
        </w:tc>
        <w:tc>
          <w:tcPr>
            <w:tcW w:w="0" w:type="auto"/>
            <w:tcBorders>
              <w:top w:val="single" w:sz="8" w:space="0" w:color="808080"/>
            </w:tcBorders>
            <w:shd w:val="clear" w:color="auto" w:fill="FFF1E7"/>
            <w:vAlign w:val="bottom"/>
          </w:tcPr>
          <w:p w14:paraId="606F715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15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1,362</w:t>
            </w:r>
          </w:p>
        </w:tc>
        <w:tc>
          <w:tcPr>
            <w:tcW w:w="0" w:type="auto"/>
            <w:tcBorders>
              <w:top w:val="single" w:sz="8" w:space="0" w:color="808080"/>
            </w:tcBorders>
            <w:shd w:val="clear" w:color="auto" w:fill="FFF1E7"/>
            <w:vAlign w:val="bottom"/>
          </w:tcPr>
          <w:p w14:paraId="606F715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16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161" w14:textId="77777777" w:rsidR="00FB67F9" w:rsidRDefault="00FB67F9">
            <w:pPr>
              <w:textAlignment w:val="bottom"/>
              <w:rPr>
                <w:rFonts w:ascii="Times New Roman" w:hAnsi="Times New Roman"/>
                <w:sz w:val="20"/>
                <w:szCs w:val="20"/>
              </w:rPr>
            </w:pPr>
          </w:p>
        </w:tc>
      </w:tr>
      <w:tr w:rsidR="00FB67F9" w14:paraId="606F716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163" w14:textId="77777777" w:rsidR="00FB67F9" w:rsidRDefault="00E839DF">
            <w:pPr>
              <w:textAlignment w:val="bottom"/>
              <w:rPr>
                <w:rFonts w:ascii="Times New Roman" w:hAnsi="Times New Roman"/>
                <w:sz w:val="17"/>
                <w:szCs w:val="17"/>
              </w:rPr>
            </w:pPr>
            <w:r>
              <w:rPr>
                <w:rFonts w:ascii="Arial" w:eastAsia="宋体" w:hAnsi="Arial" w:cs="Arial"/>
                <w:sz w:val="17"/>
                <w:szCs w:val="17"/>
              </w:rPr>
              <w:t>Time deposits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1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1,127</w:t>
            </w:r>
          </w:p>
        </w:tc>
        <w:tc>
          <w:tcPr>
            <w:tcW w:w="0" w:type="auto"/>
            <w:tcBorders>
              <w:top w:val="single" w:sz="8" w:space="0" w:color="808080"/>
              <w:bottom w:val="single" w:sz="8" w:space="0" w:color="808080"/>
            </w:tcBorders>
            <w:shd w:val="clear" w:color="auto" w:fill="FFF1E7"/>
            <w:vAlign w:val="bottom"/>
          </w:tcPr>
          <w:p w14:paraId="606F716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1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1,123</w:t>
            </w:r>
          </w:p>
        </w:tc>
        <w:tc>
          <w:tcPr>
            <w:tcW w:w="0" w:type="auto"/>
            <w:tcBorders>
              <w:top w:val="single" w:sz="8" w:space="0" w:color="808080"/>
              <w:bottom w:val="single" w:sz="8" w:space="0" w:color="808080"/>
            </w:tcBorders>
            <w:shd w:val="clear" w:color="auto" w:fill="FFF1E7"/>
            <w:vAlign w:val="bottom"/>
          </w:tcPr>
          <w:p w14:paraId="606F716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1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FFF1E7"/>
            <w:vAlign w:val="bottom"/>
          </w:tcPr>
          <w:p w14:paraId="606F7169" w14:textId="77777777" w:rsidR="00FB67F9" w:rsidRDefault="00FB67F9">
            <w:pPr>
              <w:textAlignment w:val="bottom"/>
              <w:rPr>
                <w:rFonts w:ascii="Times New Roman" w:hAnsi="Times New Roman"/>
                <w:sz w:val="20"/>
                <w:szCs w:val="20"/>
              </w:rPr>
            </w:pPr>
          </w:p>
        </w:tc>
      </w:tr>
      <w:tr w:rsidR="00FB67F9" w14:paraId="606F7172" w14:textId="77777777">
        <w:tc>
          <w:tcPr>
            <w:tcW w:w="0" w:type="auto"/>
            <w:shd w:val="clear" w:color="auto" w:fill="auto"/>
            <w:tcMar>
              <w:top w:w="40" w:type="dxa"/>
              <w:left w:w="240" w:type="dxa"/>
              <w:bottom w:w="40" w:type="dxa"/>
              <w:right w:w="40" w:type="dxa"/>
            </w:tcMar>
            <w:vAlign w:val="bottom"/>
          </w:tcPr>
          <w:p w14:paraId="606F716B" w14:textId="77777777" w:rsidR="00FB67F9" w:rsidRDefault="00E839DF">
            <w:pPr>
              <w:textAlignment w:val="bottom"/>
              <w:rPr>
                <w:rFonts w:ascii="Times New Roman" w:hAnsi="Times New Roman"/>
                <w:sz w:val="17"/>
                <w:szCs w:val="17"/>
              </w:rPr>
            </w:pPr>
            <w:r>
              <w:rPr>
                <w:rFonts w:ascii="Arial" w:eastAsia="宋体" w:hAnsi="Arial" w:cs="Arial"/>
                <w:sz w:val="17"/>
                <w:szCs w:val="17"/>
              </w:rPr>
              <w:t>U.S. Agency securities</w:t>
            </w:r>
          </w:p>
        </w:tc>
        <w:tc>
          <w:tcPr>
            <w:tcW w:w="0" w:type="auto"/>
            <w:gridSpan w:val="2"/>
            <w:shd w:val="clear" w:color="auto" w:fill="FFF1E7"/>
            <w:tcMar>
              <w:top w:w="40" w:type="dxa"/>
              <w:left w:w="40" w:type="dxa"/>
              <w:bottom w:w="40" w:type="dxa"/>
            </w:tcMar>
            <w:vAlign w:val="bottom"/>
          </w:tcPr>
          <w:p w14:paraId="606F716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606F716D"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16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16F"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17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606F7171" w14:textId="77777777" w:rsidR="00FB67F9" w:rsidRDefault="00FB67F9">
            <w:pPr>
              <w:textAlignment w:val="bottom"/>
              <w:rPr>
                <w:rFonts w:ascii="Times New Roman" w:hAnsi="Times New Roman"/>
                <w:sz w:val="20"/>
                <w:szCs w:val="20"/>
              </w:rPr>
            </w:pPr>
          </w:p>
        </w:tc>
      </w:tr>
      <w:tr w:rsidR="00FB67F9" w14:paraId="606F717A"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173"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Level 2</w:t>
            </w:r>
          </w:p>
        </w:tc>
        <w:tc>
          <w:tcPr>
            <w:tcW w:w="0" w:type="auto"/>
            <w:gridSpan w:val="2"/>
            <w:tcBorders>
              <w:top w:val="single" w:sz="8" w:space="0" w:color="E87722"/>
            </w:tcBorders>
            <w:shd w:val="clear" w:color="auto" w:fill="FFF1E7"/>
            <w:tcMar>
              <w:top w:w="40" w:type="dxa"/>
              <w:left w:w="40" w:type="dxa"/>
              <w:bottom w:w="40" w:type="dxa"/>
            </w:tcMar>
            <w:vAlign w:val="bottom"/>
          </w:tcPr>
          <w:p w14:paraId="606F717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2,523</w:t>
            </w:r>
          </w:p>
        </w:tc>
        <w:tc>
          <w:tcPr>
            <w:tcW w:w="0" w:type="auto"/>
            <w:tcBorders>
              <w:top w:val="single" w:sz="8" w:space="0" w:color="E87722"/>
            </w:tcBorders>
            <w:shd w:val="clear" w:color="auto" w:fill="FFF1E7"/>
            <w:vAlign w:val="bottom"/>
          </w:tcPr>
          <w:p w14:paraId="606F7175"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606F717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2,486</w:t>
            </w:r>
          </w:p>
        </w:tc>
        <w:tc>
          <w:tcPr>
            <w:tcW w:w="0" w:type="auto"/>
            <w:tcBorders>
              <w:top w:val="single" w:sz="8" w:space="0" w:color="E87722"/>
            </w:tcBorders>
            <w:shd w:val="clear" w:color="auto" w:fill="FFF1E7"/>
            <w:vAlign w:val="bottom"/>
          </w:tcPr>
          <w:p w14:paraId="606F7177"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606F717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w:t>
            </w:r>
          </w:p>
        </w:tc>
        <w:tc>
          <w:tcPr>
            <w:tcW w:w="0" w:type="auto"/>
            <w:tcBorders>
              <w:top w:val="single" w:sz="8" w:space="0" w:color="E87722"/>
            </w:tcBorders>
            <w:shd w:val="clear" w:color="auto" w:fill="FFF1E7"/>
            <w:vAlign w:val="bottom"/>
          </w:tcPr>
          <w:p w14:paraId="606F7179" w14:textId="77777777" w:rsidR="00FB67F9" w:rsidRDefault="00FB67F9">
            <w:pPr>
              <w:textAlignment w:val="bottom"/>
              <w:rPr>
                <w:rFonts w:ascii="Times New Roman" w:hAnsi="Times New Roman"/>
                <w:sz w:val="20"/>
                <w:szCs w:val="20"/>
              </w:rPr>
            </w:pPr>
          </w:p>
        </w:tc>
      </w:tr>
      <w:tr w:rsidR="00FB67F9" w14:paraId="606F718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17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17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17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3,502</w:t>
            </w:r>
          </w:p>
        </w:tc>
        <w:tc>
          <w:tcPr>
            <w:tcW w:w="0" w:type="auto"/>
            <w:tcBorders>
              <w:top w:val="single" w:sz="8" w:space="0" w:color="E87722"/>
              <w:bottom w:val="single" w:sz="8" w:space="0" w:color="E87722"/>
            </w:tcBorders>
            <w:shd w:val="clear" w:color="auto" w:fill="FFF1E7"/>
            <w:vAlign w:val="bottom"/>
          </w:tcPr>
          <w:p w14:paraId="606F717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17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18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3,070</w:t>
            </w:r>
          </w:p>
        </w:tc>
        <w:tc>
          <w:tcPr>
            <w:tcW w:w="0" w:type="auto"/>
            <w:tcBorders>
              <w:top w:val="single" w:sz="8" w:space="0" w:color="E87722"/>
              <w:bottom w:val="single" w:sz="8" w:space="0" w:color="E87722"/>
            </w:tcBorders>
            <w:shd w:val="clear" w:color="auto" w:fill="FFF1E7"/>
            <w:vAlign w:val="bottom"/>
          </w:tcPr>
          <w:p w14:paraId="606F718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18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18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432</w:t>
            </w:r>
          </w:p>
        </w:tc>
        <w:tc>
          <w:tcPr>
            <w:tcW w:w="0" w:type="auto"/>
            <w:tcBorders>
              <w:top w:val="single" w:sz="8" w:space="0" w:color="E87722"/>
              <w:bottom w:val="single" w:sz="8" w:space="0" w:color="E87722"/>
            </w:tcBorders>
            <w:shd w:val="clear" w:color="auto" w:fill="FFF1E7"/>
            <w:vAlign w:val="bottom"/>
          </w:tcPr>
          <w:p w14:paraId="606F7184" w14:textId="77777777" w:rsidR="00FB67F9" w:rsidRDefault="00FB67F9">
            <w:pPr>
              <w:textAlignment w:val="bottom"/>
              <w:rPr>
                <w:rFonts w:ascii="Times New Roman" w:hAnsi="Times New Roman"/>
                <w:sz w:val="20"/>
                <w:szCs w:val="20"/>
              </w:rPr>
            </w:pPr>
          </w:p>
        </w:tc>
      </w:tr>
    </w:tbl>
    <w:p w14:paraId="606F7186" w14:textId="77777777" w:rsidR="00FB67F9" w:rsidRDefault="00FB67F9">
      <w:pPr>
        <w:rPr>
          <w:rFonts w:ascii="Times New Roman" w:hAnsi="Times New Roman"/>
          <w:sz w:val="20"/>
          <w:szCs w:val="20"/>
        </w:rPr>
      </w:pPr>
    </w:p>
    <w:p w14:paraId="606F7187"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9</w:t>
      </w:r>
    </w:p>
    <w:p w14:paraId="606F7188" w14:textId="77777777" w:rsidR="00FB67F9" w:rsidRDefault="00E839DF">
      <w:r>
        <w:rPr>
          <w:rFonts w:ascii="Times New Roman" w:hAnsi="Times New Roman"/>
          <w:sz w:val="17"/>
          <w:szCs w:val="17"/>
        </w:rPr>
        <w:pict w14:anchorId="606F8F86">
          <v:rect id="_x0000_i1035" style="width:415.3pt;height:1.5pt" o:hralign="center" o:hrstd="t" o:hr="t" fillcolor="#a0a0a0" stroked="f"/>
        </w:pict>
      </w:r>
    </w:p>
    <w:p w14:paraId="606F7189" w14:textId="77777777" w:rsidR="00FB67F9" w:rsidRDefault="00FB67F9">
      <w:pPr>
        <w:rPr>
          <w:rFonts w:ascii="Times New Roman" w:hAnsi="Times New Roman"/>
          <w:sz w:val="17"/>
          <w:szCs w:val="17"/>
        </w:rPr>
      </w:pPr>
    </w:p>
    <w:p w14:paraId="606F718A" w14:textId="77777777" w:rsidR="00FB67F9" w:rsidRDefault="00E839DF">
      <w:pPr>
        <w:rPr>
          <w:rFonts w:ascii="Times New Roman" w:hAnsi="Times New Roman"/>
          <w:sz w:val="17"/>
          <w:szCs w:val="17"/>
        </w:rPr>
      </w:pPr>
      <w:hyperlink r:id="rId79" w:anchor="s42C493F7582652B69E70047AB812E6A5" w:history="1">
        <w:r>
          <w:rPr>
            <w:rStyle w:val="a5"/>
            <w:rFonts w:ascii="sans-serif" w:eastAsia="sans-serif" w:hAnsi="sans-serif" w:cs="sans-serif"/>
            <w:sz w:val="17"/>
            <w:szCs w:val="17"/>
          </w:rPr>
          <w:t>Table of Contents</w:t>
        </w:r>
      </w:hyperlink>
    </w:p>
    <w:p w14:paraId="606F718B" w14:textId="77777777" w:rsidR="00FB67F9" w:rsidRDefault="00FB67F9">
      <w:pPr>
        <w:rPr>
          <w:rFonts w:ascii="Times New Roman" w:hAnsi="Times New Roman"/>
          <w:sz w:val="17"/>
          <w:szCs w:val="17"/>
        </w:rPr>
      </w:pPr>
    </w:p>
    <w:p w14:paraId="606F718C"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382"/>
        <w:gridCol w:w="135"/>
        <w:gridCol w:w="1389"/>
        <w:gridCol w:w="60"/>
        <w:gridCol w:w="136"/>
        <w:gridCol w:w="1390"/>
        <w:gridCol w:w="61"/>
        <w:gridCol w:w="136"/>
        <w:gridCol w:w="1556"/>
        <w:gridCol w:w="61"/>
      </w:tblGrid>
      <w:tr w:rsidR="00FB67F9" w14:paraId="606F718E" w14:textId="77777777">
        <w:tc>
          <w:tcPr>
            <w:tcW w:w="0" w:type="auto"/>
            <w:gridSpan w:val="10"/>
            <w:shd w:val="clear" w:color="auto" w:fill="auto"/>
            <w:vAlign w:val="center"/>
          </w:tcPr>
          <w:p w14:paraId="606F718D" w14:textId="77777777" w:rsidR="00FB67F9" w:rsidRDefault="00FB67F9">
            <w:pPr>
              <w:rPr>
                <w:rFonts w:ascii="Times New Roman" w:hAnsi="Times New Roman"/>
                <w:sz w:val="20"/>
                <w:szCs w:val="20"/>
              </w:rPr>
            </w:pPr>
          </w:p>
        </w:tc>
      </w:tr>
      <w:tr w:rsidR="00FB67F9" w14:paraId="606F7199" w14:textId="77777777">
        <w:tc>
          <w:tcPr>
            <w:tcW w:w="2050" w:type="pct"/>
            <w:shd w:val="clear" w:color="auto" w:fill="auto"/>
            <w:vAlign w:val="center"/>
          </w:tcPr>
          <w:p w14:paraId="606F718F" w14:textId="77777777" w:rsidR="00FB67F9" w:rsidRDefault="00FB67F9">
            <w:pPr>
              <w:rPr>
                <w:rFonts w:ascii="Times New Roman" w:hAnsi="Times New Roman"/>
                <w:sz w:val="20"/>
                <w:szCs w:val="20"/>
              </w:rPr>
            </w:pPr>
          </w:p>
        </w:tc>
        <w:tc>
          <w:tcPr>
            <w:tcW w:w="50" w:type="pct"/>
            <w:shd w:val="clear" w:color="auto" w:fill="auto"/>
            <w:vAlign w:val="center"/>
          </w:tcPr>
          <w:p w14:paraId="606F7190" w14:textId="77777777" w:rsidR="00FB67F9" w:rsidRDefault="00FB67F9">
            <w:pPr>
              <w:rPr>
                <w:rFonts w:ascii="Times New Roman" w:hAnsi="Times New Roman"/>
                <w:sz w:val="20"/>
                <w:szCs w:val="20"/>
              </w:rPr>
            </w:pPr>
          </w:p>
        </w:tc>
        <w:tc>
          <w:tcPr>
            <w:tcW w:w="850" w:type="pct"/>
            <w:shd w:val="clear" w:color="auto" w:fill="auto"/>
            <w:vAlign w:val="center"/>
          </w:tcPr>
          <w:p w14:paraId="606F7191" w14:textId="77777777" w:rsidR="00FB67F9" w:rsidRDefault="00FB67F9">
            <w:pPr>
              <w:rPr>
                <w:rFonts w:ascii="Times New Roman" w:hAnsi="Times New Roman"/>
                <w:sz w:val="20"/>
                <w:szCs w:val="20"/>
              </w:rPr>
            </w:pPr>
          </w:p>
        </w:tc>
        <w:tc>
          <w:tcPr>
            <w:tcW w:w="50" w:type="pct"/>
            <w:shd w:val="clear" w:color="auto" w:fill="auto"/>
            <w:vAlign w:val="center"/>
          </w:tcPr>
          <w:p w14:paraId="606F7192" w14:textId="77777777" w:rsidR="00FB67F9" w:rsidRDefault="00FB67F9">
            <w:pPr>
              <w:rPr>
                <w:rFonts w:ascii="Times New Roman" w:hAnsi="Times New Roman"/>
                <w:sz w:val="20"/>
                <w:szCs w:val="20"/>
              </w:rPr>
            </w:pPr>
          </w:p>
        </w:tc>
        <w:tc>
          <w:tcPr>
            <w:tcW w:w="50" w:type="pct"/>
            <w:shd w:val="clear" w:color="auto" w:fill="auto"/>
            <w:vAlign w:val="center"/>
          </w:tcPr>
          <w:p w14:paraId="606F7193" w14:textId="77777777" w:rsidR="00FB67F9" w:rsidRDefault="00FB67F9">
            <w:pPr>
              <w:rPr>
                <w:rFonts w:ascii="Times New Roman" w:hAnsi="Times New Roman"/>
                <w:sz w:val="20"/>
                <w:szCs w:val="20"/>
              </w:rPr>
            </w:pPr>
          </w:p>
        </w:tc>
        <w:tc>
          <w:tcPr>
            <w:tcW w:w="850" w:type="pct"/>
            <w:shd w:val="clear" w:color="auto" w:fill="auto"/>
            <w:vAlign w:val="center"/>
          </w:tcPr>
          <w:p w14:paraId="606F7194" w14:textId="77777777" w:rsidR="00FB67F9" w:rsidRDefault="00FB67F9">
            <w:pPr>
              <w:rPr>
                <w:rFonts w:ascii="Times New Roman" w:hAnsi="Times New Roman"/>
                <w:sz w:val="20"/>
                <w:szCs w:val="20"/>
              </w:rPr>
            </w:pPr>
          </w:p>
        </w:tc>
        <w:tc>
          <w:tcPr>
            <w:tcW w:w="50" w:type="pct"/>
            <w:shd w:val="clear" w:color="auto" w:fill="auto"/>
            <w:vAlign w:val="center"/>
          </w:tcPr>
          <w:p w14:paraId="606F7195" w14:textId="77777777" w:rsidR="00FB67F9" w:rsidRDefault="00FB67F9">
            <w:pPr>
              <w:rPr>
                <w:rFonts w:ascii="Times New Roman" w:hAnsi="Times New Roman"/>
                <w:sz w:val="20"/>
                <w:szCs w:val="20"/>
              </w:rPr>
            </w:pPr>
          </w:p>
        </w:tc>
        <w:tc>
          <w:tcPr>
            <w:tcW w:w="50" w:type="pct"/>
            <w:shd w:val="clear" w:color="auto" w:fill="auto"/>
            <w:vAlign w:val="center"/>
          </w:tcPr>
          <w:p w14:paraId="606F7196" w14:textId="77777777" w:rsidR="00FB67F9" w:rsidRDefault="00FB67F9">
            <w:pPr>
              <w:rPr>
                <w:rFonts w:ascii="Times New Roman" w:hAnsi="Times New Roman"/>
                <w:sz w:val="20"/>
                <w:szCs w:val="20"/>
              </w:rPr>
            </w:pPr>
          </w:p>
        </w:tc>
        <w:tc>
          <w:tcPr>
            <w:tcW w:w="950" w:type="pct"/>
            <w:shd w:val="clear" w:color="auto" w:fill="auto"/>
            <w:vAlign w:val="center"/>
          </w:tcPr>
          <w:p w14:paraId="606F7197" w14:textId="77777777" w:rsidR="00FB67F9" w:rsidRDefault="00FB67F9">
            <w:pPr>
              <w:rPr>
                <w:rFonts w:ascii="Times New Roman" w:hAnsi="Times New Roman"/>
                <w:sz w:val="20"/>
                <w:szCs w:val="20"/>
              </w:rPr>
            </w:pPr>
          </w:p>
        </w:tc>
        <w:tc>
          <w:tcPr>
            <w:tcW w:w="50" w:type="pct"/>
            <w:shd w:val="clear" w:color="auto" w:fill="auto"/>
            <w:vAlign w:val="center"/>
          </w:tcPr>
          <w:p w14:paraId="606F7198" w14:textId="77777777" w:rsidR="00FB67F9" w:rsidRDefault="00FB67F9">
            <w:pPr>
              <w:rPr>
                <w:rFonts w:ascii="Times New Roman" w:hAnsi="Times New Roman"/>
                <w:sz w:val="20"/>
                <w:szCs w:val="20"/>
              </w:rPr>
            </w:pPr>
          </w:p>
        </w:tc>
      </w:tr>
      <w:tr w:rsidR="00FB67F9" w14:paraId="606F719C" w14:textId="77777777">
        <w:tc>
          <w:tcPr>
            <w:tcW w:w="0" w:type="auto"/>
            <w:shd w:val="clear" w:color="auto" w:fill="auto"/>
            <w:tcMar>
              <w:top w:w="40" w:type="dxa"/>
              <w:left w:w="40" w:type="dxa"/>
              <w:bottom w:w="40" w:type="dxa"/>
              <w:right w:w="40" w:type="dxa"/>
            </w:tcMar>
            <w:vAlign w:val="bottom"/>
          </w:tcPr>
          <w:p w14:paraId="606F719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606F719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 2019</w:t>
            </w:r>
          </w:p>
        </w:tc>
      </w:tr>
      <w:tr w:rsidR="00FB67F9" w14:paraId="606F71A4"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19D"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19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tcBorders>
              <w:bottom w:val="single" w:sz="8" w:space="0" w:color="E87722"/>
            </w:tcBorders>
            <w:shd w:val="clear" w:color="auto" w:fill="auto"/>
            <w:vAlign w:val="bottom"/>
          </w:tcPr>
          <w:p w14:paraId="606F719F"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1A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CASH </w:t>
            </w:r>
            <w:r>
              <w:rPr>
                <w:rFonts w:ascii="sans-serif" w:eastAsia="sans-serif" w:hAnsi="sans-serif" w:cs="sans-serif"/>
                <w:b/>
                <w:bCs/>
                <w:color w:val="000000"/>
                <w:sz w:val="17"/>
                <w:szCs w:val="17"/>
              </w:rPr>
              <w:t>AND EQUIVALENTS</w:t>
            </w:r>
          </w:p>
        </w:tc>
        <w:tc>
          <w:tcPr>
            <w:tcW w:w="0" w:type="auto"/>
            <w:tcBorders>
              <w:bottom w:val="single" w:sz="8" w:space="0" w:color="E87722"/>
            </w:tcBorders>
            <w:shd w:val="clear" w:color="auto" w:fill="auto"/>
            <w:vAlign w:val="bottom"/>
          </w:tcPr>
          <w:p w14:paraId="606F71A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1A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SHORT-TERM INVESTMENTS</w:t>
            </w:r>
          </w:p>
        </w:tc>
        <w:tc>
          <w:tcPr>
            <w:tcW w:w="0" w:type="auto"/>
            <w:tcBorders>
              <w:bottom w:val="single" w:sz="8" w:space="0" w:color="E87722"/>
            </w:tcBorders>
            <w:shd w:val="clear" w:color="auto" w:fill="auto"/>
            <w:vAlign w:val="bottom"/>
          </w:tcPr>
          <w:p w14:paraId="606F71A3" w14:textId="77777777" w:rsidR="00FB67F9" w:rsidRDefault="00FB67F9">
            <w:pPr>
              <w:textAlignment w:val="bottom"/>
              <w:rPr>
                <w:rFonts w:ascii="Times New Roman" w:hAnsi="Times New Roman"/>
                <w:sz w:val="20"/>
                <w:szCs w:val="20"/>
              </w:rPr>
            </w:pPr>
          </w:p>
        </w:tc>
      </w:tr>
      <w:tr w:rsidR="00FB67F9" w14:paraId="606F71AF" w14:textId="77777777">
        <w:tc>
          <w:tcPr>
            <w:tcW w:w="0" w:type="auto"/>
            <w:shd w:val="clear" w:color="auto" w:fill="auto"/>
            <w:tcMar>
              <w:top w:w="40" w:type="dxa"/>
              <w:left w:w="40" w:type="dxa"/>
              <w:bottom w:w="40" w:type="dxa"/>
              <w:right w:w="40" w:type="dxa"/>
            </w:tcMar>
            <w:vAlign w:val="bottom"/>
          </w:tcPr>
          <w:p w14:paraId="606F71A5" w14:textId="77777777" w:rsidR="00FB67F9" w:rsidRDefault="00E839DF">
            <w:pPr>
              <w:textAlignment w:val="bottom"/>
              <w:rPr>
                <w:rFonts w:ascii="Times New Roman" w:hAnsi="Times New Roman"/>
                <w:sz w:val="17"/>
                <w:szCs w:val="17"/>
              </w:rPr>
            </w:pPr>
            <w:r>
              <w:rPr>
                <w:rFonts w:ascii="Arial" w:eastAsia="宋体" w:hAnsi="Arial" w:cs="Arial"/>
                <w:sz w:val="17"/>
                <w:szCs w:val="17"/>
              </w:rPr>
              <w:t>Cash</w:t>
            </w:r>
          </w:p>
        </w:tc>
        <w:tc>
          <w:tcPr>
            <w:tcW w:w="0" w:type="auto"/>
            <w:shd w:val="clear" w:color="auto" w:fill="auto"/>
            <w:tcMar>
              <w:top w:w="40" w:type="dxa"/>
              <w:left w:w="40" w:type="dxa"/>
              <w:bottom w:w="40" w:type="dxa"/>
            </w:tcMar>
            <w:vAlign w:val="bottom"/>
          </w:tcPr>
          <w:p w14:paraId="606F71A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71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853</w:t>
            </w:r>
          </w:p>
        </w:tc>
        <w:tc>
          <w:tcPr>
            <w:tcW w:w="0" w:type="auto"/>
            <w:shd w:val="clear" w:color="auto" w:fill="auto"/>
            <w:vAlign w:val="bottom"/>
          </w:tcPr>
          <w:p w14:paraId="606F71A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71A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71A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853</w:t>
            </w:r>
          </w:p>
        </w:tc>
        <w:tc>
          <w:tcPr>
            <w:tcW w:w="0" w:type="auto"/>
            <w:shd w:val="clear" w:color="auto" w:fill="auto"/>
            <w:vAlign w:val="bottom"/>
          </w:tcPr>
          <w:p w14:paraId="606F71AB"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71A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71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1AE" w14:textId="77777777" w:rsidR="00FB67F9" w:rsidRDefault="00FB67F9">
            <w:pPr>
              <w:textAlignment w:val="bottom"/>
              <w:rPr>
                <w:rFonts w:ascii="Times New Roman" w:hAnsi="Times New Roman"/>
                <w:sz w:val="20"/>
                <w:szCs w:val="20"/>
              </w:rPr>
            </w:pPr>
          </w:p>
        </w:tc>
      </w:tr>
      <w:tr w:rsidR="00FB67F9" w14:paraId="606F71B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1B0" w14:textId="77777777" w:rsidR="00FB67F9" w:rsidRDefault="00E839DF">
            <w:pPr>
              <w:textAlignment w:val="bottom"/>
              <w:rPr>
                <w:rFonts w:ascii="Times New Roman" w:hAnsi="Times New Roman"/>
                <w:sz w:val="17"/>
                <w:szCs w:val="17"/>
              </w:rPr>
            </w:pPr>
            <w:r>
              <w:rPr>
                <w:rFonts w:ascii="Arial" w:eastAsia="宋体" w:hAnsi="Arial" w:cs="Arial"/>
                <w:sz w:val="17"/>
                <w:szCs w:val="17"/>
                <w:u w:val="single"/>
              </w:rPr>
              <w:t>Level 1:</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1B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1B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1B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1B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1B5" w14:textId="77777777" w:rsidR="00FB67F9" w:rsidRDefault="00E839DF">
            <w:pPr>
              <w:textAlignment w:val="bottom"/>
              <w:rPr>
                <w:rFonts w:ascii="Times New Roman" w:hAnsi="Times New Roman"/>
                <w:sz w:val="17"/>
                <w:szCs w:val="17"/>
              </w:rPr>
            </w:pPr>
            <w:r>
              <w:rPr>
                <w:rFonts w:ascii="Arial" w:eastAsia="宋体" w:hAnsi="Arial" w:cs="Arial"/>
                <w:sz w:val="17"/>
                <w:szCs w:val="17"/>
              </w:rPr>
              <w:t>U.S. Treasury securities</w:t>
            </w:r>
          </w:p>
        </w:tc>
        <w:tc>
          <w:tcPr>
            <w:tcW w:w="0" w:type="auto"/>
            <w:gridSpan w:val="2"/>
            <w:tcBorders>
              <w:top w:val="single" w:sz="8" w:space="0" w:color="808080"/>
            </w:tcBorders>
            <w:shd w:val="clear" w:color="auto" w:fill="auto"/>
            <w:tcMar>
              <w:top w:w="40" w:type="dxa"/>
              <w:left w:w="40" w:type="dxa"/>
              <w:bottom w:w="40" w:type="dxa"/>
            </w:tcMar>
            <w:vAlign w:val="bottom"/>
          </w:tcPr>
          <w:p w14:paraId="606F71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347</w:t>
            </w:r>
          </w:p>
        </w:tc>
        <w:tc>
          <w:tcPr>
            <w:tcW w:w="0" w:type="auto"/>
            <w:tcBorders>
              <w:top w:val="single" w:sz="8" w:space="0" w:color="808080"/>
            </w:tcBorders>
            <w:shd w:val="clear" w:color="auto" w:fill="auto"/>
            <w:vAlign w:val="bottom"/>
          </w:tcPr>
          <w:p w14:paraId="606F71B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200</w:t>
            </w:r>
          </w:p>
        </w:tc>
        <w:tc>
          <w:tcPr>
            <w:tcW w:w="0" w:type="auto"/>
            <w:tcBorders>
              <w:top w:val="single" w:sz="8" w:space="0" w:color="808080"/>
            </w:tcBorders>
            <w:shd w:val="clear" w:color="auto" w:fill="auto"/>
            <w:vAlign w:val="bottom"/>
          </w:tcPr>
          <w:p w14:paraId="606F71B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147</w:t>
            </w:r>
          </w:p>
        </w:tc>
        <w:tc>
          <w:tcPr>
            <w:tcW w:w="0" w:type="auto"/>
            <w:tcBorders>
              <w:top w:val="single" w:sz="8" w:space="0" w:color="808080"/>
            </w:tcBorders>
            <w:shd w:val="clear" w:color="auto" w:fill="auto"/>
            <w:vAlign w:val="bottom"/>
          </w:tcPr>
          <w:p w14:paraId="606F71BB" w14:textId="77777777" w:rsidR="00FB67F9" w:rsidRDefault="00FB67F9">
            <w:pPr>
              <w:textAlignment w:val="bottom"/>
              <w:rPr>
                <w:rFonts w:ascii="Times New Roman" w:hAnsi="Times New Roman"/>
                <w:sz w:val="20"/>
                <w:szCs w:val="20"/>
              </w:rPr>
            </w:pPr>
          </w:p>
        </w:tc>
      </w:tr>
      <w:tr w:rsidR="00FB67F9" w14:paraId="606F71C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1BD" w14:textId="77777777" w:rsidR="00FB67F9" w:rsidRDefault="00E839DF">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1B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1B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1C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1C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1C2" w14:textId="77777777" w:rsidR="00FB67F9" w:rsidRDefault="00E839DF">
            <w:pPr>
              <w:textAlignment w:val="bottom"/>
              <w:rPr>
                <w:rFonts w:ascii="Times New Roman" w:hAnsi="Times New Roman"/>
                <w:sz w:val="17"/>
                <w:szCs w:val="17"/>
              </w:rPr>
            </w:pPr>
            <w:r>
              <w:rPr>
                <w:rFonts w:ascii="Arial" w:eastAsia="宋体" w:hAnsi="Arial" w:cs="Arial"/>
                <w:sz w:val="17"/>
                <w:szCs w:val="17"/>
              </w:rPr>
              <w:t>Commercial paper and bonds</w:t>
            </w:r>
          </w:p>
        </w:tc>
        <w:tc>
          <w:tcPr>
            <w:tcW w:w="0" w:type="auto"/>
            <w:gridSpan w:val="2"/>
            <w:tcBorders>
              <w:top w:val="single" w:sz="8" w:space="0" w:color="808080"/>
            </w:tcBorders>
            <w:shd w:val="clear" w:color="auto" w:fill="auto"/>
            <w:tcMar>
              <w:top w:w="40" w:type="dxa"/>
              <w:left w:w="40" w:type="dxa"/>
              <w:bottom w:w="40" w:type="dxa"/>
            </w:tcMar>
            <w:vAlign w:val="bottom"/>
          </w:tcPr>
          <w:p w14:paraId="606F71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tcBorders>
            <w:shd w:val="clear" w:color="auto" w:fill="auto"/>
            <w:vAlign w:val="bottom"/>
          </w:tcPr>
          <w:p w14:paraId="606F71C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vAlign w:val="bottom"/>
          </w:tcPr>
          <w:p w14:paraId="606F71C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w:t>
            </w:r>
          </w:p>
        </w:tc>
        <w:tc>
          <w:tcPr>
            <w:tcW w:w="0" w:type="auto"/>
            <w:tcBorders>
              <w:top w:val="single" w:sz="8" w:space="0" w:color="808080"/>
            </w:tcBorders>
            <w:shd w:val="clear" w:color="auto" w:fill="auto"/>
            <w:vAlign w:val="bottom"/>
          </w:tcPr>
          <w:p w14:paraId="606F71C8" w14:textId="77777777" w:rsidR="00FB67F9" w:rsidRDefault="00FB67F9">
            <w:pPr>
              <w:textAlignment w:val="bottom"/>
              <w:rPr>
                <w:rFonts w:ascii="Times New Roman" w:hAnsi="Times New Roman"/>
                <w:sz w:val="20"/>
                <w:szCs w:val="20"/>
              </w:rPr>
            </w:pPr>
          </w:p>
        </w:tc>
      </w:tr>
      <w:tr w:rsidR="00FB67F9" w14:paraId="606F71D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1CA" w14:textId="77777777" w:rsidR="00FB67F9" w:rsidRDefault="00E839DF">
            <w:pPr>
              <w:textAlignment w:val="bottom"/>
              <w:rPr>
                <w:rFonts w:ascii="Times New Roman" w:hAnsi="Times New Roman"/>
                <w:sz w:val="17"/>
                <w:szCs w:val="17"/>
              </w:rPr>
            </w:pPr>
            <w:r>
              <w:rPr>
                <w:rFonts w:ascii="Arial" w:eastAsia="宋体" w:hAnsi="Arial" w:cs="Arial"/>
                <w:sz w:val="17"/>
                <w:szCs w:val="17"/>
              </w:rPr>
              <w:t>Money market funds</w:t>
            </w:r>
          </w:p>
        </w:tc>
        <w:tc>
          <w:tcPr>
            <w:tcW w:w="0" w:type="auto"/>
            <w:gridSpan w:val="2"/>
            <w:tcBorders>
              <w:top w:val="single" w:sz="8" w:space="0" w:color="808080"/>
            </w:tcBorders>
            <w:shd w:val="clear" w:color="auto" w:fill="auto"/>
            <w:tcMar>
              <w:top w:w="40" w:type="dxa"/>
              <w:left w:w="40" w:type="dxa"/>
              <w:bottom w:w="40" w:type="dxa"/>
            </w:tcMar>
            <w:vAlign w:val="bottom"/>
          </w:tcPr>
          <w:p w14:paraId="606F71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1,637</w:t>
            </w:r>
          </w:p>
        </w:tc>
        <w:tc>
          <w:tcPr>
            <w:tcW w:w="0" w:type="auto"/>
            <w:tcBorders>
              <w:top w:val="single" w:sz="8" w:space="0" w:color="808080"/>
            </w:tcBorders>
            <w:shd w:val="clear" w:color="auto" w:fill="auto"/>
            <w:vAlign w:val="bottom"/>
          </w:tcPr>
          <w:p w14:paraId="606F71C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1,637</w:t>
            </w:r>
          </w:p>
        </w:tc>
        <w:tc>
          <w:tcPr>
            <w:tcW w:w="0" w:type="auto"/>
            <w:tcBorders>
              <w:top w:val="single" w:sz="8" w:space="0" w:color="808080"/>
            </w:tcBorders>
            <w:shd w:val="clear" w:color="auto" w:fill="auto"/>
            <w:vAlign w:val="bottom"/>
          </w:tcPr>
          <w:p w14:paraId="606F71C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C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1D0" w14:textId="77777777" w:rsidR="00FB67F9" w:rsidRDefault="00FB67F9">
            <w:pPr>
              <w:textAlignment w:val="bottom"/>
              <w:rPr>
                <w:rFonts w:ascii="Times New Roman" w:hAnsi="Times New Roman"/>
                <w:sz w:val="20"/>
                <w:szCs w:val="20"/>
              </w:rPr>
            </w:pPr>
          </w:p>
        </w:tc>
      </w:tr>
      <w:tr w:rsidR="00FB67F9" w14:paraId="606F71D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1D2" w14:textId="77777777" w:rsidR="00FB67F9" w:rsidRDefault="00E839DF">
            <w:pPr>
              <w:textAlignment w:val="bottom"/>
              <w:rPr>
                <w:rFonts w:ascii="Times New Roman" w:hAnsi="Times New Roman"/>
                <w:sz w:val="17"/>
                <w:szCs w:val="17"/>
              </w:rPr>
            </w:pPr>
            <w:r>
              <w:rPr>
                <w:rFonts w:ascii="Arial" w:eastAsia="宋体" w:hAnsi="Arial" w:cs="Arial"/>
                <w:sz w:val="17"/>
                <w:szCs w:val="17"/>
              </w:rPr>
              <w:t>Time deposits</w:t>
            </w:r>
          </w:p>
        </w:tc>
        <w:tc>
          <w:tcPr>
            <w:tcW w:w="0" w:type="auto"/>
            <w:gridSpan w:val="2"/>
            <w:tcBorders>
              <w:top w:val="single" w:sz="8" w:space="0" w:color="808080"/>
            </w:tcBorders>
            <w:shd w:val="clear" w:color="auto" w:fill="auto"/>
            <w:tcMar>
              <w:top w:w="40" w:type="dxa"/>
              <w:left w:w="40" w:type="dxa"/>
              <w:bottom w:w="40" w:type="dxa"/>
            </w:tcMar>
            <w:vAlign w:val="bottom"/>
          </w:tcPr>
          <w:p w14:paraId="606F71D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1,791</w:t>
            </w:r>
          </w:p>
        </w:tc>
        <w:tc>
          <w:tcPr>
            <w:tcW w:w="0" w:type="auto"/>
            <w:tcBorders>
              <w:top w:val="single" w:sz="8" w:space="0" w:color="808080"/>
            </w:tcBorders>
            <w:shd w:val="clear" w:color="auto" w:fill="auto"/>
            <w:vAlign w:val="bottom"/>
          </w:tcPr>
          <w:p w14:paraId="606F71D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1,775</w:t>
            </w:r>
          </w:p>
        </w:tc>
        <w:tc>
          <w:tcPr>
            <w:tcW w:w="0" w:type="auto"/>
            <w:tcBorders>
              <w:top w:val="single" w:sz="8" w:space="0" w:color="808080"/>
            </w:tcBorders>
            <w:shd w:val="clear" w:color="auto" w:fill="auto"/>
            <w:vAlign w:val="bottom"/>
          </w:tcPr>
          <w:p w14:paraId="606F71D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1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808080"/>
            </w:tcBorders>
            <w:shd w:val="clear" w:color="auto" w:fill="auto"/>
            <w:vAlign w:val="bottom"/>
          </w:tcPr>
          <w:p w14:paraId="606F71D8" w14:textId="77777777" w:rsidR="00FB67F9" w:rsidRDefault="00FB67F9">
            <w:pPr>
              <w:textAlignment w:val="bottom"/>
              <w:rPr>
                <w:rFonts w:ascii="Times New Roman" w:hAnsi="Times New Roman"/>
                <w:sz w:val="20"/>
                <w:szCs w:val="20"/>
              </w:rPr>
            </w:pPr>
          </w:p>
        </w:tc>
      </w:tr>
      <w:tr w:rsidR="00FB67F9" w14:paraId="606F71E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1DA" w14:textId="77777777" w:rsidR="00FB67F9" w:rsidRDefault="00E839DF">
            <w:pPr>
              <w:textAlignment w:val="bottom"/>
              <w:rPr>
                <w:rFonts w:ascii="Times New Roman" w:hAnsi="Times New Roman"/>
                <w:sz w:val="17"/>
                <w:szCs w:val="17"/>
              </w:rPr>
            </w:pPr>
            <w:r>
              <w:rPr>
                <w:rFonts w:ascii="Arial" w:eastAsia="宋体" w:hAnsi="Arial" w:cs="Arial"/>
                <w:sz w:val="17"/>
                <w:szCs w:val="17"/>
              </w:rPr>
              <w:t>U.S. Agency securities</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1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vAlign w:val="bottom"/>
          </w:tcPr>
          <w:p w14:paraId="606F71D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1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1D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1D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vAlign w:val="bottom"/>
          </w:tcPr>
          <w:p w14:paraId="606F71E0" w14:textId="77777777" w:rsidR="00FB67F9" w:rsidRDefault="00FB67F9">
            <w:pPr>
              <w:textAlignment w:val="bottom"/>
              <w:rPr>
                <w:rFonts w:ascii="Times New Roman" w:hAnsi="Times New Roman"/>
                <w:sz w:val="20"/>
                <w:szCs w:val="20"/>
              </w:rPr>
            </w:pPr>
          </w:p>
        </w:tc>
      </w:tr>
      <w:tr w:rsidR="00FB67F9" w14:paraId="606F71E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1E2"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Level 2</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1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3,463</w:t>
            </w:r>
          </w:p>
        </w:tc>
        <w:tc>
          <w:tcPr>
            <w:tcW w:w="0" w:type="auto"/>
            <w:tcBorders>
              <w:top w:val="single" w:sz="8" w:space="0" w:color="E87722"/>
              <w:bottom w:val="single" w:sz="8" w:space="0" w:color="E87722"/>
            </w:tcBorders>
            <w:shd w:val="clear" w:color="auto" w:fill="auto"/>
            <w:vAlign w:val="bottom"/>
          </w:tcPr>
          <w:p w14:paraId="606F71E4"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1E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3,413</w:t>
            </w:r>
          </w:p>
        </w:tc>
        <w:tc>
          <w:tcPr>
            <w:tcW w:w="0" w:type="auto"/>
            <w:tcBorders>
              <w:top w:val="single" w:sz="8" w:space="0" w:color="E87722"/>
              <w:bottom w:val="single" w:sz="8" w:space="0" w:color="E87722"/>
            </w:tcBorders>
            <w:shd w:val="clear" w:color="auto" w:fill="auto"/>
            <w:vAlign w:val="bottom"/>
          </w:tcPr>
          <w:p w14:paraId="606F71E6"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1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w:t>
            </w:r>
          </w:p>
        </w:tc>
        <w:tc>
          <w:tcPr>
            <w:tcW w:w="0" w:type="auto"/>
            <w:tcBorders>
              <w:top w:val="single" w:sz="8" w:space="0" w:color="E87722"/>
              <w:bottom w:val="single" w:sz="8" w:space="0" w:color="E87722"/>
            </w:tcBorders>
            <w:shd w:val="clear" w:color="auto" w:fill="auto"/>
            <w:vAlign w:val="bottom"/>
          </w:tcPr>
          <w:p w14:paraId="606F71E8" w14:textId="77777777" w:rsidR="00FB67F9" w:rsidRDefault="00FB67F9">
            <w:pPr>
              <w:textAlignment w:val="bottom"/>
              <w:rPr>
                <w:rFonts w:ascii="Times New Roman" w:hAnsi="Times New Roman"/>
                <w:sz w:val="20"/>
                <w:szCs w:val="20"/>
              </w:rPr>
            </w:pPr>
          </w:p>
        </w:tc>
      </w:tr>
      <w:tr w:rsidR="00FB67F9" w14:paraId="606F71F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1E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1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1E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4,663</w:t>
            </w:r>
          </w:p>
        </w:tc>
        <w:tc>
          <w:tcPr>
            <w:tcW w:w="0" w:type="auto"/>
            <w:tcBorders>
              <w:top w:val="single" w:sz="8" w:space="0" w:color="E87722"/>
              <w:bottom w:val="single" w:sz="8" w:space="0" w:color="E87722"/>
            </w:tcBorders>
            <w:shd w:val="clear" w:color="auto" w:fill="auto"/>
            <w:vAlign w:val="bottom"/>
          </w:tcPr>
          <w:p w14:paraId="606F71E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1E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1E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4,466</w:t>
            </w:r>
          </w:p>
        </w:tc>
        <w:tc>
          <w:tcPr>
            <w:tcW w:w="0" w:type="auto"/>
            <w:tcBorders>
              <w:top w:val="single" w:sz="8" w:space="0" w:color="E87722"/>
              <w:bottom w:val="single" w:sz="8" w:space="0" w:color="E87722"/>
            </w:tcBorders>
            <w:shd w:val="clear" w:color="auto" w:fill="auto"/>
            <w:vAlign w:val="bottom"/>
          </w:tcPr>
          <w:p w14:paraId="606F71F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1F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1F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197</w:t>
            </w:r>
          </w:p>
        </w:tc>
        <w:tc>
          <w:tcPr>
            <w:tcW w:w="0" w:type="auto"/>
            <w:tcBorders>
              <w:top w:val="single" w:sz="8" w:space="0" w:color="E87722"/>
              <w:bottom w:val="single" w:sz="8" w:space="0" w:color="E87722"/>
            </w:tcBorders>
            <w:shd w:val="clear" w:color="auto" w:fill="auto"/>
            <w:vAlign w:val="bottom"/>
          </w:tcPr>
          <w:p w14:paraId="606F71F3" w14:textId="77777777" w:rsidR="00FB67F9" w:rsidRDefault="00FB67F9">
            <w:pPr>
              <w:textAlignment w:val="bottom"/>
              <w:rPr>
                <w:rFonts w:ascii="Times New Roman" w:hAnsi="Times New Roman"/>
                <w:sz w:val="20"/>
                <w:szCs w:val="20"/>
              </w:rPr>
            </w:pPr>
          </w:p>
        </w:tc>
      </w:tr>
    </w:tbl>
    <w:p w14:paraId="606F71F5" w14:textId="77777777" w:rsidR="00FB67F9" w:rsidRDefault="00FB67F9">
      <w:pPr>
        <w:spacing w:line="312" w:lineRule="auto"/>
        <w:rPr>
          <w:rFonts w:ascii="Times New Roman" w:hAnsi="Times New Roman"/>
          <w:sz w:val="20"/>
          <w:szCs w:val="20"/>
        </w:rPr>
      </w:pPr>
    </w:p>
    <w:p w14:paraId="606F71F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As of November 30, 2019, the Company held $387 million of available-for-sale debt securities with maturity dates within one year and $45 million with maturity dates over one year and less than five years in </w:t>
      </w:r>
      <w:r>
        <w:rPr>
          <w:rFonts w:ascii="Arial" w:eastAsia="宋体" w:hAnsi="Arial" w:cs="Arial"/>
          <w:i/>
          <w:iCs/>
          <w:sz w:val="17"/>
          <w:szCs w:val="17"/>
        </w:rPr>
        <w:t>Short-term investments</w:t>
      </w:r>
      <w:r>
        <w:rPr>
          <w:rFonts w:ascii="Arial" w:eastAsia="宋体" w:hAnsi="Arial" w:cs="Arial"/>
          <w:sz w:val="17"/>
          <w:szCs w:val="17"/>
        </w:rPr>
        <w:t xml:space="preserve"> on the Unaudited Condensed</w:t>
      </w:r>
      <w:r>
        <w:rPr>
          <w:rFonts w:ascii="Arial" w:eastAsia="宋体" w:hAnsi="Arial" w:cs="Arial"/>
          <w:sz w:val="17"/>
          <w:szCs w:val="17"/>
        </w:rPr>
        <w:t xml:space="preserve"> Consolidated Balance Sheets. The fair value of the Company's available-for-sale debt securities approximates their amortized cost.</w:t>
      </w:r>
    </w:p>
    <w:p w14:paraId="606F71F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Included in</w:t>
      </w:r>
      <w:r>
        <w:rPr>
          <w:rFonts w:ascii="Arial" w:eastAsia="宋体" w:hAnsi="Arial" w:cs="Arial"/>
          <w:i/>
          <w:iCs/>
          <w:sz w:val="17"/>
          <w:szCs w:val="17"/>
        </w:rPr>
        <w:t xml:space="preserve"> Interest expense (income), net</w:t>
      </w:r>
      <w:r>
        <w:rPr>
          <w:rFonts w:ascii="Arial" w:eastAsia="宋体" w:hAnsi="Arial" w:cs="Arial"/>
          <w:sz w:val="17"/>
          <w:szCs w:val="17"/>
        </w:rPr>
        <w:t xml:space="preserve"> was interest income related to the Company's investment portfolio of $14 million </w:t>
      </w:r>
      <w:r>
        <w:rPr>
          <w:rFonts w:ascii="Arial" w:eastAsia="宋体" w:hAnsi="Arial" w:cs="Arial"/>
          <w:sz w:val="17"/>
          <w:szCs w:val="17"/>
        </w:rPr>
        <w:t xml:space="preserve">and $20 million for the three months ended November 30, 2019 and 2018, respectively, and $35 million and $40 million for the six months ended November 30, 2019 and 2018, respectively. </w:t>
      </w:r>
    </w:p>
    <w:p w14:paraId="606F71F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following tables present information about the Company's derivative</w:t>
      </w:r>
      <w:r>
        <w:rPr>
          <w:rFonts w:ascii="Arial" w:eastAsia="宋体" w:hAnsi="Arial" w:cs="Arial"/>
          <w:sz w:val="17"/>
          <w:szCs w:val="17"/>
        </w:rPr>
        <w:t xml:space="preserve"> assets and liabilities measured at fair value on a recurring basis as of November 30, 2019 and May 31, 2019, and indicate the level in the fair value hierarchy in which the Company classifies the fair value measurement:</w:t>
      </w:r>
    </w:p>
    <w:tbl>
      <w:tblPr>
        <w:tblW w:w="5000" w:type="pct"/>
        <w:tblCellMar>
          <w:left w:w="0" w:type="dxa"/>
          <w:right w:w="0" w:type="dxa"/>
        </w:tblCellMar>
        <w:tblLook w:val="04A0" w:firstRow="1" w:lastRow="0" w:firstColumn="1" w:lastColumn="0" w:noHBand="0" w:noVBand="1"/>
      </w:tblPr>
      <w:tblGrid>
        <w:gridCol w:w="3184"/>
        <w:gridCol w:w="135"/>
        <w:gridCol w:w="483"/>
        <w:gridCol w:w="6"/>
        <w:gridCol w:w="135"/>
        <w:gridCol w:w="623"/>
        <w:gridCol w:w="6"/>
        <w:gridCol w:w="136"/>
        <w:gridCol w:w="809"/>
        <w:gridCol w:w="6"/>
        <w:gridCol w:w="130"/>
        <w:gridCol w:w="136"/>
        <w:gridCol w:w="709"/>
        <w:gridCol w:w="6"/>
        <w:gridCol w:w="136"/>
        <w:gridCol w:w="709"/>
        <w:gridCol w:w="6"/>
        <w:gridCol w:w="136"/>
        <w:gridCol w:w="809"/>
        <w:gridCol w:w="6"/>
      </w:tblGrid>
      <w:tr w:rsidR="00FB67F9" w14:paraId="606F71FA" w14:textId="77777777">
        <w:tc>
          <w:tcPr>
            <w:tcW w:w="0" w:type="auto"/>
            <w:gridSpan w:val="20"/>
            <w:shd w:val="clear" w:color="auto" w:fill="auto"/>
            <w:vAlign w:val="center"/>
          </w:tcPr>
          <w:p w14:paraId="606F71F9" w14:textId="77777777" w:rsidR="00FB67F9" w:rsidRDefault="00FB67F9">
            <w:pPr>
              <w:rPr>
                <w:rFonts w:ascii="Times New Roman" w:hAnsi="Times New Roman"/>
                <w:sz w:val="20"/>
                <w:szCs w:val="20"/>
              </w:rPr>
            </w:pPr>
          </w:p>
        </w:tc>
      </w:tr>
      <w:tr w:rsidR="00FB67F9" w14:paraId="606F720F" w14:textId="77777777">
        <w:tc>
          <w:tcPr>
            <w:tcW w:w="2150" w:type="pct"/>
            <w:shd w:val="clear" w:color="auto" w:fill="auto"/>
            <w:vAlign w:val="center"/>
          </w:tcPr>
          <w:p w14:paraId="606F71FB" w14:textId="77777777" w:rsidR="00FB67F9" w:rsidRDefault="00FB67F9">
            <w:pPr>
              <w:rPr>
                <w:rFonts w:ascii="Times New Roman" w:hAnsi="Times New Roman"/>
                <w:sz w:val="20"/>
                <w:szCs w:val="20"/>
              </w:rPr>
            </w:pPr>
          </w:p>
        </w:tc>
        <w:tc>
          <w:tcPr>
            <w:tcW w:w="50" w:type="pct"/>
            <w:shd w:val="clear" w:color="auto" w:fill="auto"/>
            <w:vAlign w:val="center"/>
          </w:tcPr>
          <w:p w14:paraId="606F71FC" w14:textId="77777777" w:rsidR="00FB67F9" w:rsidRDefault="00FB67F9">
            <w:pPr>
              <w:rPr>
                <w:rFonts w:ascii="Times New Roman" w:hAnsi="Times New Roman"/>
                <w:sz w:val="20"/>
                <w:szCs w:val="20"/>
              </w:rPr>
            </w:pPr>
          </w:p>
        </w:tc>
        <w:tc>
          <w:tcPr>
            <w:tcW w:w="350" w:type="pct"/>
            <w:shd w:val="clear" w:color="auto" w:fill="auto"/>
            <w:vAlign w:val="center"/>
          </w:tcPr>
          <w:p w14:paraId="606F71FD" w14:textId="77777777" w:rsidR="00FB67F9" w:rsidRDefault="00FB67F9">
            <w:pPr>
              <w:rPr>
                <w:rFonts w:ascii="Times New Roman" w:hAnsi="Times New Roman"/>
                <w:sz w:val="20"/>
                <w:szCs w:val="20"/>
              </w:rPr>
            </w:pPr>
          </w:p>
        </w:tc>
        <w:tc>
          <w:tcPr>
            <w:tcW w:w="50" w:type="pct"/>
            <w:shd w:val="clear" w:color="auto" w:fill="auto"/>
            <w:vAlign w:val="center"/>
          </w:tcPr>
          <w:p w14:paraId="606F71FE" w14:textId="77777777" w:rsidR="00FB67F9" w:rsidRDefault="00FB67F9">
            <w:pPr>
              <w:rPr>
                <w:rFonts w:ascii="Times New Roman" w:hAnsi="Times New Roman"/>
                <w:sz w:val="20"/>
                <w:szCs w:val="20"/>
              </w:rPr>
            </w:pPr>
          </w:p>
        </w:tc>
        <w:tc>
          <w:tcPr>
            <w:tcW w:w="50" w:type="pct"/>
            <w:shd w:val="clear" w:color="auto" w:fill="auto"/>
            <w:vAlign w:val="center"/>
          </w:tcPr>
          <w:p w14:paraId="606F71FF" w14:textId="77777777" w:rsidR="00FB67F9" w:rsidRDefault="00FB67F9">
            <w:pPr>
              <w:rPr>
                <w:rFonts w:ascii="Times New Roman" w:hAnsi="Times New Roman"/>
                <w:sz w:val="20"/>
                <w:szCs w:val="20"/>
              </w:rPr>
            </w:pPr>
          </w:p>
        </w:tc>
        <w:tc>
          <w:tcPr>
            <w:tcW w:w="350" w:type="pct"/>
            <w:shd w:val="clear" w:color="auto" w:fill="auto"/>
            <w:vAlign w:val="center"/>
          </w:tcPr>
          <w:p w14:paraId="606F7200" w14:textId="77777777" w:rsidR="00FB67F9" w:rsidRDefault="00FB67F9">
            <w:pPr>
              <w:rPr>
                <w:rFonts w:ascii="Times New Roman" w:hAnsi="Times New Roman"/>
                <w:sz w:val="20"/>
                <w:szCs w:val="20"/>
              </w:rPr>
            </w:pPr>
          </w:p>
        </w:tc>
        <w:tc>
          <w:tcPr>
            <w:tcW w:w="50" w:type="pct"/>
            <w:shd w:val="clear" w:color="auto" w:fill="auto"/>
            <w:vAlign w:val="center"/>
          </w:tcPr>
          <w:p w14:paraId="606F7201" w14:textId="77777777" w:rsidR="00FB67F9" w:rsidRDefault="00FB67F9">
            <w:pPr>
              <w:rPr>
                <w:rFonts w:ascii="Times New Roman" w:hAnsi="Times New Roman"/>
                <w:sz w:val="20"/>
                <w:szCs w:val="20"/>
              </w:rPr>
            </w:pPr>
          </w:p>
        </w:tc>
        <w:tc>
          <w:tcPr>
            <w:tcW w:w="50" w:type="pct"/>
            <w:shd w:val="clear" w:color="auto" w:fill="auto"/>
            <w:vAlign w:val="center"/>
          </w:tcPr>
          <w:p w14:paraId="606F7202" w14:textId="77777777" w:rsidR="00FB67F9" w:rsidRDefault="00FB67F9">
            <w:pPr>
              <w:rPr>
                <w:rFonts w:ascii="Times New Roman" w:hAnsi="Times New Roman"/>
                <w:sz w:val="20"/>
                <w:szCs w:val="20"/>
              </w:rPr>
            </w:pPr>
          </w:p>
        </w:tc>
        <w:tc>
          <w:tcPr>
            <w:tcW w:w="400" w:type="pct"/>
            <w:shd w:val="clear" w:color="auto" w:fill="auto"/>
            <w:vAlign w:val="center"/>
          </w:tcPr>
          <w:p w14:paraId="606F7203" w14:textId="77777777" w:rsidR="00FB67F9" w:rsidRDefault="00FB67F9">
            <w:pPr>
              <w:rPr>
                <w:rFonts w:ascii="Times New Roman" w:hAnsi="Times New Roman"/>
                <w:sz w:val="20"/>
                <w:szCs w:val="20"/>
              </w:rPr>
            </w:pPr>
          </w:p>
        </w:tc>
        <w:tc>
          <w:tcPr>
            <w:tcW w:w="50" w:type="pct"/>
            <w:shd w:val="clear" w:color="auto" w:fill="auto"/>
            <w:vAlign w:val="center"/>
          </w:tcPr>
          <w:p w14:paraId="606F7204" w14:textId="77777777" w:rsidR="00FB67F9" w:rsidRDefault="00FB67F9">
            <w:pPr>
              <w:rPr>
                <w:rFonts w:ascii="Times New Roman" w:hAnsi="Times New Roman"/>
                <w:sz w:val="20"/>
                <w:szCs w:val="20"/>
              </w:rPr>
            </w:pPr>
          </w:p>
        </w:tc>
        <w:tc>
          <w:tcPr>
            <w:tcW w:w="50" w:type="pct"/>
            <w:shd w:val="clear" w:color="auto" w:fill="auto"/>
            <w:vAlign w:val="center"/>
          </w:tcPr>
          <w:p w14:paraId="606F7205" w14:textId="77777777" w:rsidR="00FB67F9" w:rsidRDefault="00FB67F9">
            <w:pPr>
              <w:rPr>
                <w:rFonts w:ascii="Times New Roman" w:hAnsi="Times New Roman"/>
                <w:sz w:val="20"/>
                <w:szCs w:val="20"/>
              </w:rPr>
            </w:pPr>
          </w:p>
        </w:tc>
        <w:tc>
          <w:tcPr>
            <w:tcW w:w="50" w:type="pct"/>
            <w:shd w:val="clear" w:color="auto" w:fill="auto"/>
            <w:vAlign w:val="center"/>
          </w:tcPr>
          <w:p w14:paraId="606F7206" w14:textId="77777777" w:rsidR="00FB67F9" w:rsidRDefault="00FB67F9">
            <w:pPr>
              <w:rPr>
                <w:rFonts w:ascii="Times New Roman" w:hAnsi="Times New Roman"/>
                <w:sz w:val="20"/>
                <w:szCs w:val="20"/>
              </w:rPr>
            </w:pPr>
          </w:p>
        </w:tc>
        <w:tc>
          <w:tcPr>
            <w:tcW w:w="350" w:type="pct"/>
            <w:shd w:val="clear" w:color="auto" w:fill="auto"/>
            <w:vAlign w:val="center"/>
          </w:tcPr>
          <w:p w14:paraId="606F7207" w14:textId="77777777" w:rsidR="00FB67F9" w:rsidRDefault="00FB67F9">
            <w:pPr>
              <w:rPr>
                <w:rFonts w:ascii="Times New Roman" w:hAnsi="Times New Roman"/>
                <w:sz w:val="20"/>
                <w:szCs w:val="20"/>
              </w:rPr>
            </w:pPr>
          </w:p>
        </w:tc>
        <w:tc>
          <w:tcPr>
            <w:tcW w:w="50" w:type="pct"/>
            <w:shd w:val="clear" w:color="auto" w:fill="auto"/>
            <w:vAlign w:val="center"/>
          </w:tcPr>
          <w:p w14:paraId="606F7208" w14:textId="77777777" w:rsidR="00FB67F9" w:rsidRDefault="00FB67F9">
            <w:pPr>
              <w:rPr>
                <w:rFonts w:ascii="Times New Roman" w:hAnsi="Times New Roman"/>
                <w:sz w:val="20"/>
                <w:szCs w:val="20"/>
              </w:rPr>
            </w:pPr>
          </w:p>
        </w:tc>
        <w:tc>
          <w:tcPr>
            <w:tcW w:w="50" w:type="pct"/>
            <w:shd w:val="clear" w:color="auto" w:fill="auto"/>
            <w:vAlign w:val="center"/>
          </w:tcPr>
          <w:p w14:paraId="606F7209" w14:textId="77777777" w:rsidR="00FB67F9" w:rsidRDefault="00FB67F9">
            <w:pPr>
              <w:rPr>
                <w:rFonts w:ascii="Times New Roman" w:hAnsi="Times New Roman"/>
                <w:sz w:val="20"/>
                <w:szCs w:val="20"/>
              </w:rPr>
            </w:pPr>
          </w:p>
        </w:tc>
        <w:tc>
          <w:tcPr>
            <w:tcW w:w="350" w:type="pct"/>
            <w:shd w:val="clear" w:color="auto" w:fill="auto"/>
            <w:vAlign w:val="center"/>
          </w:tcPr>
          <w:p w14:paraId="606F720A" w14:textId="77777777" w:rsidR="00FB67F9" w:rsidRDefault="00FB67F9">
            <w:pPr>
              <w:rPr>
                <w:rFonts w:ascii="Times New Roman" w:hAnsi="Times New Roman"/>
                <w:sz w:val="20"/>
                <w:szCs w:val="20"/>
              </w:rPr>
            </w:pPr>
          </w:p>
        </w:tc>
        <w:tc>
          <w:tcPr>
            <w:tcW w:w="50" w:type="pct"/>
            <w:shd w:val="clear" w:color="auto" w:fill="auto"/>
            <w:vAlign w:val="center"/>
          </w:tcPr>
          <w:p w14:paraId="606F720B" w14:textId="77777777" w:rsidR="00FB67F9" w:rsidRDefault="00FB67F9">
            <w:pPr>
              <w:rPr>
                <w:rFonts w:ascii="Times New Roman" w:hAnsi="Times New Roman"/>
                <w:sz w:val="20"/>
                <w:szCs w:val="20"/>
              </w:rPr>
            </w:pPr>
          </w:p>
        </w:tc>
        <w:tc>
          <w:tcPr>
            <w:tcW w:w="50" w:type="pct"/>
            <w:shd w:val="clear" w:color="auto" w:fill="auto"/>
            <w:vAlign w:val="center"/>
          </w:tcPr>
          <w:p w14:paraId="606F720C" w14:textId="77777777" w:rsidR="00FB67F9" w:rsidRDefault="00FB67F9">
            <w:pPr>
              <w:rPr>
                <w:rFonts w:ascii="Times New Roman" w:hAnsi="Times New Roman"/>
                <w:sz w:val="20"/>
                <w:szCs w:val="20"/>
              </w:rPr>
            </w:pPr>
          </w:p>
        </w:tc>
        <w:tc>
          <w:tcPr>
            <w:tcW w:w="400" w:type="pct"/>
            <w:shd w:val="clear" w:color="auto" w:fill="auto"/>
            <w:vAlign w:val="center"/>
          </w:tcPr>
          <w:p w14:paraId="606F720D" w14:textId="77777777" w:rsidR="00FB67F9" w:rsidRDefault="00FB67F9">
            <w:pPr>
              <w:rPr>
                <w:rFonts w:ascii="Times New Roman" w:hAnsi="Times New Roman"/>
                <w:sz w:val="20"/>
                <w:szCs w:val="20"/>
              </w:rPr>
            </w:pPr>
          </w:p>
        </w:tc>
        <w:tc>
          <w:tcPr>
            <w:tcW w:w="50" w:type="pct"/>
            <w:shd w:val="clear" w:color="auto" w:fill="auto"/>
            <w:vAlign w:val="center"/>
          </w:tcPr>
          <w:p w14:paraId="606F720E" w14:textId="77777777" w:rsidR="00FB67F9" w:rsidRDefault="00FB67F9">
            <w:pPr>
              <w:rPr>
                <w:rFonts w:ascii="Times New Roman" w:hAnsi="Times New Roman"/>
                <w:sz w:val="20"/>
                <w:szCs w:val="20"/>
              </w:rPr>
            </w:pPr>
          </w:p>
        </w:tc>
      </w:tr>
      <w:tr w:rsidR="00FB67F9" w14:paraId="606F7212" w14:textId="77777777">
        <w:tc>
          <w:tcPr>
            <w:tcW w:w="0" w:type="auto"/>
            <w:shd w:val="clear" w:color="auto" w:fill="auto"/>
            <w:tcMar>
              <w:top w:w="40" w:type="dxa"/>
              <w:left w:w="40" w:type="dxa"/>
              <w:bottom w:w="40" w:type="dxa"/>
              <w:right w:w="40" w:type="dxa"/>
            </w:tcMar>
            <w:vAlign w:val="bottom"/>
          </w:tcPr>
          <w:p w14:paraId="606F721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E87722"/>
            </w:tcBorders>
            <w:shd w:val="clear" w:color="auto" w:fill="auto"/>
            <w:tcMar>
              <w:top w:w="40" w:type="dxa"/>
              <w:left w:w="40" w:type="dxa"/>
              <w:bottom w:w="40" w:type="dxa"/>
            </w:tcMar>
            <w:vAlign w:val="bottom"/>
          </w:tcPr>
          <w:p w14:paraId="606F721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 2019</w:t>
            </w:r>
          </w:p>
        </w:tc>
      </w:tr>
      <w:tr w:rsidR="00FB67F9" w14:paraId="606F7217" w14:textId="77777777">
        <w:tc>
          <w:tcPr>
            <w:tcW w:w="0" w:type="auto"/>
            <w:shd w:val="clear" w:color="auto" w:fill="auto"/>
            <w:tcMar>
              <w:top w:w="40" w:type="dxa"/>
              <w:left w:w="40" w:type="dxa"/>
              <w:bottom w:w="40" w:type="dxa"/>
              <w:right w:w="40" w:type="dxa"/>
            </w:tcMar>
            <w:vAlign w:val="bottom"/>
          </w:tcPr>
          <w:p w14:paraId="606F721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606F721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ASSETS</w:t>
            </w:r>
          </w:p>
        </w:tc>
        <w:tc>
          <w:tcPr>
            <w:tcW w:w="0" w:type="auto"/>
            <w:shd w:val="clear" w:color="auto" w:fill="auto"/>
            <w:tcMar>
              <w:top w:w="40" w:type="dxa"/>
              <w:left w:w="40" w:type="dxa"/>
              <w:bottom w:w="40" w:type="dxa"/>
              <w:right w:w="40" w:type="dxa"/>
            </w:tcMar>
            <w:vAlign w:val="bottom"/>
          </w:tcPr>
          <w:p w14:paraId="606F721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606F721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LIABILITIES</w:t>
            </w:r>
          </w:p>
        </w:tc>
      </w:tr>
      <w:tr w:rsidR="00FB67F9" w14:paraId="606F7226"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218"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21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tcBorders>
              <w:bottom w:val="single" w:sz="8" w:space="0" w:color="E87722"/>
            </w:tcBorders>
            <w:shd w:val="clear" w:color="auto" w:fill="auto"/>
            <w:vAlign w:val="bottom"/>
          </w:tcPr>
          <w:p w14:paraId="606F721A"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1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CURRENT ASSETS</w:t>
            </w:r>
          </w:p>
        </w:tc>
        <w:tc>
          <w:tcPr>
            <w:tcW w:w="0" w:type="auto"/>
            <w:tcBorders>
              <w:bottom w:val="single" w:sz="8" w:space="0" w:color="E87722"/>
            </w:tcBorders>
            <w:shd w:val="clear" w:color="auto" w:fill="auto"/>
            <w:vAlign w:val="bottom"/>
          </w:tcPr>
          <w:p w14:paraId="606F721C"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1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ASSETS</w:t>
            </w:r>
          </w:p>
        </w:tc>
        <w:tc>
          <w:tcPr>
            <w:tcW w:w="0" w:type="auto"/>
            <w:tcBorders>
              <w:bottom w:val="single" w:sz="8" w:space="0" w:color="E87722"/>
            </w:tcBorders>
            <w:shd w:val="clear" w:color="auto" w:fill="auto"/>
            <w:vAlign w:val="bottom"/>
          </w:tcPr>
          <w:p w14:paraId="606F721E"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21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722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LIABILITIES AT FAIR VALUE</w:t>
            </w:r>
          </w:p>
        </w:tc>
        <w:tc>
          <w:tcPr>
            <w:tcW w:w="0" w:type="auto"/>
            <w:tcBorders>
              <w:bottom w:val="single" w:sz="8" w:space="0" w:color="E87722"/>
            </w:tcBorders>
            <w:shd w:val="clear" w:color="auto" w:fill="auto"/>
            <w:vAlign w:val="bottom"/>
          </w:tcPr>
          <w:p w14:paraId="606F722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2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ACCRUED LIABILITIES</w:t>
            </w:r>
          </w:p>
        </w:tc>
        <w:tc>
          <w:tcPr>
            <w:tcW w:w="0" w:type="auto"/>
            <w:tcBorders>
              <w:bottom w:val="single" w:sz="8" w:space="0" w:color="E87722"/>
            </w:tcBorders>
            <w:shd w:val="clear" w:color="auto" w:fill="auto"/>
            <w:vAlign w:val="bottom"/>
          </w:tcPr>
          <w:p w14:paraId="606F7223"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24"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LIABILITIES</w:t>
            </w:r>
          </w:p>
        </w:tc>
        <w:tc>
          <w:tcPr>
            <w:tcW w:w="0" w:type="auto"/>
            <w:tcBorders>
              <w:bottom w:val="single" w:sz="8" w:space="0" w:color="E87722"/>
            </w:tcBorders>
            <w:shd w:val="clear" w:color="auto" w:fill="auto"/>
            <w:vAlign w:val="bottom"/>
          </w:tcPr>
          <w:p w14:paraId="606F7225" w14:textId="77777777" w:rsidR="00FB67F9" w:rsidRDefault="00FB67F9">
            <w:pPr>
              <w:textAlignment w:val="bottom"/>
              <w:rPr>
                <w:rFonts w:ascii="Times New Roman" w:hAnsi="Times New Roman"/>
                <w:sz w:val="20"/>
                <w:szCs w:val="20"/>
              </w:rPr>
            </w:pPr>
          </w:p>
        </w:tc>
      </w:tr>
      <w:tr w:rsidR="00FB67F9" w14:paraId="606F722F" w14:textId="77777777">
        <w:tc>
          <w:tcPr>
            <w:tcW w:w="0" w:type="auto"/>
            <w:shd w:val="clear" w:color="auto" w:fill="auto"/>
            <w:tcMar>
              <w:top w:w="40" w:type="dxa"/>
              <w:left w:w="40" w:type="dxa"/>
              <w:bottom w:w="40" w:type="dxa"/>
              <w:right w:w="40" w:type="dxa"/>
            </w:tcMar>
            <w:vAlign w:val="bottom"/>
          </w:tcPr>
          <w:p w14:paraId="606F7227" w14:textId="77777777" w:rsidR="00FB67F9" w:rsidRDefault="00E839DF">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shd w:val="clear" w:color="auto" w:fill="FFF1E7"/>
            <w:tcMar>
              <w:top w:w="40" w:type="dxa"/>
              <w:left w:w="40" w:type="dxa"/>
              <w:bottom w:w="40" w:type="dxa"/>
              <w:right w:w="40" w:type="dxa"/>
            </w:tcMar>
            <w:vAlign w:val="bottom"/>
          </w:tcPr>
          <w:p w14:paraId="606F722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22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22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right w:w="40" w:type="dxa"/>
            </w:tcMar>
            <w:vAlign w:val="bottom"/>
          </w:tcPr>
          <w:p w14:paraId="606F722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2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2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22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24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230"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r>
              <w:rPr>
                <w:rFonts w:ascii="Arial" w:eastAsia="宋体" w:hAnsi="Arial" w:cs="Arial"/>
                <w:sz w:val="15"/>
                <w:szCs w:val="15"/>
              </w:rPr>
              <w:t>(1)</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23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23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427</w:t>
            </w:r>
          </w:p>
        </w:tc>
        <w:tc>
          <w:tcPr>
            <w:tcW w:w="0" w:type="auto"/>
            <w:tcBorders>
              <w:top w:val="single" w:sz="8" w:space="0" w:color="808080"/>
              <w:bottom w:val="single" w:sz="8" w:space="0" w:color="808080"/>
            </w:tcBorders>
            <w:shd w:val="clear" w:color="auto" w:fill="FFF1E7"/>
            <w:vAlign w:val="bottom"/>
          </w:tcPr>
          <w:p w14:paraId="606F7233"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23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23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393</w:t>
            </w:r>
          </w:p>
        </w:tc>
        <w:tc>
          <w:tcPr>
            <w:tcW w:w="0" w:type="auto"/>
            <w:tcBorders>
              <w:top w:val="single" w:sz="8" w:space="0" w:color="808080"/>
              <w:bottom w:val="single" w:sz="8" w:space="0" w:color="808080"/>
            </w:tcBorders>
            <w:shd w:val="clear" w:color="auto" w:fill="FFF1E7"/>
            <w:vAlign w:val="bottom"/>
          </w:tcPr>
          <w:p w14:paraId="606F7236"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23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23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FFF1E7"/>
            <w:vAlign w:val="bottom"/>
          </w:tcPr>
          <w:p w14:paraId="606F7239"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606F723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23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23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73</w:t>
            </w:r>
          </w:p>
        </w:tc>
        <w:tc>
          <w:tcPr>
            <w:tcW w:w="0" w:type="auto"/>
            <w:tcBorders>
              <w:top w:val="single" w:sz="8" w:space="0" w:color="808080"/>
              <w:bottom w:val="single" w:sz="8" w:space="0" w:color="808080"/>
            </w:tcBorders>
            <w:shd w:val="clear" w:color="auto" w:fill="FFF1E7"/>
            <w:vAlign w:val="bottom"/>
          </w:tcPr>
          <w:p w14:paraId="606F723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23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2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72</w:t>
            </w:r>
          </w:p>
        </w:tc>
        <w:tc>
          <w:tcPr>
            <w:tcW w:w="0" w:type="auto"/>
            <w:tcBorders>
              <w:top w:val="single" w:sz="8" w:space="0" w:color="808080"/>
              <w:bottom w:val="single" w:sz="8" w:space="0" w:color="808080"/>
            </w:tcBorders>
            <w:shd w:val="clear" w:color="auto" w:fill="FFF1E7"/>
            <w:vAlign w:val="bottom"/>
          </w:tcPr>
          <w:p w14:paraId="606F7240"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24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24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FFF1E7"/>
            <w:vAlign w:val="bottom"/>
          </w:tcPr>
          <w:p w14:paraId="606F7243" w14:textId="77777777" w:rsidR="00FB67F9" w:rsidRDefault="00FB67F9">
            <w:pPr>
              <w:textAlignment w:val="bottom"/>
              <w:rPr>
                <w:rFonts w:ascii="Times New Roman" w:hAnsi="Times New Roman"/>
                <w:sz w:val="20"/>
                <w:szCs w:val="20"/>
              </w:rPr>
            </w:pPr>
          </w:p>
        </w:tc>
      </w:tr>
      <w:tr w:rsidR="00FB67F9" w14:paraId="606F7253" w14:textId="77777777">
        <w:tc>
          <w:tcPr>
            <w:tcW w:w="0" w:type="auto"/>
            <w:shd w:val="clear" w:color="auto" w:fill="auto"/>
            <w:tcMar>
              <w:top w:w="40" w:type="dxa"/>
              <w:left w:w="240" w:type="dxa"/>
              <w:bottom w:w="40" w:type="dxa"/>
              <w:right w:w="40" w:type="dxa"/>
            </w:tcMar>
            <w:vAlign w:val="bottom"/>
          </w:tcPr>
          <w:p w14:paraId="606F7245" w14:textId="77777777" w:rsidR="00FB67F9" w:rsidRDefault="00E839DF">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gridSpan w:val="2"/>
            <w:shd w:val="clear" w:color="auto" w:fill="FFF1E7"/>
            <w:tcMar>
              <w:top w:w="40" w:type="dxa"/>
              <w:left w:w="40" w:type="dxa"/>
              <w:bottom w:w="40" w:type="dxa"/>
            </w:tcMar>
            <w:vAlign w:val="bottom"/>
          </w:tcPr>
          <w:p w14:paraId="606F724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247"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24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249"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2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24B" w14:textId="77777777" w:rsidR="00FB67F9" w:rsidRDefault="00FB67F9">
            <w:pPr>
              <w:textAlignment w:val="bottom"/>
              <w:rPr>
                <w:rFonts w:ascii="Times New Roman" w:hAnsi="Times New Roman"/>
                <w:sz w:val="20"/>
                <w:szCs w:val="20"/>
              </w:rPr>
            </w:pPr>
          </w:p>
        </w:tc>
        <w:tc>
          <w:tcPr>
            <w:tcW w:w="0" w:type="auto"/>
            <w:shd w:val="clear" w:color="auto" w:fill="FFF1E7"/>
            <w:tcMar>
              <w:top w:w="40" w:type="dxa"/>
              <w:left w:w="40" w:type="dxa"/>
              <w:bottom w:w="40" w:type="dxa"/>
              <w:right w:w="40" w:type="dxa"/>
            </w:tcMar>
            <w:vAlign w:val="bottom"/>
          </w:tcPr>
          <w:p w14:paraId="606F724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24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24E"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2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250"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25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252" w14:textId="77777777" w:rsidR="00FB67F9" w:rsidRDefault="00FB67F9">
            <w:pPr>
              <w:textAlignment w:val="bottom"/>
              <w:rPr>
                <w:rFonts w:ascii="Times New Roman" w:hAnsi="Times New Roman"/>
                <w:sz w:val="20"/>
                <w:szCs w:val="20"/>
              </w:rPr>
            </w:pPr>
          </w:p>
        </w:tc>
      </w:tr>
      <w:tr w:rsidR="00FB67F9" w14:paraId="606F7268"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25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25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25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427</w:t>
            </w:r>
          </w:p>
        </w:tc>
        <w:tc>
          <w:tcPr>
            <w:tcW w:w="0" w:type="auto"/>
            <w:tcBorders>
              <w:top w:val="single" w:sz="8" w:space="0" w:color="E87722"/>
              <w:bottom w:val="single" w:sz="8" w:space="0" w:color="E87722"/>
            </w:tcBorders>
            <w:shd w:val="clear" w:color="auto" w:fill="FFF1E7"/>
            <w:vAlign w:val="bottom"/>
          </w:tcPr>
          <w:p w14:paraId="606F725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25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25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393</w:t>
            </w:r>
          </w:p>
        </w:tc>
        <w:tc>
          <w:tcPr>
            <w:tcW w:w="0" w:type="auto"/>
            <w:tcBorders>
              <w:top w:val="single" w:sz="8" w:space="0" w:color="E87722"/>
              <w:bottom w:val="single" w:sz="8" w:space="0" w:color="E87722"/>
            </w:tcBorders>
            <w:shd w:val="clear" w:color="auto" w:fill="FFF1E7"/>
            <w:vAlign w:val="bottom"/>
          </w:tcPr>
          <w:p w14:paraId="606F725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25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25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34</w:t>
            </w:r>
          </w:p>
        </w:tc>
        <w:tc>
          <w:tcPr>
            <w:tcW w:w="0" w:type="auto"/>
            <w:tcBorders>
              <w:top w:val="single" w:sz="8" w:space="0" w:color="E87722"/>
              <w:bottom w:val="single" w:sz="8" w:space="0" w:color="E87722"/>
            </w:tcBorders>
            <w:shd w:val="clear" w:color="auto" w:fill="FFF1E7"/>
            <w:vAlign w:val="bottom"/>
          </w:tcPr>
          <w:p w14:paraId="606F725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right w:w="40" w:type="dxa"/>
            </w:tcMar>
            <w:vAlign w:val="bottom"/>
          </w:tcPr>
          <w:p w14:paraId="606F725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25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26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73</w:t>
            </w:r>
          </w:p>
        </w:tc>
        <w:tc>
          <w:tcPr>
            <w:tcW w:w="0" w:type="auto"/>
            <w:tcBorders>
              <w:top w:val="single" w:sz="8" w:space="0" w:color="E87722"/>
              <w:bottom w:val="single" w:sz="8" w:space="0" w:color="E87722"/>
            </w:tcBorders>
            <w:shd w:val="clear" w:color="auto" w:fill="FFF1E7"/>
            <w:vAlign w:val="bottom"/>
          </w:tcPr>
          <w:p w14:paraId="606F726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26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26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72</w:t>
            </w:r>
          </w:p>
        </w:tc>
        <w:tc>
          <w:tcPr>
            <w:tcW w:w="0" w:type="auto"/>
            <w:tcBorders>
              <w:top w:val="single" w:sz="8" w:space="0" w:color="E87722"/>
              <w:bottom w:val="single" w:sz="8" w:space="0" w:color="E87722"/>
            </w:tcBorders>
            <w:shd w:val="clear" w:color="auto" w:fill="FFF1E7"/>
            <w:vAlign w:val="bottom"/>
          </w:tcPr>
          <w:p w14:paraId="606F726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26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26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FFF1E7"/>
            <w:vAlign w:val="bottom"/>
          </w:tcPr>
          <w:p w14:paraId="606F7267" w14:textId="77777777" w:rsidR="00FB67F9" w:rsidRDefault="00FB67F9">
            <w:pPr>
              <w:textAlignment w:val="bottom"/>
              <w:rPr>
                <w:rFonts w:ascii="Times New Roman" w:hAnsi="Times New Roman"/>
                <w:sz w:val="20"/>
                <w:szCs w:val="20"/>
              </w:rPr>
            </w:pPr>
          </w:p>
        </w:tc>
      </w:tr>
    </w:tbl>
    <w:p w14:paraId="606F7269"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26C" w14:textId="77777777">
        <w:trPr>
          <w:tblCellSpacing w:w="0" w:type="dxa"/>
        </w:trPr>
        <w:tc>
          <w:tcPr>
            <w:tcW w:w="480" w:type="dxa"/>
            <w:shd w:val="clear" w:color="auto" w:fill="auto"/>
            <w:vAlign w:val="center"/>
          </w:tcPr>
          <w:p w14:paraId="606F726A" w14:textId="77777777" w:rsidR="00FB67F9" w:rsidRDefault="00FB67F9">
            <w:pPr>
              <w:rPr>
                <w:rFonts w:ascii="Times New Roman" w:hAnsi="Times New Roman"/>
                <w:sz w:val="20"/>
                <w:szCs w:val="20"/>
              </w:rPr>
            </w:pPr>
          </w:p>
        </w:tc>
        <w:tc>
          <w:tcPr>
            <w:tcW w:w="0" w:type="auto"/>
            <w:shd w:val="clear" w:color="auto" w:fill="auto"/>
            <w:vAlign w:val="center"/>
          </w:tcPr>
          <w:p w14:paraId="606F726B" w14:textId="77777777" w:rsidR="00FB67F9" w:rsidRDefault="00FB67F9">
            <w:pPr>
              <w:rPr>
                <w:rFonts w:ascii="Times New Roman" w:hAnsi="Times New Roman"/>
                <w:sz w:val="20"/>
                <w:szCs w:val="20"/>
              </w:rPr>
            </w:pPr>
          </w:p>
        </w:tc>
      </w:tr>
      <w:tr w:rsidR="00FB67F9" w14:paraId="606F726F" w14:textId="77777777">
        <w:trPr>
          <w:tblCellSpacing w:w="0" w:type="dxa"/>
        </w:trPr>
        <w:tc>
          <w:tcPr>
            <w:tcW w:w="0" w:type="auto"/>
            <w:shd w:val="clear" w:color="auto" w:fill="auto"/>
          </w:tcPr>
          <w:p w14:paraId="606F726D"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26E"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If the foreign exchange derivative instruments had been netted on the Unaudited Condensed Consolidated Balance Sheets, the asset and liability positions each would have been reduced by $53 million as of November 30, 2019. As of that date, the Company had r</w:t>
            </w:r>
            <w:r>
              <w:rPr>
                <w:rFonts w:ascii="Arial" w:eastAsia="宋体" w:hAnsi="Arial" w:cs="Arial"/>
                <w:i/>
                <w:iCs/>
                <w:color w:val="000000"/>
                <w:sz w:val="14"/>
                <w:szCs w:val="14"/>
              </w:rPr>
              <w:t xml:space="preserve">eceived $122 million of cash collateral from various counterparties related to foreign exchange derivative instruments. No amount of collateral was posted on the Company's derivative liability balance as of November 30, 2019. </w:t>
            </w:r>
          </w:p>
        </w:tc>
      </w:tr>
    </w:tbl>
    <w:p w14:paraId="606F7270"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3184"/>
        <w:gridCol w:w="135"/>
        <w:gridCol w:w="483"/>
        <w:gridCol w:w="6"/>
        <w:gridCol w:w="135"/>
        <w:gridCol w:w="623"/>
        <w:gridCol w:w="6"/>
        <w:gridCol w:w="136"/>
        <w:gridCol w:w="809"/>
        <w:gridCol w:w="6"/>
        <w:gridCol w:w="130"/>
        <w:gridCol w:w="136"/>
        <w:gridCol w:w="709"/>
        <w:gridCol w:w="6"/>
        <w:gridCol w:w="136"/>
        <w:gridCol w:w="709"/>
        <w:gridCol w:w="6"/>
        <w:gridCol w:w="136"/>
        <w:gridCol w:w="809"/>
        <w:gridCol w:w="6"/>
      </w:tblGrid>
      <w:tr w:rsidR="00FB67F9" w14:paraId="606F7272" w14:textId="77777777">
        <w:tc>
          <w:tcPr>
            <w:tcW w:w="0" w:type="auto"/>
            <w:gridSpan w:val="20"/>
            <w:shd w:val="clear" w:color="auto" w:fill="auto"/>
            <w:vAlign w:val="center"/>
          </w:tcPr>
          <w:p w14:paraId="606F7271" w14:textId="77777777" w:rsidR="00FB67F9" w:rsidRDefault="00FB67F9">
            <w:pPr>
              <w:rPr>
                <w:rFonts w:ascii="Times New Roman" w:hAnsi="Times New Roman"/>
                <w:sz w:val="20"/>
                <w:szCs w:val="20"/>
              </w:rPr>
            </w:pPr>
          </w:p>
        </w:tc>
      </w:tr>
      <w:tr w:rsidR="00FB67F9" w14:paraId="606F7287" w14:textId="77777777">
        <w:tc>
          <w:tcPr>
            <w:tcW w:w="2150" w:type="pct"/>
            <w:shd w:val="clear" w:color="auto" w:fill="auto"/>
            <w:vAlign w:val="center"/>
          </w:tcPr>
          <w:p w14:paraId="606F7273" w14:textId="77777777" w:rsidR="00FB67F9" w:rsidRDefault="00FB67F9">
            <w:pPr>
              <w:rPr>
                <w:rFonts w:ascii="Times New Roman" w:hAnsi="Times New Roman"/>
                <w:sz w:val="20"/>
                <w:szCs w:val="20"/>
              </w:rPr>
            </w:pPr>
          </w:p>
        </w:tc>
        <w:tc>
          <w:tcPr>
            <w:tcW w:w="50" w:type="pct"/>
            <w:shd w:val="clear" w:color="auto" w:fill="auto"/>
            <w:vAlign w:val="center"/>
          </w:tcPr>
          <w:p w14:paraId="606F7274" w14:textId="77777777" w:rsidR="00FB67F9" w:rsidRDefault="00FB67F9">
            <w:pPr>
              <w:rPr>
                <w:rFonts w:ascii="Times New Roman" w:hAnsi="Times New Roman"/>
                <w:sz w:val="20"/>
                <w:szCs w:val="20"/>
              </w:rPr>
            </w:pPr>
          </w:p>
        </w:tc>
        <w:tc>
          <w:tcPr>
            <w:tcW w:w="350" w:type="pct"/>
            <w:shd w:val="clear" w:color="auto" w:fill="auto"/>
            <w:vAlign w:val="center"/>
          </w:tcPr>
          <w:p w14:paraId="606F7275" w14:textId="77777777" w:rsidR="00FB67F9" w:rsidRDefault="00FB67F9">
            <w:pPr>
              <w:rPr>
                <w:rFonts w:ascii="Times New Roman" w:hAnsi="Times New Roman"/>
                <w:sz w:val="20"/>
                <w:szCs w:val="20"/>
              </w:rPr>
            </w:pPr>
          </w:p>
        </w:tc>
        <w:tc>
          <w:tcPr>
            <w:tcW w:w="50" w:type="pct"/>
            <w:shd w:val="clear" w:color="auto" w:fill="auto"/>
            <w:vAlign w:val="center"/>
          </w:tcPr>
          <w:p w14:paraId="606F7276" w14:textId="77777777" w:rsidR="00FB67F9" w:rsidRDefault="00FB67F9">
            <w:pPr>
              <w:rPr>
                <w:rFonts w:ascii="Times New Roman" w:hAnsi="Times New Roman"/>
                <w:sz w:val="20"/>
                <w:szCs w:val="20"/>
              </w:rPr>
            </w:pPr>
          </w:p>
        </w:tc>
        <w:tc>
          <w:tcPr>
            <w:tcW w:w="50" w:type="pct"/>
            <w:shd w:val="clear" w:color="auto" w:fill="auto"/>
            <w:vAlign w:val="center"/>
          </w:tcPr>
          <w:p w14:paraId="606F7277" w14:textId="77777777" w:rsidR="00FB67F9" w:rsidRDefault="00FB67F9">
            <w:pPr>
              <w:rPr>
                <w:rFonts w:ascii="Times New Roman" w:hAnsi="Times New Roman"/>
                <w:sz w:val="20"/>
                <w:szCs w:val="20"/>
              </w:rPr>
            </w:pPr>
          </w:p>
        </w:tc>
        <w:tc>
          <w:tcPr>
            <w:tcW w:w="350" w:type="pct"/>
            <w:shd w:val="clear" w:color="auto" w:fill="auto"/>
            <w:vAlign w:val="center"/>
          </w:tcPr>
          <w:p w14:paraId="606F7278" w14:textId="77777777" w:rsidR="00FB67F9" w:rsidRDefault="00FB67F9">
            <w:pPr>
              <w:rPr>
                <w:rFonts w:ascii="Times New Roman" w:hAnsi="Times New Roman"/>
                <w:sz w:val="20"/>
                <w:szCs w:val="20"/>
              </w:rPr>
            </w:pPr>
          </w:p>
        </w:tc>
        <w:tc>
          <w:tcPr>
            <w:tcW w:w="50" w:type="pct"/>
            <w:shd w:val="clear" w:color="auto" w:fill="auto"/>
            <w:vAlign w:val="center"/>
          </w:tcPr>
          <w:p w14:paraId="606F7279" w14:textId="77777777" w:rsidR="00FB67F9" w:rsidRDefault="00FB67F9">
            <w:pPr>
              <w:rPr>
                <w:rFonts w:ascii="Times New Roman" w:hAnsi="Times New Roman"/>
                <w:sz w:val="20"/>
                <w:szCs w:val="20"/>
              </w:rPr>
            </w:pPr>
          </w:p>
        </w:tc>
        <w:tc>
          <w:tcPr>
            <w:tcW w:w="50" w:type="pct"/>
            <w:shd w:val="clear" w:color="auto" w:fill="auto"/>
            <w:vAlign w:val="center"/>
          </w:tcPr>
          <w:p w14:paraId="606F727A" w14:textId="77777777" w:rsidR="00FB67F9" w:rsidRDefault="00FB67F9">
            <w:pPr>
              <w:rPr>
                <w:rFonts w:ascii="Times New Roman" w:hAnsi="Times New Roman"/>
                <w:sz w:val="20"/>
                <w:szCs w:val="20"/>
              </w:rPr>
            </w:pPr>
          </w:p>
        </w:tc>
        <w:tc>
          <w:tcPr>
            <w:tcW w:w="400" w:type="pct"/>
            <w:shd w:val="clear" w:color="auto" w:fill="auto"/>
            <w:vAlign w:val="center"/>
          </w:tcPr>
          <w:p w14:paraId="606F727B" w14:textId="77777777" w:rsidR="00FB67F9" w:rsidRDefault="00FB67F9">
            <w:pPr>
              <w:rPr>
                <w:rFonts w:ascii="Times New Roman" w:hAnsi="Times New Roman"/>
                <w:sz w:val="20"/>
                <w:szCs w:val="20"/>
              </w:rPr>
            </w:pPr>
          </w:p>
        </w:tc>
        <w:tc>
          <w:tcPr>
            <w:tcW w:w="50" w:type="pct"/>
            <w:shd w:val="clear" w:color="auto" w:fill="auto"/>
            <w:vAlign w:val="center"/>
          </w:tcPr>
          <w:p w14:paraId="606F727C" w14:textId="77777777" w:rsidR="00FB67F9" w:rsidRDefault="00FB67F9">
            <w:pPr>
              <w:rPr>
                <w:rFonts w:ascii="Times New Roman" w:hAnsi="Times New Roman"/>
                <w:sz w:val="20"/>
                <w:szCs w:val="20"/>
              </w:rPr>
            </w:pPr>
          </w:p>
        </w:tc>
        <w:tc>
          <w:tcPr>
            <w:tcW w:w="50" w:type="pct"/>
            <w:shd w:val="clear" w:color="auto" w:fill="auto"/>
            <w:vAlign w:val="center"/>
          </w:tcPr>
          <w:p w14:paraId="606F727D" w14:textId="77777777" w:rsidR="00FB67F9" w:rsidRDefault="00FB67F9">
            <w:pPr>
              <w:rPr>
                <w:rFonts w:ascii="Times New Roman" w:hAnsi="Times New Roman"/>
                <w:sz w:val="20"/>
                <w:szCs w:val="20"/>
              </w:rPr>
            </w:pPr>
          </w:p>
        </w:tc>
        <w:tc>
          <w:tcPr>
            <w:tcW w:w="50" w:type="pct"/>
            <w:shd w:val="clear" w:color="auto" w:fill="auto"/>
            <w:vAlign w:val="center"/>
          </w:tcPr>
          <w:p w14:paraId="606F727E" w14:textId="77777777" w:rsidR="00FB67F9" w:rsidRDefault="00FB67F9">
            <w:pPr>
              <w:rPr>
                <w:rFonts w:ascii="Times New Roman" w:hAnsi="Times New Roman"/>
                <w:sz w:val="20"/>
                <w:szCs w:val="20"/>
              </w:rPr>
            </w:pPr>
          </w:p>
        </w:tc>
        <w:tc>
          <w:tcPr>
            <w:tcW w:w="350" w:type="pct"/>
            <w:shd w:val="clear" w:color="auto" w:fill="auto"/>
            <w:vAlign w:val="center"/>
          </w:tcPr>
          <w:p w14:paraId="606F727F" w14:textId="77777777" w:rsidR="00FB67F9" w:rsidRDefault="00FB67F9">
            <w:pPr>
              <w:rPr>
                <w:rFonts w:ascii="Times New Roman" w:hAnsi="Times New Roman"/>
                <w:sz w:val="20"/>
                <w:szCs w:val="20"/>
              </w:rPr>
            </w:pPr>
          </w:p>
        </w:tc>
        <w:tc>
          <w:tcPr>
            <w:tcW w:w="50" w:type="pct"/>
            <w:shd w:val="clear" w:color="auto" w:fill="auto"/>
            <w:vAlign w:val="center"/>
          </w:tcPr>
          <w:p w14:paraId="606F7280" w14:textId="77777777" w:rsidR="00FB67F9" w:rsidRDefault="00FB67F9">
            <w:pPr>
              <w:rPr>
                <w:rFonts w:ascii="Times New Roman" w:hAnsi="Times New Roman"/>
                <w:sz w:val="20"/>
                <w:szCs w:val="20"/>
              </w:rPr>
            </w:pPr>
          </w:p>
        </w:tc>
        <w:tc>
          <w:tcPr>
            <w:tcW w:w="50" w:type="pct"/>
            <w:shd w:val="clear" w:color="auto" w:fill="auto"/>
            <w:vAlign w:val="center"/>
          </w:tcPr>
          <w:p w14:paraId="606F7281" w14:textId="77777777" w:rsidR="00FB67F9" w:rsidRDefault="00FB67F9">
            <w:pPr>
              <w:rPr>
                <w:rFonts w:ascii="Times New Roman" w:hAnsi="Times New Roman"/>
                <w:sz w:val="20"/>
                <w:szCs w:val="20"/>
              </w:rPr>
            </w:pPr>
          </w:p>
        </w:tc>
        <w:tc>
          <w:tcPr>
            <w:tcW w:w="350" w:type="pct"/>
            <w:shd w:val="clear" w:color="auto" w:fill="auto"/>
            <w:vAlign w:val="center"/>
          </w:tcPr>
          <w:p w14:paraId="606F7282" w14:textId="77777777" w:rsidR="00FB67F9" w:rsidRDefault="00FB67F9">
            <w:pPr>
              <w:rPr>
                <w:rFonts w:ascii="Times New Roman" w:hAnsi="Times New Roman"/>
                <w:sz w:val="20"/>
                <w:szCs w:val="20"/>
              </w:rPr>
            </w:pPr>
          </w:p>
        </w:tc>
        <w:tc>
          <w:tcPr>
            <w:tcW w:w="50" w:type="pct"/>
            <w:shd w:val="clear" w:color="auto" w:fill="auto"/>
            <w:vAlign w:val="center"/>
          </w:tcPr>
          <w:p w14:paraId="606F7283" w14:textId="77777777" w:rsidR="00FB67F9" w:rsidRDefault="00FB67F9">
            <w:pPr>
              <w:rPr>
                <w:rFonts w:ascii="Times New Roman" w:hAnsi="Times New Roman"/>
                <w:sz w:val="20"/>
                <w:szCs w:val="20"/>
              </w:rPr>
            </w:pPr>
          </w:p>
        </w:tc>
        <w:tc>
          <w:tcPr>
            <w:tcW w:w="50" w:type="pct"/>
            <w:shd w:val="clear" w:color="auto" w:fill="auto"/>
            <w:vAlign w:val="center"/>
          </w:tcPr>
          <w:p w14:paraId="606F7284" w14:textId="77777777" w:rsidR="00FB67F9" w:rsidRDefault="00FB67F9">
            <w:pPr>
              <w:rPr>
                <w:rFonts w:ascii="Times New Roman" w:hAnsi="Times New Roman"/>
                <w:sz w:val="20"/>
                <w:szCs w:val="20"/>
              </w:rPr>
            </w:pPr>
          </w:p>
        </w:tc>
        <w:tc>
          <w:tcPr>
            <w:tcW w:w="400" w:type="pct"/>
            <w:shd w:val="clear" w:color="auto" w:fill="auto"/>
            <w:vAlign w:val="center"/>
          </w:tcPr>
          <w:p w14:paraId="606F7285" w14:textId="77777777" w:rsidR="00FB67F9" w:rsidRDefault="00FB67F9">
            <w:pPr>
              <w:rPr>
                <w:rFonts w:ascii="Times New Roman" w:hAnsi="Times New Roman"/>
                <w:sz w:val="20"/>
                <w:szCs w:val="20"/>
              </w:rPr>
            </w:pPr>
          </w:p>
        </w:tc>
        <w:tc>
          <w:tcPr>
            <w:tcW w:w="50" w:type="pct"/>
            <w:shd w:val="clear" w:color="auto" w:fill="auto"/>
            <w:vAlign w:val="center"/>
          </w:tcPr>
          <w:p w14:paraId="606F7286" w14:textId="77777777" w:rsidR="00FB67F9" w:rsidRDefault="00FB67F9">
            <w:pPr>
              <w:rPr>
                <w:rFonts w:ascii="Times New Roman" w:hAnsi="Times New Roman"/>
                <w:sz w:val="20"/>
                <w:szCs w:val="20"/>
              </w:rPr>
            </w:pPr>
          </w:p>
        </w:tc>
      </w:tr>
      <w:tr w:rsidR="00FB67F9" w14:paraId="606F728A" w14:textId="77777777">
        <w:tc>
          <w:tcPr>
            <w:tcW w:w="0" w:type="auto"/>
            <w:shd w:val="clear" w:color="auto" w:fill="auto"/>
            <w:tcMar>
              <w:top w:w="40" w:type="dxa"/>
              <w:left w:w="40" w:type="dxa"/>
              <w:bottom w:w="40" w:type="dxa"/>
              <w:right w:w="40" w:type="dxa"/>
            </w:tcMar>
            <w:vAlign w:val="bottom"/>
          </w:tcPr>
          <w:p w14:paraId="606F728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E87722"/>
            </w:tcBorders>
            <w:shd w:val="clear" w:color="auto" w:fill="auto"/>
            <w:tcMar>
              <w:top w:w="40" w:type="dxa"/>
              <w:left w:w="40" w:type="dxa"/>
              <w:bottom w:w="40" w:type="dxa"/>
            </w:tcMar>
            <w:vAlign w:val="bottom"/>
          </w:tcPr>
          <w:p w14:paraId="606F728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 2</w:t>
            </w:r>
            <w:r>
              <w:rPr>
                <w:rFonts w:ascii="sans-serif" w:eastAsia="sans-serif" w:hAnsi="sans-serif" w:cs="sans-serif"/>
                <w:b/>
                <w:bCs/>
                <w:color w:val="000000"/>
                <w:sz w:val="17"/>
                <w:szCs w:val="17"/>
              </w:rPr>
              <w:t>019</w:t>
            </w:r>
          </w:p>
        </w:tc>
      </w:tr>
      <w:tr w:rsidR="00FB67F9" w14:paraId="606F728F" w14:textId="77777777">
        <w:tc>
          <w:tcPr>
            <w:tcW w:w="0" w:type="auto"/>
            <w:shd w:val="clear" w:color="auto" w:fill="auto"/>
            <w:tcMar>
              <w:top w:w="40" w:type="dxa"/>
              <w:left w:w="40" w:type="dxa"/>
              <w:bottom w:w="40" w:type="dxa"/>
              <w:right w:w="40" w:type="dxa"/>
            </w:tcMar>
            <w:vAlign w:val="bottom"/>
          </w:tcPr>
          <w:p w14:paraId="606F728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606F728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ASSETS</w:t>
            </w:r>
          </w:p>
        </w:tc>
        <w:tc>
          <w:tcPr>
            <w:tcW w:w="0" w:type="auto"/>
            <w:shd w:val="clear" w:color="auto" w:fill="auto"/>
            <w:tcMar>
              <w:top w:w="40" w:type="dxa"/>
              <w:left w:w="40" w:type="dxa"/>
              <w:bottom w:w="40" w:type="dxa"/>
              <w:right w:w="40" w:type="dxa"/>
            </w:tcMar>
            <w:vAlign w:val="bottom"/>
          </w:tcPr>
          <w:p w14:paraId="606F728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606F728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LIABILITIES</w:t>
            </w:r>
          </w:p>
        </w:tc>
      </w:tr>
      <w:tr w:rsidR="00FB67F9" w14:paraId="606F729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290"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29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tcBorders>
              <w:bottom w:val="single" w:sz="8" w:space="0" w:color="E87722"/>
            </w:tcBorders>
            <w:shd w:val="clear" w:color="auto" w:fill="auto"/>
            <w:vAlign w:val="bottom"/>
          </w:tcPr>
          <w:p w14:paraId="606F7292"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9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CURRENT ASSETS</w:t>
            </w:r>
          </w:p>
        </w:tc>
        <w:tc>
          <w:tcPr>
            <w:tcW w:w="0" w:type="auto"/>
            <w:tcBorders>
              <w:bottom w:val="single" w:sz="8" w:space="0" w:color="E87722"/>
            </w:tcBorders>
            <w:shd w:val="clear" w:color="auto" w:fill="auto"/>
            <w:vAlign w:val="bottom"/>
          </w:tcPr>
          <w:p w14:paraId="606F7294"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9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ASSETS</w:t>
            </w:r>
          </w:p>
        </w:tc>
        <w:tc>
          <w:tcPr>
            <w:tcW w:w="0" w:type="auto"/>
            <w:tcBorders>
              <w:bottom w:val="single" w:sz="8" w:space="0" w:color="E87722"/>
            </w:tcBorders>
            <w:shd w:val="clear" w:color="auto" w:fill="auto"/>
            <w:vAlign w:val="bottom"/>
          </w:tcPr>
          <w:p w14:paraId="606F729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29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729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LIABILITIES AT FAIR VALUE</w:t>
            </w:r>
          </w:p>
        </w:tc>
        <w:tc>
          <w:tcPr>
            <w:tcW w:w="0" w:type="auto"/>
            <w:tcBorders>
              <w:bottom w:val="single" w:sz="8" w:space="0" w:color="E87722"/>
            </w:tcBorders>
            <w:shd w:val="clear" w:color="auto" w:fill="auto"/>
            <w:vAlign w:val="bottom"/>
          </w:tcPr>
          <w:p w14:paraId="606F7299"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9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ACCRUED LIABILITIES</w:t>
            </w:r>
          </w:p>
        </w:tc>
        <w:tc>
          <w:tcPr>
            <w:tcW w:w="0" w:type="auto"/>
            <w:tcBorders>
              <w:bottom w:val="single" w:sz="8" w:space="0" w:color="E87722"/>
            </w:tcBorders>
            <w:shd w:val="clear" w:color="auto" w:fill="auto"/>
            <w:vAlign w:val="bottom"/>
          </w:tcPr>
          <w:p w14:paraId="606F729B"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9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LIABILITIES</w:t>
            </w:r>
          </w:p>
        </w:tc>
        <w:tc>
          <w:tcPr>
            <w:tcW w:w="0" w:type="auto"/>
            <w:tcBorders>
              <w:bottom w:val="single" w:sz="8" w:space="0" w:color="E87722"/>
            </w:tcBorders>
            <w:shd w:val="clear" w:color="auto" w:fill="auto"/>
            <w:vAlign w:val="bottom"/>
          </w:tcPr>
          <w:p w14:paraId="606F729D" w14:textId="77777777" w:rsidR="00FB67F9" w:rsidRDefault="00FB67F9">
            <w:pPr>
              <w:textAlignment w:val="bottom"/>
              <w:rPr>
                <w:rFonts w:ascii="Times New Roman" w:hAnsi="Times New Roman"/>
                <w:sz w:val="20"/>
                <w:szCs w:val="20"/>
              </w:rPr>
            </w:pPr>
          </w:p>
        </w:tc>
      </w:tr>
      <w:tr w:rsidR="00FB67F9" w14:paraId="606F72A7" w14:textId="77777777">
        <w:tc>
          <w:tcPr>
            <w:tcW w:w="0" w:type="auto"/>
            <w:shd w:val="clear" w:color="auto" w:fill="auto"/>
            <w:tcMar>
              <w:top w:w="40" w:type="dxa"/>
              <w:left w:w="40" w:type="dxa"/>
              <w:bottom w:w="40" w:type="dxa"/>
              <w:right w:w="40" w:type="dxa"/>
            </w:tcMar>
            <w:vAlign w:val="bottom"/>
          </w:tcPr>
          <w:p w14:paraId="606F729F" w14:textId="77777777" w:rsidR="00FB67F9" w:rsidRDefault="00E839DF">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shd w:val="clear" w:color="auto" w:fill="auto"/>
            <w:tcMar>
              <w:top w:w="40" w:type="dxa"/>
              <w:left w:w="40" w:type="dxa"/>
              <w:bottom w:w="40" w:type="dxa"/>
              <w:right w:w="40" w:type="dxa"/>
            </w:tcMar>
            <w:vAlign w:val="bottom"/>
          </w:tcPr>
          <w:p w14:paraId="606F72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2A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2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2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2A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2A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2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2B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2A8"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r>
              <w:rPr>
                <w:rFonts w:ascii="Arial" w:eastAsia="宋体" w:hAnsi="Arial" w:cs="Arial"/>
                <w:sz w:val="15"/>
                <w:szCs w:val="15"/>
              </w:rPr>
              <w:t>(1)</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2A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2A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611</w:t>
            </w:r>
          </w:p>
        </w:tc>
        <w:tc>
          <w:tcPr>
            <w:tcW w:w="0" w:type="auto"/>
            <w:tcBorders>
              <w:top w:val="single" w:sz="8" w:space="0" w:color="808080"/>
              <w:bottom w:val="single" w:sz="8" w:space="0" w:color="808080"/>
            </w:tcBorders>
            <w:shd w:val="clear" w:color="auto" w:fill="auto"/>
            <w:vAlign w:val="bottom"/>
          </w:tcPr>
          <w:p w14:paraId="606F72A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2A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2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611</w:t>
            </w:r>
          </w:p>
        </w:tc>
        <w:tc>
          <w:tcPr>
            <w:tcW w:w="0" w:type="auto"/>
            <w:tcBorders>
              <w:top w:val="single" w:sz="8" w:space="0" w:color="808080"/>
              <w:bottom w:val="single" w:sz="8" w:space="0" w:color="808080"/>
            </w:tcBorders>
            <w:shd w:val="clear" w:color="auto" w:fill="auto"/>
            <w:vAlign w:val="bottom"/>
          </w:tcPr>
          <w:p w14:paraId="606F72A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2A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2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2B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2B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2B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2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51</w:t>
            </w:r>
          </w:p>
        </w:tc>
        <w:tc>
          <w:tcPr>
            <w:tcW w:w="0" w:type="auto"/>
            <w:tcBorders>
              <w:top w:val="single" w:sz="8" w:space="0" w:color="808080"/>
              <w:bottom w:val="single" w:sz="8" w:space="0" w:color="808080"/>
            </w:tcBorders>
            <w:shd w:val="clear" w:color="auto" w:fill="auto"/>
            <w:vAlign w:val="bottom"/>
          </w:tcPr>
          <w:p w14:paraId="606F72B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2B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2B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51</w:t>
            </w:r>
          </w:p>
        </w:tc>
        <w:tc>
          <w:tcPr>
            <w:tcW w:w="0" w:type="auto"/>
            <w:tcBorders>
              <w:top w:val="single" w:sz="8" w:space="0" w:color="808080"/>
              <w:bottom w:val="single" w:sz="8" w:space="0" w:color="808080"/>
            </w:tcBorders>
            <w:shd w:val="clear" w:color="auto" w:fill="auto"/>
            <w:vAlign w:val="bottom"/>
          </w:tcPr>
          <w:p w14:paraId="606F72B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2B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2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2BB" w14:textId="77777777" w:rsidR="00FB67F9" w:rsidRDefault="00FB67F9">
            <w:pPr>
              <w:textAlignment w:val="bottom"/>
              <w:rPr>
                <w:rFonts w:ascii="Times New Roman" w:hAnsi="Times New Roman"/>
                <w:sz w:val="20"/>
                <w:szCs w:val="20"/>
              </w:rPr>
            </w:pPr>
          </w:p>
        </w:tc>
      </w:tr>
      <w:tr w:rsidR="00FB67F9" w14:paraId="606F72CB"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72BD" w14:textId="77777777" w:rsidR="00FB67F9" w:rsidRDefault="00E839DF">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gridSpan w:val="2"/>
            <w:tcBorders>
              <w:bottom w:val="single" w:sz="8" w:space="0" w:color="E87722"/>
            </w:tcBorders>
            <w:shd w:val="clear" w:color="auto" w:fill="auto"/>
            <w:tcMar>
              <w:top w:w="40" w:type="dxa"/>
              <w:left w:w="40" w:type="dxa"/>
              <w:bottom w:w="40" w:type="dxa"/>
            </w:tcMar>
            <w:vAlign w:val="bottom"/>
          </w:tcPr>
          <w:p w14:paraId="606F72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bottom w:val="single" w:sz="8" w:space="0" w:color="E87722"/>
            </w:tcBorders>
            <w:shd w:val="clear" w:color="auto" w:fill="auto"/>
            <w:vAlign w:val="bottom"/>
          </w:tcPr>
          <w:p w14:paraId="606F72BF"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bottom w:val="single" w:sz="8" w:space="0" w:color="E87722"/>
            </w:tcBorders>
            <w:shd w:val="clear" w:color="auto" w:fill="auto"/>
            <w:vAlign w:val="bottom"/>
          </w:tcPr>
          <w:p w14:paraId="606F72C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bottom w:val="single" w:sz="8" w:space="0" w:color="E87722"/>
            </w:tcBorders>
            <w:shd w:val="clear" w:color="auto" w:fill="auto"/>
            <w:vAlign w:val="bottom"/>
          </w:tcPr>
          <w:p w14:paraId="606F72C3"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2C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72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bottom w:val="single" w:sz="8" w:space="0" w:color="E87722"/>
            </w:tcBorders>
            <w:shd w:val="clear" w:color="auto" w:fill="auto"/>
            <w:vAlign w:val="bottom"/>
          </w:tcPr>
          <w:p w14:paraId="606F72C6"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bottom w:val="single" w:sz="8" w:space="0" w:color="E87722"/>
            </w:tcBorders>
            <w:shd w:val="clear" w:color="auto" w:fill="auto"/>
            <w:vAlign w:val="bottom"/>
          </w:tcPr>
          <w:p w14:paraId="606F72C8"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2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bottom w:val="single" w:sz="8" w:space="0" w:color="E87722"/>
            </w:tcBorders>
            <w:shd w:val="clear" w:color="auto" w:fill="auto"/>
            <w:vAlign w:val="bottom"/>
          </w:tcPr>
          <w:p w14:paraId="606F72CA" w14:textId="77777777" w:rsidR="00FB67F9" w:rsidRDefault="00FB67F9">
            <w:pPr>
              <w:textAlignment w:val="bottom"/>
              <w:rPr>
                <w:rFonts w:ascii="Times New Roman" w:hAnsi="Times New Roman"/>
                <w:sz w:val="20"/>
                <w:szCs w:val="20"/>
              </w:rPr>
            </w:pPr>
          </w:p>
        </w:tc>
      </w:tr>
      <w:tr w:rsidR="00FB67F9" w14:paraId="606F72E0"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2C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bottom w:val="single" w:sz="8" w:space="0" w:color="E87722"/>
            </w:tcBorders>
            <w:shd w:val="clear" w:color="auto" w:fill="auto"/>
            <w:tcMar>
              <w:top w:w="40" w:type="dxa"/>
              <w:left w:w="40" w:type="dxa"/>
              <w:bottom w:w="40" w:type="dxa"/>
            </w:tcMar>
            <w:vAlign w:val="bottom"/>
          </w:tcPr>
          <w:p w14:paraId="606F72C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2C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622</w:t>
            </w:r>
          </w:p>
        </w:tc>
        <w:tc>
          <w:tcPr>
            <w:tcW w:w="0" w:type="auto"/>
            <w:tcBorders>
              <w:bottom w:val="single" w:sz="8" w:space="0" w:color="E87722"/>
            </w:tcBorders>
            <w:shd w:val="clear" w:color="auto" w:fill="auto"/>
            <w:vAlign w:val="bottom"/>
          </w:tcPr>
          <w:p w14:paraId="606F72C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2D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2D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616</w:t>
            </w:r>
          </w:p>
        </w:tc>
        <w:tc>
          <w:tcPr>
            <w:tcW w:w="0" w:type="auto"/>
            <w:tcBorders>
              <w:bottom w:val="single" w:sz="8" w:space="0" w:color="E87722"/>
            </w:tcBorders>
            <w:shd w:val="clear" w:color="auto" w:fill="auto"/>
            <w:vAlign w:val="bottom"/>
          </w:tcPr>
          <w:p w14:paraId="606F72D2"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2D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2D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w:t>
            </w:r>
          </w:p>
        </w:tc>
        <w:tc>
          <w:tcPr>
            <w:tcW w:w="0" w:type="auto"/>
            <w:tcBorders>
              <w:bottom w:val="single" w:sz="8" w:space="0" w:color="E87722"/>
            </w:tcBorders>
            <w:shd w:val="clear" w:color="auto" w:fill="auto"/>
            <w:vAlign w:val="bottom"/>
          </w:tcPr>
          <w:p w14:paraId="606F72D5"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2D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606F72D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2D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54</w:t>
            </w:r>
          </w:p>
        </w:tc>
        <w:tc>
          <w:tcPr>
            <w:tcW w:w="0" w:type="auto"/>
            <w:tcBorders>
              <w:bottom w:val="single" w:sz="8" w:space="0" w:color="E87722"/>
            </w:tcBorders>
            <w:shd w:val="clear" w:color="auto" w:fill="auto"/>
            <w:vAlign w:val="bottom"/>
          </w:tcPr>
          <w:p w14:paraId="606F72D9"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2D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2D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52</w:t>
            </w:r>
          </w:p>
        </w:tc>
        <w:tc>
          <w:tcPr>
            <w:tcW w:w="0" w:type="auto"/>
            <w:tcBorders>
              <w:bottom w:val="single" w:sz="8" w:space="0" w:color="E87722"/>
            </w:tcBorders>
            <w:shd w:val="clear" w:color="auto" w:fill="auto"/>
            <w:vAlign w:val="bottom"/>
          </w:tcPr>
          <w:p w14:paraId="606F72DC"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2D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2D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bottom w:val="single" w:sz="8" w:space="0" w:color="E87722"/>
            </w:tcBorders>
            <w:shd w:val="clear" w:color="auto" w:fill="auto"/>
            <w:vAlign w:val="bottom"/>
          </w:tcPr>
          <w:p w14:paraId="606F72DF" w14:textId="77777777" w:rsidR="00FB67F9" w:rsidRDefault="00FB67F9">
            <w:pPr>
              <w:textAlignment w:val="bottom"/>
              <w:rPr>
                <w:rFonts w:ascii="Times New Roman" w:hAnsi="Times New Roman"/>
                <w:sz w:val="20"/>
                <w:szCs w:val="20"/>
              </w:rPr>
            </w:pPr>
          </w:p>
        </w:tc>
      </w:tr>
    </w:tbl>
    <w:p w14:paraId="606F72E1"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2E4" w14:textId="77777777">
        <w:trPr>
          <w:tblCellSpacing w:w="0" w:type="dxa"/>
        </w:trPr>
        <w:tc>
          <w:tcPr>
            <w:tcW w:w="480" w:type="dxa"/>
            <w:shd w:val="clear" w:color="auto" w:fill="auto"/>
            <w:vAlign w:val="center"/>
          </w:tcPr>
          <w:p w14:paraId="606F72E2" w14:textId="77777777" w:rsidR="00FB67F9" w:rsidRDefault="00FB67F9">
            <w:pPr>
              <w:rPr>
                <w:rFonts w:ascii="Times New Roman" w:hAnsi="Times New Roman"/>
                <w:sz w:val="20"/>
                <w:szCs w:val="20"/>
              </w:rPr>
            </w:pPr>
          </w:p>
        </w:tc>
        <w:tc>
          <w:tcPr>
            <w:tcW w:w="0" w:type="auto"/>
            <w:shd w:val="clear" w:color="auto" w:fill="auto"/>
            <w:vAlign w:val="center"/>
          </w:tcPr>
          <w:p w14:paraId="606F72E3" w14:textId="77777777" w:rsidR="00FB67F9" w:rsidRDefault="00FB67F9">
            <w:pPr>
              <w:rPr>
                <w:rFonts w:ascii="Times New Roman" w:hAnsi="Times New Roman"/>
                <w:sz w:val="20"/>
                <w:szCs w:val="20"/>
              </w:rPr>
            </w:pPr>
          </w:p>
        </w:tc>
      </w:tr>
      <w:tr w:rsidR="00FB67F9" w14:paraId="606F72E7" w14:textId="77777777">
        <w:trPr>
          <w:tblCellSpacing w:w="0" w:type="dxa"/>
        </w:trPr>
        <w:tc>
          <w:tcPr>
            <w:tcW w:w="0" w:type="auto"/>
            <w:shd w:val="clear" w:color="auto" w:fill="auto"/>
          </w:tcPr>
          <w:p w14:paraId="606F72E5"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2E6"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If the foreign exchange derivative instruments had been netted on the Consolidated Balance Sheets, the asset and liability positions each would have been reduced by $50 million as of May 31, 2019. As of that date, the Company had </w:t>
            </w:r>
            <w:r>
              <w:rPr>
                <w:rFonts w:ascii="Arial" w:eastAsia="宋体" w:hAnsi="Arial" w:cs="Arial"/>
                <w:i/>
                <w:iCs/>
                <w:color w:val="000000"/>
                <w:sz w:val="14"/>
                <w:szCs w:val="14"/>
              </w:rPr>
              <w:t>received $289 million of cash collateral from various counterparties related to foreign exchange derivative instruments. No amount of collateral was posted on the Company's derivative liability balance as of May 31, 2019.</w:t>
            </w:r>
          </w:p>
        </w:tc>
      </w:tr>
    </w:tbl>
    <w:p w14:paraId="606F72E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For additional information relate</w:t>
      </w:r>
      <w:r>
        <w:rPr>
          <w:rFonts w:ascii="Arial" w:eastAsia="宋体" w:hAnsi="Arial" w:cs="Arial"/>
          <w:sz w:val="17"/>
          <w:szCs w:val="17"/>
        </w:rPr>
        <w:t xml:space="preserve">d to the Company's derivative financial instruments and credit risk, refer to Note 9 — Risk Management and Derivatives. </w:t>
      </w:r>
    </w:p>
    <w:p w14:paraId="606F72E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carrying amounts of other current financial assets and other current financial liabilities approximate fair value. </w:t>
      </w:r>
    </w:p>
    <w:p w14:paraId="606F72EA" w14:textId="77777777" w:rsidR="00FB67F9" w:rsidRDefault="00FB67F9">
      <w:pPr>
        <w:rPr>
          <w:rFonts w:ascii="Times New Roman" w:hAnsi="Times New Roman"/>
          <w:sz w:val="20"/>
          <w:szCs w:val="20"/>
        </w:rPr>
      </w:pPr>
    </w:p>
    <w:p w14:paraId="606F72EB"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10</w:t>
      </w:r>
      <w:r>
        <w:rPr>
          <w:rFonts w:ascii="sans-serif" w:eastAsia="sans-serif" w:hAnsi="sans-serif" w:cs="sans-serif"/>
          <w:sz w:val="17"/>
          <w:szCs w:val="17"/>
        </w:rPr>
        <w:t xml:space="preserve"> </w:t>
      </w:r>
    </w:p>
    <w:p w14:paraId="606F72EC" w14:textId="77777777" w:rsidR="00FB67F9" w:rsidRDefault="00E839DF">
      <w:r>
        <w:rPr>
          <w:rFonts w:ascii="Times New Roman" w:hAnsi="Times New Roman"/>
          <w:sz w:val="17"/>
          <w:szCs w:val="17"/>
        </w:rPr>
        <w:pict w14:anchorId="606F8F87">
          <v:rect id="_x0000_i1036" style="width:415.3pt;height:1.5pt" o:hralign="center" o:hrstd="t" o:hr="t" fillcolor="#a0a0a0" stroked="f"/>
        </w:pict>
      </w:r>
    </w:p>
    <w:p w14:paraId="606F72ED" w14:textId="77777777" w:rsidR="00FB67F9" w:rsidRDefault="00FB67F9">
      <w:pPr>
        <w:rPr>
          <w:rFonts w:ascii="Times New Roman" w:hAnsi="Times New Roman"/>
          <w:sz w:val="17"/>
          <w:szCs w:val="17"/>
        </w:rPr>
      </w:pPr>
    </w:p>
    <w:p w14:paraId="606F72EE" w14:textId="77777777" w:rsidR="00FB67F9" w:rsidRDefault="00E839DF">
      <w:pPr>
        <w:rPr>
          <w:rFonts w:ascii="Times New Roman" w:hAnsi="Times New Roman"/>
          <w:sz w:val="17"/>
          <w:szCs w:val="17"/>
        </w:rPr>
      </w:pPr>
      <w:hyperlink r:id="rId80" w:anchor="s42C493F7582652B69E70047AB812E6A5" w:history="1">
        <w:r>
          <w:rPr>
            <w:rStyle w:val="a5"/>
            <w:rFonts w:ascii="sans-serif" w:eastAsia="sans-serif" w:hAnsi="sans-serif" w:cs="sans-serif"/>
            <w:sz w:val="17"/>
            <w:szCs w:val="17"/>
          </w:rPr>
          <w:t>Table of Contents</w:t>
        </w:r>
      </w:hyperlink>
    </w:p>
    <w:p w14:paraId="606F72EF" w14:textId="77777777" w:rsidR="00FB67F9" w:rsidRDefault="00FB67F9">
      <w:pPr>
        <w:rPr>
          <w:rFonts w:ascii="Times New Roman" w:hAnsi="Times New Roman"/>
          <w:sz w:val="17"/>
          <w:szCs w:val="17"/>
        </w:rPr>
      </w:pPr>
    </w:p>
    <w:p w14:paraId="606F72F0" w14:textId="77777777" w:rsidR="00FB67F9" w:rsidRDefault="00FB67F9">
      <w:pPr>
        <w:rPr>
          <w:rFonts w:ascii="Times New Roman" w:hAnsi="Times New Roman"/>
          <w:sz w:val="20"/>
          <w:szCs w:val="20"/>
        </w:rPr>
      </w:pPr>
    </w:p>
    <w:p w14:paraId="606F72F1"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FINANCIAL ASSETS AND LIABILITIES NOT RECORDED AT FAIR VALUE</w:t>
      </w:r>
    </w:p>
    <w:p w14:paraId="606F72F2"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 xml:space="preserve">Long-term debt </w:t>
      </w:r>
      <w:r>
        <w:rPr>
          <w:rFonts w:ascii="Arial" w:eastAsia="宋体" w:hAnsi="Arial" w:cs="Arial"/>
          <w:sz w:val="17"/>
          <w:szCs w:val="17"/>
        </w:rPr>
        <w:t xml:space="preserve">is recorded at adjusted cost, net of unamortized premiums, discounts and debt issuance costs. The fair value of </w:t>
      </w:r>
      <w:r>
        <w:rPr>
          <w:rFonts w:ascii="Arial" w:eastAsia="宋体" w:hAnsi="Arial" w:cs="Arial"/>
          <w:i/>
          <w:iCs/>
          <w:sz w:val="17"/>
          <w:szCs w:val="17"/>
        </w:rPr>
        <w:t xml:space="preserve">Long-term debt </w:t>
      </w:r>
      <w:r>
        <w:rPr>
          <w:rFonts w:ascii="Arial" w:eastAsia="宋体" w:hAnsi="Arial" w:cs="Arial"/>
          <w:sz w:val="17"/>
          <w:szCs w:val="17"/>
        </w:rPr>
        <w:t>is estimated based upon quoted prices for similar instruments or quoted prices for identical instruments in inacti</w:t>
      </w:r>
      <w:r>
        <w:rPr>
          <w:rFonts w:ascii="Arial" w:eastAsia="宋体" w:hAnsi="Arial" w:cs="Arial"/>
          <w:sz w:val="17"/>
          <w:szCs w:val="17"/>
        </w:rPr>
        <w:t xml:space="preserve">ve markets (Level 2). The fair value of the Company’s </w:t>
      </w:r>
      <w:r>
        <w:rPr>
          <w:rFonts w:ascii="Arial" w:eastAsia="宋体" w:hAnsi="Arial" w:cs="Arial"/>
          <w:i/>
          <w:iCs/>
          <w:sz w:val="17"/>
          <w:szCs w:val="17"/>
        </w:rPr>
        <w:t>Long-term debt</w:t>
      </w:r>
      <w:r>
        <w:rPr>
          <w:rFonts w:ascii="Arial" w:eastAsia="宋体" w:hAnsi="Arial" w:cs="Arial"/>
          <w:sz w:val="17"/>
          <w:szCs w:val="17"/>
        </w:rPr>
        <w:t>, including the current portion, was approximately $3,756 million at November 30, 2019 and $3,524 million at May 31, 2019.</w:t>
      </w:r>
    </w:p>
    <w:p w14:paraId="606F72F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For fair value information regarding </w:t>
      </w:r>
      <w:r>
        <w:rPr>
          <w:rFonts w:ascii="Arial" w:eastAsia="宋体" w:hAnsi="Arial" w:cs="Arial"/>
          <w:i/>
          <w:iCs/>
          <w:sz w:val="17"/>
          <w:szCs w:val="17"/>
        </w:rPr>
        <w:t>Notes payable</w:t>
      </w:r>
      <w:r>
        <w:rPr>
          <w:rFonts w:ascii="Arial" w:eastAsia="宋体" w:hAnsi="Arial" w:cs="Arial"/>
          <w:sz w:val="17"/>
          <w:szCs w:val="17"/>
        </w:rPr>
        <w:t>, refer to Note 5 — Short-Term Borrowings and Credit Lines.</w:t>
      </w:r>
    </w:p>
    <w:tbl>
      <w:tblPr>
        <w:tblW w:w="5000" w:type="pct"/>
        <w:tblCellMar>
          <w:left w:w="0" w:type="dxa"/>
          <w:right w:w="0" w:type="dxa"/>
        </w:tblCellMar>
        <w:tblLook w:val="04A0" w:firstRow="1" w:lastRow="0" w:firstColumn="1" w:lastColumn="0" w:noHBand="0" w:noVBand="1"/>
      </w:tblPr>
      <w:tblGrid>
        <w:gridCol w:w="8306"/>
      </w:tblGrid>
      <w:tr w:rsidR="00FB67F9" w14:paraId="606F72F5" w14:textId="77777777">
        <w:tc>
          <w:tcPr>
            <w:tcW w:w="0" w:type="auto"/>
            <w:shd w:val="clear" w:color="auto" w:fill="auto"/>
            <w:vAlign w:val="center"/>
          </w:tcPr>
          <w:p w14:paraId="606F72F4" w14:textId="77777777" w:rsidR="00FB67F9" w:rsidRDefault="00FB67F9">
            <w:pPr>
              <w:rPr>
                <w:rFonts w:ascii="Times New Roman" w:hAnsi="Times New Roman"/>
                <w:sz w:val="20"/>
                <w:szCs w:val="20"/>
              </w:rPr>
            </w:pPr>
          </w:p>
        </w:tc>
      </w:tr>
      <w:tr w:rsidR="00FB67F9" w14:paraId="606F72F7" w14:textId="77777777">
        <w:tc>
          <w:tcPr>
            <w:tcW w:w="5000" w:type="pct"/>
            <w:shd w:val="clear" w:color="auto" w:fill="auto"/>
            <w:vAlign w:val="center"/>
          </w:tcPr>
          <w:p w14:paraId="606F72F6" w14:textId="77777777" w:rsidR="00FB67F9" w:rsidRDefault="00FB67F9">
            <w:pPr>
              <w:rPr>
                <w:rFonts w:ascii="Times New Roman" w:hAnsi="Times New Roman"/>
                <w:sz w:val="20"/>
                <w:szCs w:val="20"/>
              </w:rPr>
            </w:pPr>
          </w:p>
        </w:tc>
      </w:tr>
      <w:tr w:rsidR="00FB67F9" w14:paraId="606F72F9" w14:textId="77777777">
        <w:tc>
          <w:tcPr>
            <w:tcW w:w="0" w:type="auto"/>
            <w:shd w:val="clear" w:color="auto" w:fill="auto"/>
            <w:tcMar>
              <w:top w:w="40" w:type="dxa"/>
              <w:left w:w="40" w:type="dxa"/>
              <w:bottom w:w="40" w:type="dxa"/>
              <w:right w:w="40" w:type="dxa"/>
            </w:tcMar>
            <w:vAlign w:val="bottom"/>
          </w:tcPr>
          <w:p w14:paraId="606F72F8"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5 — SHORT-TERM BORROWINGS AND CREDIT LINES</w:t>
            </w:r>
          </w:p>
        </w:tc>
      </w:tr>
    </w:tbl>
    <w:p w14:paraId="606F72FA" w14:textId="77777777" w:rsidR="00FB67F9" w:rsidRDefault="00FB67F9">
      <w:pPr>
        <w:spacing w:line="312" w:lineRule="auto"/>
        <w:rPr>
          <w:rFonts w:ascii="Times New Roman" w:hAnsi="Times New Roman"/>
          <w:sz w:val="36"/>
          <w:szCs w:val="36"/>
        </w:rPr>
      </w:pPr>
    </w:p>
    <w:p w14:paraId="606F72F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carrying amounts reflected on the Unaudited Condensed Consolidated Balance Sheets for </w:t>
      </w:r>
      <w:r>
        <w:rPr>
          <w:rFonts w:ascii="Arial" w:eastAsia="宋体" w:hAnsi="Arial" w:cs="Arial"/>
          <w:i/>
          <w:iCs/>
          <w:sz w:val="17"/>
          <w:szCs w:val="17"/>
        </w:rPr>
        <w:t>No</w:t>
      </w:r>
      <w:r>
        <w:rPr>
          <w:rFonts w:ascii="Arial" w:eastAsia="宋体" w:hAnsi="Arial" w:cs="Arial"/>
          <w:i/>
          <w:iCs/>
          <w:sz w:val="17"/>
          <w:szCs w:val="17"/>
        </w:rPr>
        <w:t>tes payable</w:t>
      </w:r>
      <w:r>
        <w:rPr>
          <w:rFonts w:ascii="Arial" w:eastAsia="宋体" w:hAnsi="Arial" w:cs="Arial"/>
          <w:sz w:val="17"/>
          <w:szCs w:val="17"/>
        </w:rPr>
        <w:t xml:space="preserve"> approximate fair value. </w:t>
      </w:r>
    </w:p>
    <w:p w14:paraId="606F72F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As of November 30, 2019, the Company had $300 million in borrowings outstanding under its $2 billion commercial paper program at a weighted average rate of 1.63%. No borrowings were outstanding at May 31, 2019. These borrowings are included within </w:t>
      </w:r>
      <w:r>
        <w:rPr>
          <w:rFonts w:ascii="Arial" w:eastAsia="宋体" w:hAnsi="Arial" w:cs="Arial"/>
          <w:i/>
          <w:iCs/>
          <w:sz w:val="17"/>
          <w:szCs w:val="17"/>
        </w:rPr>
        <w:t>Notes pa</w:t>
      </w:r>
      <w:r>
        <w:rPr>
          <w:rFonts w:ascii="Arial" w:eastAsia="宋体" w:hAnsi="Arial" w:cs="Arial"/>
          <w:i/>
          <w:iCs/>
          <w:sz w:val="17"/>
          <w:szCs w:val="17"/>
        </w:rPr>
        <w:t xml:space="preserve">yable </w:t>
      </w:r>
      <w:r>
        <w:rPr>
          <w:rFonts w:ascii="Arial" w:eastAsia="宋体" w:hAnsi="Arial" w:cs="Arial"/>
          <w:sz w:val="17"/>
          <w:szCs w:val="17"/>
        </w:rPr>
        <w:t>on the Unaudited Condensed Consolidated Balance Sheets.</w:t>
      </w:r>
    </w:p>
    <w:p w14:paraId="606F72FD"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August 16, 2019, the Company entered into a committed credit facility agreement with a syndicate of banks which provides for up to $2 billion of borrowings, with the option to increase borrow</w:t>
      </w:r>
      <w:r>
        <w:rPr>
          <w:rFonts w:ascii="Arial" w:eastAsia="宋体" w:hAnsi="Arial" w:cs="Arial"/>
          <w:sz w:val="17"/>
          <w:szCs w:val="17"/>
        </w:rPr>
        <w:t>ings up to $3 billion in total upon lender approval. The facility matures on August 16, 2024, with a one year extension option prior to any anniversary of the closing date, provided that in no event shall it extend beyond August 16, 2026. Based on the Comp</w:t>
      </w:r>
      <w:r>
        <w:rPr>
          <w:rFonts w:ascii="Arial" w:eastAsia="宋体" w:hAnsi="Arial" w:cs="Arial"/>
          <w:sz w:val="17"/>
          <w:szCs w:val="17"/>
        </w:rPr>
        <w:t>any's current long-term senior unsecured debt ratings of AA- and A1 from Standard and Poor's Corporation and Moody's Investor Services, respectively, the interest rate charged on any outstanding borrowings would be the prevailing London Interbank Offered R</w:t>
      </w:r>
      <w:r>
        <w:rPr>
          <w:rFonts w:ascii="Arial" w:eastAsia="宋体" w:hAnsi="Arial" w:cs="Arial"/>
          <w:sz w:val="17"/>
          <w:szCs w:val="17"/>
        </w:rPr>
        <w:t>ate (LIBOR) plus 0.46%. The facility fee is 0.04% of the total commitment. The Company was in compliance with the covenants of the facility at November 30, 2019. This facility replaces the prior $2 billion credit facility agreement entered into on August 2</w:t>
      </w:r>
      <w:r>
        <w:rPr>
          <w:rFonts w:ascii="Arial" w:eastAsia="宋体" w:hAnsi="Arial" w:cs="Arial"/>
          <w:sz w:val="17"/>
          <w:szCs w:val="17"/>
        </w:rPr>
        <w:t xml:space="preserve">8, 2015, which would have matured August 28, 2020. As of and for the periods ended November 30, 2019 and May 31, 2019, no amounts were outstanding under either committed credit facility. </w:t>
      </w:r>
    </w:p>
    <w:p w14:paraId="606F72FE"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There have been no other significant changes to the credit lines rep</w:t>
      </w:r>
      <w:r>
        <w:rPr>
          <w:rFonts w:ascii="Arial" w:eastAsia="宋体" w:hAnsi="Arial" w:cs="Arial"/>
          <w:sz w:val="17"/>
          <w:szCs w:val="17"/>
        </w:rPr>
        <w:t>orted in the Company's Annual Report on Form 10-K for the fiscal year ended May 31, 2019.</w:t>
      </w:r>
    </w:p>
    <w:tbl>
      <w:tblPr>
        <w:tblW w:w="5000" w:type="pct"/>
        <w:tblCellMar>
          <w:left w:w="0" w:type="dxa"/>
          <w:right w:w="0" w:type="dxa"/>
        </w:tblCellMar>
        <w:tblLook w:val="04A0" w:firstRow="1" w:lastRow="0" w:firstColumn="1" w:lastColumn="0" w:noHBand="0" w:noVBand="1"/>
      </w:tblPr>
      <w:tblGrid>
        <w:gridCol w:w="8306"/>
      </w:tblGrid>
      <w:tr w:rsidR="00FB67F9" w14:paraId="606F7300" w14:textId="77777777">
        <w:tc>
          <w:tcPr>
            <w:tcW w:w="0" w:type="auto"/>
            <w:shd w:val="clear" w:color="auto" w:fill="auto"/>
            <w:vAlign w:val="center"/>
          </w:tcPr>
          <w:p w14:paraId="606F72FF" w14:textId="77777777" w:rsidR="00FB67F9" w:rsidRDefault="00FB67F9">
            <w:pPr>
              <w:rPr>
                <w:rFonts w:ascii="Times New Roman" w:hAnsi="Times New Roman"/>
                <w:sz w:val="20"/>
                <w:szCs w:val="20"/>
              </w:rPr>
            </w:pPr>
          </w:p>
        </w:tc>
      </w:tr>
      <w:tr w:rsidR="00FB67F9" w14:paraId="606F7302" w14:textId="77777777">
        <w:tc>
          <w:tcPr>
            <w:tcW w:w="5000" w:type="pct"/>
            <w:shd w:val="clear" w:color="auto" w:fill="auto"/>
            <w:vAlign w:val="center"/>
          </w:tcPr>
          <w:p w14:paraId="606F7301" w14:textId="77777777" w:rsidR="00FB67F9" w:rsidRDefault="00FB67F9">
            <w:pPr>
              <w:rPr>
                <w:rFonts w:ascii="Times New Roman" w:hAnsi="Times New Roman"/>
                <w:sz w:val="20"/>
                <w:szCs w:val="20"/>
              </w:rPr>
            </w:pPr>
          </w:p>
        </w:tc>
      </w:tr>
      <w:tr w:rsidR="00FB67F9" w14:paraId="606F7304" w14:textId="77777777">
        <w:tc>
          <w:tcPr>
            <w:tcW w:w="0" w:type="auto"/>
            <w:shd w:val="clear" w:color="auto" w:fill="auto"/>
            <w:tcMar>
              <w:top w:w="40" w:type="dxa"/>
              <w:left w:w="40" w:type="dxa"/>
              <w:bottom w:w="40" w:type="dxa"/>
              <w:right w:w="40" w:type="dxa"/>
            </w:tcMar>
            <w:vAlign w:val="bottom"/>
          </w:tcPr>
          <w:p w14:paraId="606F7303"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6 — INCOME TAXES</w:t>
            </w:r>
          </w:p>
        </w:tc>
      </w:tr>
    </w:tbl>
    <w:p w14:paraId="606F7305" w14:textId="77777777" w:rsidR="00FB67F9" w:rsidRDefault="00FB67F9">
      <w:pPr>
        <w:spacing w:line="312" w:lineRule="auto"/>
        <w:rPr>
          <w:rFonts w:ascii="Times New Roman" w:hAnsi="Times New Roman"/>
          <w:sz w:val="36"/>
          <w:szCs w:val="36"/>
        </w:rPr>
      </w:pPr>
    </w:p>
    <w:p w14:paraId="606F730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effective tax rate was 11.7% and 14.5% for the six months ended November 30, 2019 and November 30, 2018, respectively. The change in t</w:t>
      </w:r>
      <w:r>
        <w:rPr>
          <w:rFonts w:ascii="Arial" w:eastAsia="宋体" w:hAnsi="Arial" w:cs="Arial"/>
          <w:sz w:val="17"/>
          <w:szCs w:val="17"/>
        </w:rPr>
        <w:t>he Company's effective tax rate was due to the proportion of earnings taxed in the U.S.</w:t>
      </w:r>
    </w:p>
    <w:p w14:paraId="606F730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As of November 30, 2019, total gross unrecognized tax benefits, excluding related interest and penalties, were $804 million, $545 million of which would affect the Company's effective tax rate if recognized in future periods. The majority of the total gros</w:t>
      </w:r>
      <w:r>
        <w:rPr>
          <w:rFonts w:ascii="Arial" w:eastAsia="宋体" w:hAnsi="Arial" w:cs="Arial"/>
          <w:sz w:val="17"/>
          <w:szCs w:val="17"/>
        </w:rPr>
        <w:t xml:space="preserve">s unrecognized tax benefits are long-term in nature and included within </w:t>
      </w:r>
      <w:r>
        <w:rPr>
          <w:rFonts w:ascii="Arial" w:eastAsia="宋体" w:hAnsi="Arial" w:cs="Arial"/>
          <w:i/>
          <w:iCs/>
          <w:sz w:val="17"/>
          <w:szCs w:val="17"/>
        </w:rPr>
        <w:t>Deferred income taxes and other liabilities</w:t>
      </w:r>
      <w:r>
        <w:rPr>
          <w:rFonts w:ascii="Arial" w:eastAsia="宋体" w:hAnsi="Arial" w:cs="Arial"/>
          <w:sz w:val="17"/>
          <w:szCs w:val="17"/>
        </w:rPr>
        <w:t xml:space="preserve"> on the Unaudited Condensed Consolidated Balance Sheets. As of May 31, 2019, total gross unrecognized tax benefits, excluding related interes</w:t>
      </w:r>
      <w:r>
        <w:rPr>
          <w:rFonts w:ascii="Arial" w:eastAsia="宋体" w:hAnsi="Arial" w:cs="Arial"/>
          <w:sz w:val="17"/>
          <w:szCs w:val="17"/>
        </w:rPr>
        <w:t>t and penalties, were $808 million. The liability for payment of interest and penalties decreased by $30 million during the six months ended November 30, 2019. As of November 30, 2019 and May 31, 2019, accrued interest and penalties related to uncertain ta</w:t>
      </w:r>
      <w:r>
        <w:rPr>
          <w:rFonts w:ascii="Arial" w:eastAsia="宋体" w:hAnsi="Arial" w:cs="Arial"/>
          <w:sz w:val="17"/>
          <w:szCs w:val="17"/>
        </w:rPr>
        <w:t>x positions were $144 million and $174 million, respectively (excluding federal benefit).</w:t>
      </w:r>
    </w:p>
    <w:p w14:paraId="606F730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Company is subject to taxation in the United States, as well as various state and foreign jurisdictions. The Company has closed all U.S. federal income tax matter</w:t>
      </w:r>
      <w:r>
        <w:rPr>
          <w:rFonts w:ascii="Arial" w:eastAsia="宋体" w:hAnsi="Arial" w:cs="Arial"/>
          <w:sz w:val="17"/>
          <w:szCs w:val="17"/>
        </w:rPr>
        <w:t xml:space="preserve">s through fiscal 2016, with the exception of certain transfer pricing adjustments. </w:t>
      </w:r>
    </w:p>
    <w:p w14:paraId="606F730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Company's major foreign jurisdictions, China and the Netherlands, have concluded substantially all income tax matters through calendar 2008 and fiscal 2013, respectivel</w:t>
      </w:r>
      <w:r>
        <w:rPr>
          <w:rFonts w:ascii="Arial" w:eastAsia="宋体" w:hAnsi="Arial" w:cs="Arial"/>
          <w:sz w:val="17"/>
          <w:szCs w:val="17"/>
        </w:rPr>
        <w:t>y. Although the timing of resolution of audits is not certain, the Company evaluates all domestic and foreign audit issues in the aggregate, along with the expiration of applicable statutes of limitations, and estimates that it is reasonably possible the t</w:t>
      </w:r>
      <w:r>
        <w:rPr>
          <w:rFonts w:ascii="Arial" w:eastAsia="宋体" w:hAnsi="Arial" w:cs="Arial"/>
          <w:sz w:val="17"/>
          <w:szCs w:val="17"/>
        </w:rPr>
        <w:t>otal gross unrecognized tax benefits could decrease by up to $50 million within the next 12 months. In January 2019, the European Commission opened a formal investigation to examine whether the Netherlands has breached State Aid rules when granting certain</w:t>
      </w:r>
      <w:r>
        <w:rPr>
          <w:rFonts w:ascii="Arial" w:eastAsia="宋体" w:hAnsi="Arial" w:cs="Arial"/>
          <w:sz w:val="17"/>
          <w:szCs w:val="17"/>
        </w:rPr>
        <w:t xml:space="preserve"> tax rulings to the Company. The Company believes the investigation is without merit. If this matter is adversely resolved, the Netherlands may be required to assess additional amounts with respect to current and prior periods, and the Company's Netherland</w:t>
      </w:r>
      <w:r>
        <w:rPr>
          <w:rFonts w:ascii="Arial" w:eastAsia="宋体" w:hAnsi="Arial" w:cs="Arial"/>
          <w:sz w:val="17"/>
          <w:szCs w:val="17"/>
        </w:rPr>
        <w:t>s income taxes in the future could increase.</w:t>
      </w:r>
    </w:p>
    <w:p w14:paraId="606F730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As a result of the enactment of the U.S. Tax Cuts and Jobs Act (the "Tax Act") in fiscal 2018, the Company reevaluated its historical indefinite reinvestment assertion and determined that any historical or futur</w:t>
      </w:r>
      <w:r>
        <w:rPr>
          <w:rFonts w:ascii="Arial" w:eastAsia="宋体" w:hAnsi="Arial" w:cs="Arial"/>
          <w:sz w:val="17"/>
          <w:szCs w:val="17"/>
        </w:rPr>
        <w:t>e undistributed earnings of foreign subsidiaries were no longer considered to be indefinitely reinvested. Subsequent to November 30, 2019, tax laws in one of the Company’s foreign jurisdictions changed. As a result of the change in law, undistributed earni</w:t>
      </w:r>
      <w:r>
        <w:rPr>
          <w:rFonts w:ascii="Arial" w:eastAsia="宋体" w:hAnsi="Arial" w:cs="Arial"/>
          <w:sz w:val="17"/>
          <w:szCs w:val="17"/>
        </w:rPr>
        <w:t xml:space="preserve">ngs in that foreign jurisdiction could </w:t>
      </w:r>
    </w:p>
    <w:p w14:paraId="606F730B" w14:textId="77777777" w:rsidR="00FB67F9" w:rsidRDefault="00FB67F9">
      <w:pPr>
        <w:rPr>
          <w:rFonts w:ascii="Times New Roman" w:hAnsi="Times New Roman"/>
          <w:sz w:val="20"/>
          <w:szCs w:val="20"/>
        </w:rPr>
      </w:pPr>
    </w:p>
    <w:p w14:paraId="606F730C"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11</w:t>
      </w:r>
    </w:p>
    <w:p w14:paraId="606F730D" w14:textId="77777777" w:rsidR="00FB67F9" w:rsidRDefault="00E839DF">
      <w:r>
        <w:rPr>
          <w:rFonts w:ascii="Times New Roman" w:hAnsi="Times New Roman"/>
          <w:sz w:val="17"/>
          <w:szCs w:val="17"/>
        </w:rPr>
        <w:pict w14:anchorId="606F8F88">
          <v:rect id="_x0000_i1037" style="width:415.3pt;height:1.5pt" o:hralign="center" o:hrstd="t" o:hr="t" fillcolor="#a0a0a0" stroked="f"/>
        </w:pict>
      </w:r>
    </w:p>
    <w:p w14:paraId="606F730E" w14:textId="77777777" w:rsidR="00FB67F9" w:rsidRDefault="00FB67F9">
      <w:pPr>
        <w:rPr>
          <w:rFonts w:ascii="Times New Roman" w:hAnsi="Times New Roman"/>
          <w:sz w:val="17"/>
          <w:szCs w:val="17"/>
        </w:rPr>
      </w:pPr>
    </w:p>
    <w:p w14:paraId="606F730F" w14:textId="77777777" w:rsidR="00FB67F9" w:rsidRDefault="00E839DF">
      <w:pPr>
        <w:rPr>
          <w:rFonts w:ascii="Times New Roman" w:hAnsi="Times New Roman"/>
          <w:sz w:val="17"/>
          <w:szCs w:val="17"/>
        </w:rPr>
      </w:pPr>
      <w:hyperlink r:id="rId81" w:anchor="s42C493F7582652B69E70047AB812E6A5" w:history="1">
        <w:r>
          <w:rPr>
            <w:rStyle w:val="a5"/>
            <w:rFonts w:ascii="sans-serif" w:eastAsia="sans-serif" w:hAnsi="sans-serif" w:cs="sans-serif"/>
            <w:sz w:val="17"/>
            <w:szCs w:val="17"/>
          </w:rPr>
          <w:t>Table of Contents</w:t>
        </w:r>
      </w:hyperlink>
    </w:p>
    <w:p w14:paraId="606F7310" w14:textId="77777777" w:rsidR="00FB67F9" w:rsidRDefault="00FB67F9">
      <w:pPr>
        <w:rPr>
          <w:rFonts w:ascii="Times New Roman" w:hAnsi="Times New Roman"/>
          <w:sz w:val="17"/>
          <w:szCs w:val="17"/>
        </w:rPr>
      </w:pPr>
    </w:p>
    <w:p w14:paraId="606F7311" w14:textId="77777777" w:rsidR="00FB67F9" w:rsidRDefault="00FB67F9">
      <w:pPr>
        <w:rPr>
          <w:rFonts w:ascii="Times New Roman" w:hAnsi="Times New Roman"/>
          <w:sz w:val="20"/>
          <w:szCs w:val="20"/>
        </w:rPr>
      </w:pPr>
    </w:p>
    <w:p w14:paraId="606F731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be subject to withholding tax upon distribution. The Company is currently reviewing</w:t>
      </w:r>
      <w:r>
        <w:rPr>
          <w:rFonts w:ascii="Arial" w:eastAsia="宋体" w:hAnsi="Arial" w:cs="Arial"/>
          <w:sz w:val="17"/>
          <w:szCs w:val="17"/>
        </w:rPr>
        <w:t xml:space="preserve"> the application of the change, and may reevaluate its assertion with respect to all or a portion of its undistributed foreign earnings. This may increase tax expense and deferred tax liabilities in future quarters. Due to the reevaluation, the Company can</w:t>
      </w:r>
      <w:r>
        <w:rPr>
          <w:rFonts w:ascii="Arial" w:eastAsia="宋体" w:hAnsi="Arial" w:cs="Arial"/>
          <w:sz w:val="17"/>
          <w:szCs w:val="17"/>
        </w:rPr>
        <w:t>not estimate the impact of the change in law to the Consolidated Financial Statements at this time. </w:t>
      </w:r>
    </w:p>
    <w:tbl>
      <w:tblPr>
        <w:tblW w:w="5000" w:type="pct"/>
        <w:tblCellMar>
          <w:left w:w="0" w:type="dxa"/>
          <w:right w:w="0" w:type="dxa"/>
        </w:tblCellMar>
        <w:tblLook w:val="04A0" w:firstRow="1" w:lastRow="0" w:firstColumn="1" w:lastColumn="0" w:noHBand="0" w:noVBand="1"/>
      </w:tblPr>
      <w:tblGrid>
        <w:gridCol w:w="8306"/>
      </w:tblGrid>
      <w:tr w:rsidR="00FB67F9" w14:paraId="606F7314" w14:textId="77777777">
        <w:tc>
          <w:tcPr>
            <w:tcW w:w="0" w:type="auto"/>
            <w:shd w:val="clear" w:color="auto" w:fill="auto"/>
            <w:vAlign w:val="center"/>
          </w:tcPr>
          <w:p w14:paraId="606F7313" w14:textId="77777777" w:rsidR="00FB67F9" w:rsidRDefault="00FB67F9">
            <w:pPr>
              <w:rPr>
                <w:rFonts w:ascii="Times New Roman" w:hAnsi="Times New Roman"/>
                <w:sz w:val="20"/>
                <w:szCs w:val="20"/>
              </w:rPr>
            </w:pPr>
          </w:p>
        </w:tc>
      </w:tr>
      <w:tr w:rsidR="00FB67F9" w14:paraId="606F7316" w14:textId="77777777">
        <w:tc>
          <w:tcPr>
            <w:tcW w:w="5000" w:type="pct"/>
            <w:shd w:val="clear" w:color="auto" w:fill="auto"/>
            <w:vAlign w:val="center"/>
          </w:tcPr>
          <w:p w14:paraId="606F7315" w14:textId="77777777" w:rsidR="00FB67F9" w:rsidRDefault="00FB67F9">
            <w:pPr>
              <w:rPr>
                <w:rFonts w:ascii="Times New Roman" w:hAnsi="Times New Roman"/>
                <w:sz w:val="20"/>
                <w:szCs w:val="20"/>
              </w:rPr>
            </w:pPr>
          </w:p>
        </w:tc>
      </w:tr>
      <w:tr w:rsidR="00FB67F9" w14:paraId="606F7318" w14:textId="77777777">
        <w:tc>
          <w:tcPr>
            <w:tcW w:w="0" w:type="auto"/>
            <w:shd w:val="clear" w:color="auto" w:fill="auto"/>
            <w:tcMar>
              <w:top w:w="40" w:type="dxa"/>
              <w:left w:w="40" w:type="dxa"/>
              <w:bottom w:w="40" w:type="dxa"/>
              <w:right w:w="40" w:type="dxa"/>
            </w:tcMar>
            <w:vAlign w:val="bottom"/>
          </w:tcPr>
          <w:p w14:paraId="606F7317"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7 — STOCK-BASED COMPENSATION</w:t>
            </w:r>
          </w:p>
        </w:tc>
      </w:tr>
    </w:tbl>
    <w:p w14:paraId="606F7319" w14:textId="77777777" w:rsidR="00FB67F9" w:rsidRDefault="00FB67F9">
      <w:pPr>
        <w:spacing w:line="312" w:lineRule="auto"/>
        <w:rPr>
          <w:rFonts w:ascii="Times New Roman" w:hAnsi="Times New Roman"/>
          <w:sz w:val="36"/>
          <w:szCs w:val="36"/>
        </w:rPr>
      </w:pPr>
    </w:p>
    <w:p w14:paraId="606F731A"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STOCK-BASED COMPENSATION</w:t>
      </w:r>
    </w:p>
    <w:p w14:paraId="606F731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NIKE, Inc. Stock Incentive Plan (the “Stock Incentive Plan”) provides for the issuance of up to 718 million previously unissued shares of Class B Common Stock in connection with equity awards granted under the Stock Incentive Plan. The Stock Incentive </w:t>
      </w:r>
      <w:r>
        <w:rPr>
          <w:rFonts w:ascii="Arial" w:eastAsia="宋体" w:hAnsi="Arial" w:cs="Arial"/>
          <w:sz w:val="17"/>
          <w:szCs w:val="17"/>
        </w:rPr>
        <w:t>Plan authorizes the grant of non-statutory stock options, incentive stock options, stock appreciation rights, restricted stock, restricted stock units and performance-based awards. In addition to the Stock Incentive Plan, the Company gives employees the ri</w:t>
      </w:r>
      <w:r>
        <w:rPr>
          <w:rFonts w:ascii="Arial" w:eastAsia="宋体" w:hAnsi="Arial" w:cs="Arial"/>
          <w:sz w:val="17"/>
          <w:szCs w:val="17"/>
        </w:rPr>
        <w:t>ght to purchase shares at a discount from the market price under employee stock purchase plans (ESPPs). Refer to Note 11 - Common Stock and Stock-Based Compensation of the Annual Report on Form 10-K for the fiscal year ended May 31, 2019 for further inform</w:t>
      </w:r>
      <w:r>
        <w:rPr>
          <w:rFonts w:ascii="Arial" w:eastAsia="宋体" w:hAnsi="Arial" w:cs="Arial"/>
          <w:sz w:val="17"/>
          <w:szCs w:val="17"/>
        </w:rPr>
        <w:t xml:space="preserve">ation. </w:t>
      </w:r>
    </w:p>
    <w:p w14:paraId="606F731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following table summarizes the Company's total stock-based compensation expense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w:t>
      </w:r>
    </w:p>
    <w:tbl>
      <w:tblPr>
        <w:tblW w:w="5000" w:type="pct"/>
        <w:tblCellMar>
          <w:left w:w="0" w:type="dxa"/>
          <w:right w:w="0" w:type="dxa"/>
        </w:tblCellMar>
        <w:tblLook w:val="04A0" w:firstRow="1" w:lastRow="0" w:firstColumn="1" w:lastColumn="0" w:noHBand="0" w:noVBand="1"/>
      </w:tblPr>
      <w:tblGrid>
        <w:gridCol w:w="3543"/>
        <w:gridCol w:w="136"/>
        <w:gridCol w:w="968"/>
        <w:gridCol w:w="54"/>
        <w:gridCol w:w="135"/>
        <w:gridCol w:w="968"/>
        <w:gridCol w:w="54"/>
        <w:gridCol w:w="130"/>
        <w:gridCol w:w="136"/>
        <w:gridCol w:w="968"/>
        <w:gridCol w:w="55"/>
        <w:gridCol w:w="135"/>
        <w:gridCol w:w="969"/>
        <w:gridCol w:w="55"/>
      </w:tblGrid>
      <w:tr w:rsidR="00FB67F9" w14:paraId="606F731E" w14:textId="77777777">
        <w:tc>
          <w:tcPr>
            <w:tcW w:w="0" w:type="auto"/>
            <w:gridSpan w:val="14"/>
            <w:shd w:val="clear" w:color="auto" w:fill="auto"/>
            <w:vAlign w:val="center"/>
          </w:tcPr>
          <w:p w14:paraId="606F731D" w14:textId="77777777" w:rsidR="00FB67F9" w:rsidRDefault="00FB67F9">
            <w:pPr>
              <w:rPr>
                <w:rFonts w:ascii="Times New Roman" w:hAnsi="Times New Roman"/>
                <w:sz w:val="20"/>
                <w:szCs w:val="20"/>
              </w:rPr>
            </w:pPr>
          </w:p>
        </w:tc>
      </w:tr>
      <w:tr w:rsidR="00FB67F9" w14:paraId="606F732D" w14:textId="77777777">
        <w:tc>
          <w:tcPr>
            <w:tcW w:w="2150" w:type="pct"/>
            <w:shd w:val="clear" w:color="auto" w:fill="auto"/>
            <w:vAlign w:val="center"/>
          </w:tcPr>
          <w:p w14:paraId="606F731F" w14:textId="77777777" w:rsidR="00FB67F9" w:rsidRDefault="00FB67F9">
            <w:pPr>
              <w:rPr>
                <w:rFonts w:ascii="Times New Roman" w:hAnsi="Times New Roman"/>
                <w:sz w:val="20"/>
                <w:szCs w:val="20"/>
              </w:rPr>
            </w:pPr>
          </w:p>
        </w:tc>
        <w:tc>
          <w:tcPr>
            <w:tcW w:w="50" w:type="pct"/>
            <w:shd w:val="clear" w:color="auto" w:fill="auto"/>
            <w:vAlign w:val="center"/>
          </w:tcPr>
          <w:p w14:paraId="606F7320" w14:textId="77777777" w:rsidR="00FB67F9" w:rsidRDefault="00FB67F9">
            <w:pPr>
              <w:rPr>
                <w:rFonts w:ascii="Times New Roman" w:hAnsi="Times New Roman"/>
                <w:sz w:val="20"/>
                <w:szCs w:val="20"/>
              </w:rPr>
            </w:pPr>
          </w:p>
        </w:tc>
        <w:tc>
          <w:tcPr>
            <w:tcW w:w="600" w:type="pct"/>
            <w:shd w:val="clear" w:color="auto" w:fill="auto"/>
            <w:vAlign w:val="center"/>
          </w:tcPr>
          <w:p w14:paraId="606F7321" w14:textId="77777777" w:rsidR="00FB67F9" w:rsidRDefault="00FB67F9">
            <w:pPr>
              <w:rPr>
                <w:rFonts w:ascii="Times New Roman" w:hAnsi="Times New Roman"/>
                <w:sz w:val="20"/>
                <w:szCs w:val="20"/>
              </w:rPr>
            </w:pPr>
          </w:p>
        </w:tc>
        <w:tc>
          <w:tcPr>
            <w:tcW w:w="50" w:type="pct"/>
            <w:shd w:val="clear" w:color="auto" w:fill="auto"/>
            <w:vAlign w:val="center"/>
          </w:tcPr>
          <w:p w14:paraId="606F7322" w14:textId="77777777" w:rsidR="00FB67F9" w:rsidRDefault="00FB67F9">
            <w:pPr>
              <w:rPr>
                <w:rFonts w:ascii="Times New Roman" w:hAnsi="Times New Roman"/>
                <w:sz w:val="20"/>
                <w:szCs w:val="20"/>
              </w:rPr>
            </w:pPr>
          </w:p>
        </w:tc>
        <w:tc>
          <w:tcPr>
            <w:tcW w:w="50" w:type="pct"/>
            <w:shd w:val="clear" w:color="auto" w:fill="auto"/>
            <w:vAlign w:val="center"/>
          </w:tcPr>
          <w:p w14:paraId="606F7323" w14:textId="77777777" w:rsidR="00FB67F9" w:rsidRDefault="00FB67F9">
            <w:pPr>
              <w:rPr>
                <w:rFonts w:ascii="Times New Roman" w:hAnsi="Times New Roman"/>
                <w:sz w:val="20"/>
                <w:szCs w:val="20"/>
              </w:rPr>
            </w:pPr>
          </w:p>
        </w:tc>
        <w:tc>
          <w:tcPr>
            <w:tcW w:w="600" w:type="pct"/>
            <w:shd w:val="clear" w:color="auto" w:fill="auto"/>
            <w:vAlign w:val="center"/>
          </w:tcPr>
          <w:p w14:paraId="606F7324" w14:textId="77777777" w:rsidR="00FB67F9" w:rsidRDefault="00FB67F9">
            <w:pPr>
              <w:rPr>
                <w:rFonts w:ascii="Times New Roman" w:hAnsi="Times New Roman"/>
                <w:sz w:val="20"/>
                <w:szCs w:val="20"/>
              </w:rPr>
            </w:pPr>
          </w:p>
        </w:tc>
        <w:tc>
          <w:tcPr>
            <w:tcW w:w="50" w:type="pct"/>
            <w:shd w:val="clear" w:color="auto" w:fill="auto"/>
            <w:vAlign w:val="center"/>
          </w:tcPr>
          <w:p w14:paraId="606F7325" w14:textId="77777777" w:rsidR="00FB67F9" w:rsidRDefault="00FB67F9">
            <w:pPr>
              <w:rPr>
                <w:rFonts w:ascii="Times New Roman" w:hAnsi="Times New Roman"/>
                <w:sz w:val="20"/>
                <w:szCs w:val="20"/>
              </w:rPr>
            </w:pPr>
          </w:p>
        </w:tc>
        <w:tc>
          <w:tcPr>
            <w:tcW w:w="50" w:type="pct"/>
            <w:shd w:val="clear" w:color="auto" w:fill="auto"/>
            <w:vAlign w:val="center"/>
          </w:tcPr>
          <w:p w14:paraId="606F7326" w14:textId="77777777" w:rsidR="00FB67F9" w:rsidRDefault="00FB67F9">
            <w:pPr>
              <w:rPr>
                <w:rFonts w:ascii="Times New Roman" w:hAnsi="Times New Roman"/>
                <w:sz w:val="20"/>
                <w:szCs w:val="20"/>
              </w:rPr>
            </w:pPr>
          </w:p>
        </w:tc>
        <w:tc>
          <w:tcPr>
            <w:tcW w:w="50" w:type="pct"/>
            <w:shd w:val="clear" w:color="auto" w:fill="auto"/>
            <w:vAlign w:val="center"/>
          </w:tcPr>
          <w:p w14:paraId="606F7327" w14:textId="77777777" w:rsidR="00FB67F9" w:rsidRDefault="00FB67F9">
            <w:pPr>
              <w:rPr>
                <w:rFonts w:ascii="Times New Roman" w:hAnsi="Times New Roman"/>
                <w:sz w:val="20"/>
                <w:szCs w:val="20"/>
              </w:rPr>
            </w:pPr>
          </w:p>
        </w:tc>
        <w:tc>
          <w:tcPr>
            <w:tcW w:w="600" w:type="pct"/>
            <w:shd w:val="clear" w:color="auto" w:fill="auto"/>
            <w:vAlign w:val="center"/>
          </w:tcPr>
          <w:p w14:paraId="606F7328" w14:textId="77777777" w:rsidR="00FB67F9" w:rsidRDefault="00FB67F9">
            <w:pPr>
              <w:rPr>
                <w:rFonts w:ascii="Times New Roman" w:hAnsi="Times New Roman"/>
                <w:sz w:val="20"/>
                <w:szCs w:val="20"/>
              </w:rPr>
            </w:pPr>
          </w:p>
        </w:tc>
        <w:tc>
          <w:tcPr>
            <w:tcW w:w="50" w:type="pct"/>
            <w:shd w:val="clear" w:color="auto" w:fill="auto"/>
            <w:vAlign w:val="center"/>
          </w:tcPr>
          <w:p w14:paraId="606F7329" w14:textId="77777777" w:rsidR="00FB67F9" w:rsidRDefault="00FB67F9">
            <w:pPr>
              <w:rPr>
                <w:rFonts w:ascii="Times New Roman" w:hAnsi="Times New Roman"/>
                <w:sz w:val="20"/>
                <w:szCs w:val="20"/>
              </w:rPr>
            </w:pPr>
          </w:p>
        </w:tc>
        <w:tc>
          <w:tcPr>
            <w:tcW w:w="50" w:type="pct"/>
            <w:shd w:val="clear" w:color="auto" w:fill="auto"/>
            <w:vAlign w:val="center"/>
          </w:tcPr>
          <w:p w14:paraId="606F732A" w14:textId="77777777" w:rsidR="00FB67F9" w:rsidRDefault="00FB67F9">
            <w:pPr>
              <w:rPr>
                <w:rFonts w:ascii="Times New Roman" w:hAnsi="Times New Roman"/>
                <w:sz w:val="20"/>
                <w:szCs w:val="20"/>
              </w:rPr>
            </w:pPr>
          </w:p>
        </w:tc>
        <w:tc>
          <w:tcPr>
            <w:tcW w:w="600" w:type="pct"/>
            <w:shd w:val="clear" w:color="auto" w:fill="auto"/>
            <w:vAlign w:val="center"/>
          </w:tcPr>
          <w:p w14:paraId="606F732B" w14:textId="77777777" w:rsidR="00FB67F9" w:rsidRDefault="00FB67F9">
            <w:pPr>
              <w:rPr>
                <w:rFonts w:ascii="Times New Roman" w:hAnsi="Times New Roman"/>
                <w:sz w:val="20"/>
                <w:szCs w:val="20"/>
              </w:rPr>
            </w:pPr>
          </w:p>
        </w:tc>
        <w:tc>
          <w:tcPr>
            <w:tcW w:w="50" w:type="pct"/>
            <w:shd w:val="clear" w:color="auto" w:fill="auto"/>
            <w:vAlign w:val="center"/>
          </w:tcPr>
          <w:p w14:paraId="606F732C" w14:textId="77777777" w:rsidR="00FB67F9" w:rsidRDefault="00FB67F9">
            <w:pPr>
              <w:rPr>
                <w:rFonts w:ascii="Times New Roman" w:hAnsi="Times New Roman"/>
                <w:sz w:val="20"/>
                <w:szCs w:val="20"/>
              </w:rPr>
            </w:pPr>
          </w:p>
        </w:tc>
      </w:tr>
      <w:tr w:rsidR="00FB67F9" w14:paraId="606F7332" w14:textId="77777777">
        <w:tc>
          <w:tcPr>
            <w:tcW w:w="0" w:type="auto"/>
            <w:shd w:val="clear" w:color="auto" w:fill="auto"/>
            <w:tcMar>
              <w:top w:w="40" w:type="dxa"/>
              <w:left w:w="40" w:type="dxa"/>
              <w:bottom w:w="40" w:type="dxa"/>
              <w:right w:w="40" w:type="dxa"/>
            </w:tcMar>
            <w:vAlign w:val="bottom"/>
          </w:tcPr>
          <w:p w14:paraId="606F732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732F"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733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733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7339"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333"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733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733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33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3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3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348" w14:textId="77777777">
        <w:tc>
          <w:tcPr>
            <w:tcW w:w="0" w:type="auto"/>
            <w:shd w:val="clear" w:color="auto" w:fill="auto"/>
            <w:tcMar>
              <w:top w:w="40" w:type="dxa"/>
              <w:left w:w="40" w:type="dxa"/>
              <w:bottom w:w="40" w:type="dxa"/>
              <w:right w:w="40" w:type="dxa"/>
            </w:tcMar>
            <w:vAlign w:val="bottom"/>
          </w:tcPr>
          <w:p w14:paraId="606F733A" w14:textId="77777777" w:rsidR="00FB67F9" w:rsidRDefault="00E839DF">
            <w:pPr>
              <w:textAlignment w:val="bottom"/>
              <w:rPr>
                <w:rFonts w:ascii="Times New Roman" w:hAnsi="Times New Roman"/>
                <w:sz w:val="17"/>
                <w:szCs w:val="17"/>
              </w:rPr>
            </w:pPr>
            <w:r>
              <w:rPr>
                <w:rFonts w:ascii="Arial" w:eastAsia="宋体" w:hAnsi="Arial" w:cs="Arial"/>
                <w:sz w:val="17"/>
                <w:szCs w:val="17"/>
              </w:rPr>
              <w:t>Stock options</w:t>
            </w:r>
            <w:r>
              <w:rPr>
                <w:rFonts w:ascii="Arial" w:eastAsia="宋体" w:hAnsi="Arial" w:cs="Arial"/>
                <w:sz w:val="15"/>
                <w:szCs w:val="15"/>
              </w:rPr>
              <w:t>(1)</w:t>
            </w:r>
          </w:p>
        </w:tc>
        <w:tc>
          <w:tcPr>
            <w:tcW w:w="0" w:type="auto"/>
            <w:tcBorders>
              <w:top w:val="single" w:sz="8" w:space="0" w:color="E87722"/>
            </w:tcBorders>
            <w:shd w:val="clear" w:color="auto" w:fill="FFF1E7"/>
            <w:tcMar>
              <w:top w:w="40" w:type="dxa"/>
              <w:left w:w="40" w:type="dxa"/>
              <w:bottom w:w="40" w:type="dxa"/>
            </w:tcMar>
            <w:vAlign w:val="bottom"/>
          </w:tcPr>
          <w:p w14:paraId="606F733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733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w:t>
            </w:r>
          </w:p>
        </w:tc>
        <w:tc>
          <w:tcPr>
            <w:tcW w:w="0" w:type="auto"/>
            <w:tcBorders>
              <w:top w:val="single" w:sz="8" w:space="0" w:color="E87722"/>
            </w:tcBorders>
            <w:shd w:val="clear" w:color="auto" w:fill="FFF1E7"/>
            <w:vAlign w:val="bottom"/>
          </w:tcPr>
          <w:p w14:paraId="606F733D"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733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73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63</w:t>
            </w:r>
          </w:p>
        </w:tc>
        <w:tc>
          <w:tcPr>
            <w:tcW w:w="0" w:type="auto"/>
            <w:tcBorders>
              <w:top w:val="single" w:sz="8" w:space="0" w:color="E87722"/>
            </w:tcBorders>
            <w:shd w:val="clear" w:color="auto" w:fill="auto"/>
            <w:vAlign w:val="bottom"/>
          </w:tcPr>
          <w:p w14:paraId="606F7340"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34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734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73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106</w:t>
            </w:r>
          </w:p>
        </w:tc>
        <w:tc>
          <w:tcPr>
            <w:tcW w:w="0" w:type="auto"/>
            <w:shd w:val="clear" w:color="auto" w:fill="FFF1E7"/>
            <w:vAlign w:val="bottom"/>
          </w:tcPr>
          <w:p w14:paraId="606F7344"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734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734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83</w:t>
            </w:r>
          </w:p>
        </w:tc>
        <w:tc>
          <w:tcPr>
            <w:tcW w:w="0" w:type="auto"/>
            <w:shd w:val="clear" w:color="auto" w:fill="auto"/>
            <w:vAlign w:val="bottom"/>
          </w:tcPr>
          <w:p w14:paraId="606F7347" w14:textId="77777777" w:rsidR="00FB67F9" w:rsidRDefault="00FB67F9">
            <w:pPr>
              <w:textAlignment w:val="bottom"/>
              <w:rPr>
                <w:rFonts w:ascii="Times New Roman" w:hAnsi="Times New Roman"/>
                <w:sz w:val="20"/>
                <w:szCs w:val="20"/>
              </w:rPr>
            </w:pPr>
          </w:p>
        </w:tc>
      </w:tr>
      <w:tr w:rsidR="00FB67F9" w14:paraId="606F735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349" w14:textId="77777777" w:rsidR="00FB67F9" w:rsidRDefault="00E839DF">
            <w:pPr>
              <w:textAlignment w:val="bottom"/>
              <w:rPr>
                <w:rFonts w:ascii="Times New Roman" w:hAnsi="Times New Roman"/>
                <w:sz w:val="17"/>
                <w:szCs w:val="17"/>
              </w:rPr>
            </w:pPr>
            <w:r>
              <w:rPr>
                <w:rFonts w:ascii="Arial" w:eastAsia="宋体" w:hAnsi="Arial" w:cs="Arial"/>
                <w:sz w:val="17"/>
                <w:szCs w:val="17"/>
              </w:rPr>
              <w:t>ESPPs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3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FFF1E7"/>
            <w:vAlign w:val="bottom"/>
          </w:tcPr>
          <w:p w14:paraId="606F734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3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vAlign w:val="bottom"/>
          </w:tcPr>
          <w:p w14:paraId="606F734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34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3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bottom w:val="single" w:sz="8" w:space="0" w:color="808080"/>
            </w:tcBorders>
            <w:shd w:val="clear" w:color="auto" w:fill="FFF1E7"/>
            <w:vAlign w:val="bottom"/>
          </w:tcPr>
          <w:p w14:paraId="606F735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35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vAlign w:val="bottom"/>
          </w:tcPr>
          <w:p w14:paraId="606F7352" w14:textId="77777777" w:rsidR="00FB67F9" w:rsidRDefault="00FB67F9">
            <w:pPr>
              <w:textAlignment w:val="bottom"/>
              <w:rPr>
                <w:rFonts w:ascii="Times New Roman" w:hAnsi="Times New Roman"/>
                <w:sz w:val="20"/>
                <w:szCs w:val="20"/>
              </w:rPr>
            </w:pPr>
          </w:p>
        </w:tc>
      </w:tr>
      <w:tr w:rsidR="00FB67F9" w14:paraId="606F735E" w14:textId="77777777">
        <w:tc>
          <w:tcPr>
            <w:tcW w:w="0" w:type="auto"/>
            <w:shd w:val="clear" w:color="auto" w:fill="auto"/>
            <w:tcMar>
              <w:top w:w="40" w:type="dxa"/>
              <w:left w:w="40" w:type="dxa"/>
              <w:bottom w:w="40" w:type="dxa"/>
              <w:right w:w="40" w:type="dxa"/>
            </w:tcMar>
            <w:vAlign w:val="bottom"/>
          </w:tcPr>
          <w:p w14:paraId="606F7354" w14:textId="77777777" w:rsidR="00FB67F9" w:rsidRDefault="00E839DF">
            <w:pPr>
              <w:textAlignment w:val="bottom"/>
              <w:rPr>
                <w:rFonts w:ascii="Times New Roman" w:hAnsi="Times New Roman"/>
                <w:sz w:val="17"/>
                <w:szCs w:val="17"/>
              </w:rPr>
            </w:pPr>
            <w:r>
              <w:rPr>
                <w:rFonts w:ascii="Arial" w:eastAsia="宋体" w:hAnsi="Arial" w:cs="Arial"/>
                <w:sz w:val="17"/>
                <w:szCs w:val="17"/>
              </w:rPr>
              <w:t>Restricted stock</w:t>
            </w:r>
          </w:p>
        </w:tc>
        <w:tc>
          <w:tcPr>
            <w:tcW w:w="0" w:type="auto"/>
            <w:gridSpan w:val="2"/>
            <w:shd w:val="clear" w:color="auto" w:fill="FFF1E7"/>
            <w:tcMar>
              <w:top w:w="40" w:type="dxa"/>
              <w:left w:w="40" w:type="dxa"/>
              <w:bottom w:w="40" w:type="dxa"/>
            </w:tcMar>
            <w:vAlign w:val="bottom"/>
          </w:tcPr>
          <w:p w14:paraId="606F735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w:t>
            </w:r>
          </w:p>
        </w:tc>
        <w:tc>
          <w:tcPr>
            <w:tcW w:w="0" w:type="auto"/>
            <w:shd w:val="clear" w:color="auto" w:fill="FFF1E7"/>
            <w:vAlign w:val="bottom"/>
          </w:tcPr>
          <w:p w14:paraId="606F735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3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w:t>
            </w:r>
          </w:p>
        </w:tc>
        <w:tc>
          <w:tcPr>
            <w:tcW w:w="0" w:type="auto"/>
            <w:shd w:val="clear" w:color="auto" w:fill="auto"/>
            <w:vAlign w:val="bottom"/>
          </w:tcPr>
          <w:p w14:paraId="606F735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35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35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60</w:t>
            </w:r>
          </w:p>
        </w:tc>
        <w:tc>
          <w:tcPr>
            <w:tcW w:w="0" w:type="auto"/>
            <w:shd w:val="clear" w:color="auto" w:fill="FFF1E7"/>
            <w:vAlign w:val="bottom"/>
          </w:tcPr>
          <w:p w14:paraId="606F735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3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w:t>
            </w:r>
          </w:p>
        </w:tc>
        <w:tc>
          <w:tcPr>
            <w:tcW w:w="0" w:type="auto"/>
            <w:shd w:val="clear" w:color="auto" w:fill="auto"/>
            <w:vAlign w:val="bottom"/>
          </w:tcPr>
          <w:p w14:paraId="606F735D" w14:textId="77777777" w:rsidR="00FB67F9" w:rsidRDefault="00FB67F9">
            <w:pPr>
              <w:textAlignment w:val="bottom"/>
              <w:rPr>
                <w:rFonts w:ascii="Times New Roman" w:hAnsi="Times New Roman"/>
                <w:sz w:val="20"/>
                <w:szCs w:val="20"/>
              </w:rPr>
            </w:pPr>
          </w:p>
        </w:tc>
      </w:tr>
      <w:tr w:rsidR="00FB67F9" w14:paraId="606F736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5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36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36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110</w:t>
            </w:r>
          </w:p>
        </w:tc>
        <w:tc>
          <w:tcPr>
            <w:tcW w:w="0" w:type="auto"/>
            <w:tcBorders>
              <w:top w:val="single" w:sz="8" w:space="0" w:color="E87722"/>
              <w:bottom w:val="single" w:sz="8" w:space="0" w:color="E87722"/>
            </w:tcBorders>
            <w:shd w:val="clear" w:color="auto" w:fill="FFF1E7"/>
            <w:vAlign w:val="bottom"/>
          </w:tcPr>
          <w:p w14:paraId="606F736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36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36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92</w:t>
            </w:r>
          </w:p>
        </w:tc>
        <w:tc>
          <w:tcPr>
            <w:tcW w:w="0" w:type="auto"/>
            <w:tcBorders>
              <w:top w:val="single" w:sz="8" w:space="0" w:color="E87722"/>
              <w:bottom w:val="single" w:sz="8" w:space="0" w:color="E87722"/>
            </w:tcBorders>
            <w:shd w:val="clear" w:color="auto" w:fill="auto"/>
            <w:vAlign w:val="bottom"/>
          </w:tcPr>
          <w:p w14:paraId="606F736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6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36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36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190</w:t>
            </w:r>
          </w:p>
        </w:tc>
        <w:tc>
          <w:tcPr>
            <w:tcW w:w="0" w:type="auto"/>
            <w:tcBorders>
              <w:top w:val="single" w:sz="8" w:space="0" w:color="E87722"/>
              <w:bottom w:val="single" w:sz="8" w:space="0" w:color="E87722"/>
            </w:tcBorders>
            <w:shd w:val="clear" w:color="auto" w:fill="FFF1E7"/>
            <w:vAlign w:val="bottom"/>
          </w:tcPr>
          <w:p w14:paraId="606F736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36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36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133</w:t>
            </w:r>
          </w:p>
        </w:tc>
        <w:tc>
          <w:tcPr>
            <w:tcW w:w="0" w:type="auto"/>
            <w:tcBorders>
              <w:top w:val="single" w:sz="8" w:space="0" w:color="E87722"/>
              <w:bottom w:val="single" w:sz="8" w:space="0" w:color="E87722"/>
            </w:tcBorders>
            <w:shd w:val="clear" w:color="auto" w:fill="auto"/>
            <w:vAlign w:val="bottom"/>
          </w:tcPr>
          <w:p w14:paraId="606F736C" w14:textId="77777777" w:rsidR="00FB67F9" w:rsidRDefault="00FB67F9">
            <w:pPr>
              <w:textAlignment w:val="bottom"/>
              <w:rPr>
                <w:rFonts w:ascii="Times New Roman" w:hAnsi="Times New Roman"/>
                <w:sz w:val="20"/>
                <w:szCs w:val="20"/>
              </w:rPr>
            </w:pPr>
          </w:p>
        </w:tc>
      </w:tr>
    </w:tbl>
    <w:p w14:paraId="606F736E"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371" w14:textId="77777777">
        <w:trPr>
          <w:tblCellSpacing w:w="0" w:type="dxa"/>
        </w:trPr>
        <w:tc>
          <w:tcPr>
            <w:tcW w:w="480" w:type="dxa"/>
            <w:shd w:val="clear" w:color="auto" w:fill="auto"/>
            <w:vAlign w:val="center"/>
          </w:tcPr>
          <w:p w14:paraId="606F736F" w14:textId="77777777" w:rsidR="00FB67F9" w:rsidRDefault="00FB67F9">
            <w:pPr>
              <w:rPr>
                <w:rFonts w:ascii="Times New Roman" w:hAnsi="Times New Roman"/>
                <w:sz w:val="20"/>
                <w:szCs w:val="20"/>
              </w:rPr>
            </w:pPr>
          </w:p>
        </w:tc>
        <w:tc>
          <w:tcPr>
            <w:tcW w:w="0" w:type="auto"/>
            <w:shd w:val="clear" w:color="auto" w:fill="auto"/>
            <w:vAlign w:val="center"/>
          </w:tcPr>
          <w:p w14:paraId="606F7370" w14:textId="77777777" w:rsidR="00FB67F9" w:rsidRDefault="00FB67F9">
            <w:pPr>
              <w:rPr>
                <w:rFonts w:ascii="Times New Roman" w:hAnsi="Times New Roman"/>
                <w:sz w:val="20"/>
                <w:szCs w:val="20"/>
              </w:rPr>
            </w:pPr>
          </w:p>
        </w:tc>
      </w:tr>
      <w:tr w:rsidR="00FB67F9" w14:paraId="606F7374" w14:textId="77777777">
        <w:trPr>
          <w:tblCellSpacing w:w="0" w:type="dxa"/>
        </w:trPr>
        <w:tc>
          <w:tcPr>
            <w:tcW w:w="0" w:type="auto"/>
            <w:shd w:val="clear" w:color="auto" w:fill="auto"/>
          </w:tcPr>
          <w:p w14:paraId="606F7372"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373"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Expense for stock </w:t>
            </w:r>
            <w:r>
              <w:rPr>
                <w:rFonts w:ascii="Arial" w:eastAsia="宋体" w:hAnsi="Arial" w:cs="Arial"/>
                <w:i/>
                <w:iCs/>
                <w:color w:val="000000"/>
                <w:sz w:val="14"/>
                <w:szCs w:val="14"/>
              </w:rPr>
              <w:t>options includes the expense associated with stock appreciation rights. Accelerated stock option expense is recorded for employees meeting certain retirement eligibility requirements.</w:t>
            </w:r>
          </w:p>
        </w:tc>
      </w:tr>
    </w:tbl>
    <w:p w14:paraId="606F737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income tax benefit related to stock-based compensation expense was </w:t>
      </w:r>
      <w:r>
        <w:rPr>
          <w:rFonts w:ascii="Arial" w:eastAsia="宋体" w:hAnsi="Arial" w:cs="Arial"/>
          <w:sz w:val="17"/>
          <w:szCs w:val="17"/>
        </w:rPr>
        <w:t>$77 million and $21 million for the three months ended November 30, 2019 and 2018, respectively, and $114 million and $74 million for the six months ended November 30, 2019 and 2018, respectively.</w:t>
      </w:r>
    </w:p>
    <w:p w14:paraId="606F7376"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STOCK OPTIONS</w:t>
      </w:r>
    </w:p>
    <w:p w14:paraId="606F737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weighted average fair value per </w:t>
      </w:r>
      <w:r>
        <w:rPr>
          <w:rFonts w:ascii="Arial" w:eastAsia="宋体" w:hAnsi="Arial" w:cs="Arial"/>
          <w:sz w:val="17"/>
          <w:szCs w:val="17"/>
        </w:rPr>
        <w:t>share of the options granted during the six months ended November 30, 2019 and 2018, computed as of the grant date using the Black-Scholes pricing model, was $18.46 and $22.81, respectively. The weighted average assumptions used to estimate these fair valu</w:t>
      </w:r>
      <w:r>
        <w:rPr>
          <w:rFonts w:ascii="Arial" w:eastAsia="宋体" w:hAnsi="Arial" w:cs="Arial"/>
          <w:sz w:val="17"/>
          <w:szCs w:val="17"/>
        </w:rPr>
        <w:t>es were as follows:</w:t>
      </w:r>
    </w:p>
    <w:tbl>
      <w:tblPr>
        <w:tblW w:w="5000" w:type="pct"/>
        <w:tblCellMar>
          <w:left w:w="0" w:type="dxa"/>
          <w:right w:w="0" w:type="dxa"/>
        </w:tblCellMar>
        <w:tblLook w:val="04A0" w:firstRow="1" w:lastRow="0" w:firstColumn="1" w:lastColumn="0" w:noHBand="0" w:noVBand="1"/>
      </w:tblPr>
      <w:tblGrid>
        <w:gridCol w:w="5907"/>
        <w:gridCol w:w="1007"/>
        <w:gridCol w:w="192"/>
        <w:gridCol w:w="1008"/>
        <w:gridCol w:w="192"/>
      </w:tblGrid>
      <w:tr w:rsidR="00FB67F9" w14:paraId="606F7379" w14:textId="77777777">
        <w:tc>
          <w:tcPr>
            <w:tcW w:w="0" w:type="auto"/>
            <w:gridSpan w:val="5"/>
            <w:shd w:val="clear" w:color="auto" w:fill="auto"/>
            <w:vAlign w:val="center"/>
          </w:tcPr>
          <w:p w14:paraId="606F7378" w14:textId="77777777" w:rsidR="00FB67F9" w:rsidRDefault="00FB67F9">
            <w:pPr>
              <w:rPr>
                <w:rFonts w:ascii="Times New Roman" w:hAnsi="Times New Roman"/>
                <w:sz w:val="20"/>
                <w:szCs w:val="20"/>
              </w:rPr>
            </w:pPr>
          </w:p>
        </w:tc>
      </w:tr>
      <w:tr w:rsidR="00FB67F9" w14:paraId="606F737F" w14:textId="77777777">
        <w:tc>
          <w:tcPr>
            <w:tcW w:w="3600" w:type="pct"/>
            <w:shd w:val="clear" w:color="auto" w:fill="auto"/>
            <w:vAlign w:val="center"/>
          </w:tcPr>
          <w:p w14:paraId="606F737A" w14:textId="77777777" w:rsidR="00FB67F9" w:rsidRDefault="00FB67F9">
            <w:pPr>
              <w:rPr>
                <w:rFonts w:ascii="Times New Roman" w:hAnsi="Times New Roman"/>
                <w:sz w:val="20"/>
                <w:szCs w:val="20"/>
              </w:rPr>
            </w:pPr>
          </w:p>
        </w:tc>
        <w:tc>
          <w:tcPr>
            <w:tcW w:w="650" w:type="pct"/>
            <w:shd w:val="clear" w:color="auto" w:fill="auto"/>
            <w:vAlign w:val="center"/>
          </w:tcPr>
          <w:p w14:paraId="606F737B" w14:textId="77777777" w:rsidR="00FB67F9" w:rsidRDefault="00FB67F9">
            <w:pPr>
              <w:rPr>
                <w:rFonts w:ascii="Times New Roman" w:hAnsi="Times New Roman"/>
                <w:sz w:val="20"/>
                <w:szCs w:val="20"/>
              </w:rPr>
            </w:pPr>
          </w:p>
        </w:tc>
        <w:tc>
          <w:tcPr>
            <w:tcW w:w="50" w:type="pct"/>
            <w:shd w:val="clear" w:color="auto" w:fill="auto"/>
            <w:vAlign w:val="center"/>
          </w:tcPr>
          <w:p w14:paraId="606F737C" w14:textId="77777777" w:rsidR="00FB67F9" w:rsidRDefault="00FB67F9">
            <w:pPr>
              <w:rPr>
                <w:rFonts w:ascii="Times New Roman" w:hAnsi="Times New Roman"/>
                <w:sz w:val="20"/>
                <w:szCs w:val="20"/>
              </w:rPr>
            </w:pPr>
          </w:p>
        </w:tc>
        <w:tc>
          <w:tcPr>
            <w:tcW w:w="650" w:type="pct"/>
            <w:shd w:val="clear" w:color="auto" w:fill="auto"/>
            <w:vAlign w:val="center"/>
          </w:tcPr>
          <w:p w14:paraId="606F737D" w14:textId="77777777" w:rsidR="00FB67F9" w:rsidRDefault="00FB67F9">
            <w:pPr>
              <w:rPr>
                <w:rFonts w:ascii="Times New Roman" w:hAnsi="Times New Roman"/>
                <w:sz w:val="20"/>
                <w:szCs w:val="20"/>
              </w:rPr>
            </w:pPr>
          </w:p>
        </w:tc>
        <w:tc>
          <w:tcPr>
            <w:tcW w:w="50" w:type="pct"/>
            <w:shd w:val="clear" w:color="auto" w:fill="auto"/>
            <w:vAlign w:val="center"/>
          </w:tcPr>
          <w:p w14:paraId="606F737E" w14:textId="77777777" w:rsidR="00FB67F9" w:rsidRDefault="00FB67F9">
            <w:pPr>
              <w:rPr>
                <w:rFonts w:ascii="Times New Roman" w:hAnsi="Times New Roman"/>
                <w:sz w:val="20"/>
                <w:szCs w:val="20"/>
              </w:rPr>
            </w:pPr>
          </w:p>
        </w:tc>
      </w:tr>
      <w:tr w:rsidR="00FB67F9" w14:paraId="606F7382" w14:textId="77777777">
        <w:tc>
          <w:tcPr>
            <w:tcW w:w="0" w:type="auto"/>
            <w:shd w:val="clear" w:color="auto" w:fill="auto"/>
            <w:tcMar>
              <w:top w:w="40" w:type="dxa"/>
              <w:left w:w="40" w:type="dxa"/>
              <w:bottom w:w="40" w:type="dxa"/>
              <w:right w:w="40" w:type="dxa"/>
            </w:tcMar>
            <w:vAlign w:val="bottom"/>
          </w:tcPr>
          <w:p w14:paraId="606F7380"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4"/>
            <w:tcBorders>
              <w:bottom w:val="single" w:sz="8" w:space="0" w:color="E87722"/>
            </w:tcBorders>
            <w:shd w:val="clear" w:color="auto" w:fill="auto"/>
            <w:tcMar>
              <w:top w:w="40" w:type="dxa"/>
              <w:left w:w="40" w:type="dxa"/>
              <w:bottom w:w="40" w:type="dxa"/>
            </w:tcMar>
            <w:vAlign w:val="bottom"/>
          </w:tcPr>
          <w:p w14:paraId="606F738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7386"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38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738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8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38C" w14:textId="77777777">
        <w:tc>
          <w:tcPr>
            <w:tcW w:w="0" w:type="auto"/>
            <w:shd w:val="clear" w:color="auto" w:fill="auto"/>
            <w:tcMar>
              <w:top w:w="40" w:type="dxa"/>
              <w:left w:w="40" w:type="dxa"/>
              <w:bottom w:w="40" w:type="dxa"/>
              <w:right w:w="40" w:type="dxa"/>
            </w:tcMar>
            <w:vAlign w:val="bottom"/>
          </w:tcPr>
          <w:p w14:paraId="606F7387" w14:textId="77777777" w:rsidR="00FB67F9" w:rsidRDefault="00E839DF">
            <w:pPr>
              <w:textAlignment w:val="bottom"/>
              <w:rPr>
                <w:rFonts w:ascii="Times New Roman" w:hAnsi="Times New Roman"/>
                <w:sz w:val="17"/>
                <w:szCs w:val="17"/>
              </w:rPr>
            </w:pPr>
            <w:r>
              <w:rPr>
                <w:rFonts w:ascii="Arial" w:eastAsia="宋体" w:hAnsi="Arial" w:cs="Arial"/>
                <w:sz w:val="17"/>
                <w:szCs w:val="17"/>
              </w:rPr>
              <w:t>Dividend yield</w:t>
            </w:r>
          </w:p>
        </w:tc>
        <w:tc>
          <w:tcPr>
            <w:tcW w:w="0" w:type="auto"/>
            <w:shd w:val="clear" w:color="auto" w:fill="FFF1E7"/>
            <w:tcMar>
              <w:top w:w="40" w:type="dxa"/>
              <w:left w:w="40" w:type="dxa"/>
              <w:bottom w:w="40" w:type="dxa"/>
            </w:tcMar>
            <w:vAlign w:val="bottom"/>
          </w:tcPr>
          <w:p w14:paraId="606F738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tcMar>
              <w:top w:w="40" w:type="dxa"/>
              <w:bottom w:w="40" w:type="dxa"/>
              <w:right w:w="40" w:type="dxa"/>
            </w:tcMar>
            <w:vAlign w:val="bottom"/>
          </w:tcPr>
          <w:p w14:paraId="606F738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738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606F738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39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38D" w14:textId="77777777" w:rsidR="00FB67F9" w:rsidRDefault="00E839DF">
            <w:pPr>
              <w:textAlignment w:val="bottom"/>
              <w:rPr>
                <w:rFonts w:ascii="Times New Roman" w:hAnsi="Times New Roman"/>
                <w:sz w:val="17"/>
                <w:szCs w:val="17"/>
              </w:rPr>
            </w:pPr>
            <w:r>
              <w:rPr>
                <w:rFonts w:ascii="Arial" w:eastAsia="宋体" w:hAnsi="Arial" w:cs="Arial"/>
                <w:sz w:val="17"/>
                <w:szCs w:val="17"/>
              </w:rPr>
              <w:t>Expected volatility</w:t>
            </w:r>
          </w:p>
        </w:tc>
        <w:tc>
          <w:tcPr>
            <w:tcW w:w="0" w:type="auto"/>
            <w:tcBorders>
              <w:top w:val="single" w:sz="8" w:space="0" w:color="808080"/>
            </w:tcBorders>
            <w:shd w:val="clear" w:color="auto" w:fill="FFF1E7"/>
            <w:tcMar>
              <w:top w:w="40" w:type="dxa"/>
              <w:left w:w="40" w:type="dxa"/>
              <w:bottom w:w="40" w:type="dxa"/>
            </w:tcMar>
            <w:vAlign w:val="bottom"/>
          </w:tcPr>
          <w:p w14:paraId="606F738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23.0</w:t>
            </w:r>
          </w:p>
        </w:tc>
        <w:tc>
          <w:tcPr>
            <w:tcW w:w="0" w:type="auto"/>
            <w:tcBorders>
              <w:top w:val="single" w:sz="8" w:space="0" w:color="808080"/>
            </w:tcBorders>
            <w:shd w:val="clear" w:color="auto" w:fill="FFF1E7"/>
            <w:tcMar>
              <w:top w:w="40" w:type="dxa"/>
              <w:bottom w:w="40" w:type="dxa"/>
              <w:right w:w="40" w:type="dxa"/>
            </w:tcMar>
            <w:vAlign w:val="bottom"/>
          </w:tcPr>
          <w:p w14:paraId="606F738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739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26.6</w:t>
            </w:r>
          </w:p>
        </w:tc>
        <w:tc>
          <w:tcPr>
            <w:tcW w:w="0" w:type="auto"/>
            <w:tcBorders>
              <w:top w:val="single" w:sz="8" w:space="0" w:color="808080"/>
            </w:tcBorders>
            <w:shd w:val="clear" w:color="auto" w:fill="auto"/>
            <w:tcMar>
              <w:top w:w="40" w:type="dxa"/>
              <w:bottom w:w="40" w:type="dxa"/>
              <w:right w:w="40" w:type="dxa"/>
            </w:tcMar>
            <w:vAlign w:val="bottom"/>
          </w:tcPr>
          <w:p w14:paraId="606F739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398"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393" w14:textId="77777777" w:rsidR="00FB67F9" w:rsidRDefault="00E839DF">
            <w:pPr>
              <w:textAlignment w:val="bottom"/>
              <w:rPr>
                <w:rFonts w:ascii="Times New Roman" w:hAnsi="Times New Roman"/>
                <w:sz w:val="17"/>
                <w:szCs w:val="17"/>
              </w:rPr>
            </w:pPr>
            <w:r>
              <w:rPr>
                <w:rFonts w:ascii="Arial" w:eastAsia="宋体" w:hAnsi="Arial" w:cs="Arial"/>
                <w:sz w:val="17"/>
                <w:szCs w:val="17"/>
              </w:rPr>
              <w:t>Weighted average expected life (in years)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39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6.0</w:t>
            </w:r>
          </w:p>
        </w:tc>
        <w:tc>
          <w:tcPr>
            <w:tcW w:w="0" w:type="auto"/>
            <w:tcBorders>
              <w:top w:val="single" w:sz="8" w:space="0" w:color="808080"/>
              <w:bottom w:val="single" w:sz="8" w:space="0" w:color="808080"/>
            </w:tcBorders>
            <w:shd w:val="clear" w:color="auto" w:fill="FFF1E7"/>
            <w:vAlign w:val="bottom"/>
          </w:tcPr>
          <w:p w14:paraId="606F739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39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6.0</w:t>
            </w:r>
          </w:p>
        </w:tc>
        <w:tc>
          <w:tcPr>
            <w:tcW w:w="0" w:type="auto"/>
            <w:tcBorders>
              <w:top w:val="single" w:sz="8" w:space="0" w:color="808080"/>
              <w:bottom w:val="single" w:sz="8" w:space="0" w:color="808080"/>
            </w:tcBorders>
            <w:shd w:val="clear" w:color="auto" w:fill="auto"/>
            <w:vAlign w:val="bottom"/>
          </w:tcPr>
          <w:p w14:paraId="606F7397" w14:textId="77777777" w:rsidR="00FB67F9" w:rsidRDefault="00FB67F9">
            <w:pPr>
              <w:textAlignment w:val="bottom"/>
              <w:rPr>
                <w:rFonts w:ascii="Times New Roman" w:hAnsi="Times New Roman"/>
                <w:sz w:val="20"/>
                <w:szCs w:val="20"/>
              </w:rPr>
            </w:pPr>
          </w:p>
        </w:tc>
      </w:tr>
      <w:tr w:rsidR="00FB67F9" w14:paraId="606F739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399" w14:textId="77777777" w:rsidR="00FB67F9" w:rsidRDefault="00E839DF">
            <w:pPr>
              <w:textAlignment w:val="bottom"/>
              <w:rPr>
                <w:rFonts w:ascii="Times New Roman" w:hAnsi="Times New Roman"/>
                <w:sz w:val="17"/>
                <w:szCs w:val="17"/>
              </w:rPr>
            </w:pPr>
            <w:r>
              <w:rPr>
                <w:rFonts w:ascii="Arial" w:eastAsia="宋体" w:hAnsi="Arial" w:cs="Arial"/>
                <w:sz w:val="17"/>
                <w:szCs w:val="17"/>
              </w:rPr>
              <w:t>Risk-free interest rate</w:t>
            </w:r>
          </w:p>
        </w:tc>
        <w:tc>
          <w:tcPr>
            <w:tcW w:w="0" w:type="auto"/>
            <w:tcBorders>
              <w:bottom w:val="single" w:sz="8" w:space="0" w:color="E87722"/>
            </w:tcBorders>
            <w:shd w:val="clear" w:color="auto" w:fill="FFF1E7"/>
            <w:tcMar>
              <w:top w:w="40" w:type="dxa"/>
              <w:left w:w="40" w:type="dxa"/>
              <w:bottom w:w="40" w:type="dxa"/>
            </w:tcMar>
            <w:vAlign w:val="bottom"/>
          </w:tcPr>
          <w:p w14:paraId="606F739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bottom w:val="single" w:sz="8" w:space="0" w:color="E87722"/>
            </w:tcBorders>
            <w:shd w:val="clear" w:color="auto" w:fill="FFF1E7"/>
            <w:tcMar>
              <w:top w:w="40" w:type="dxa"/>
              <w:bottom w:w="40" w:type="dxa"/>
              <w:right w:w="40" w:type="dxa"/>
            </w:tcMar>
            <w:vAlign w:val="bottom"/>
          </w:tcPr>
          <w:p w14:paraId="606F739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606F739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bottom w:val="single" w:sz="8" w:space="0" w:color="E87722"/>
            </w:tcBorders>
            <w:shd w:val="clear" w:color="auto" w:fill="auto"/>
            <w:tcMar>
              <w:top w:w="40" w:type="dxa"/>
              <w:bottom w:w="40" w:type="dxa"/>
              <w:right w:w="40" w:type="dxa"/>
            </w:tcMar>
            <w:vAlign w:val="bottom"/>
          </w:tcPr>
          <w:p w14:paraId="606F739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bl>
    <w:p w14:paraId="606F739F" w14:textId="77777777" w:rsidR="00FB67F9" w:rsidRDefault="00FB67F9">
      <w:pPr>
        <w:spacing w:line="312" w:lineRule="auto"/>
        <w:rPr>
          <w:rFonts w:ascii="Times New Roman" w:hAnsi="Times New Roman"/>
          <w:sz w:val="20"/>
          <w:szCs w:val="20"/>
        </w:rPr>
      </w:pPr>
    </w:p>
    <w:p w14:paraId="606F73A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Expected </w:t>
      </w:r>
      <w:r>
        <w:rPr>
          <w:rFonts w:ascii="Arial" w:eastAsia="宋体" w:hAnsi="Arial" w:cs="Arial"/>
          <w:sz w:val="17"/>
          <w:szCs w:val="17"/>
        </w:rPr>
        <w:t>volatilities are based on the historical volatility of the Company's common stock, the implied volatility in market traded options on the Company's common stock with a term greater than one year, as well as other factors. The weighted average expected life</w:t>
      </w:r>
      <w:r>
        <w:rPr>
          <w:rFonts w:ascii="Arial" w:eastAsia="宋体" w:hAnsi="Arial" w:cs="Arial"/>
          <w:sz w:val="17"/>
          <w:szCs w:val="17"/>
        </w:rPr>
        <w:t xml:space="preserve"> of options is based on an analysis of historical and expected future exercise patterns. The interest rate is based on the U.S. Treasury (constant maturity) risk-free rate in effect at the date of grant for periods corresponding with the expected term of t</w:t>
      </w:r>
      <w:r>
        <w:rPr>
          <w:rFonts w:ascii="Arial" w:eastAsia="宋体" w:hAnsi="Arial" w:cs="Arial"/>
          <w:sz w:val="17"/>
          <w:szCs w:val="17"/>
        </w:rPr>
        <w:t>he options.</w:t>
      </w:r>
    </w:p>
    <w:p w14:paraId="606F73A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As of November 30, 2019, the Company had $523 million of unrecognized compensation costs from stock options, net of estimated forfeitures, to be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over a weighted average r</w:t>
      </w:r>
      <w:r>
        <w:rPr>
          <w:rFonts w:ascii="Arial" w:eastAsia="宋体" w:hAnsi="Arial" w:cs="Arial"/>
          <w:sz w:val="17"/>
          <w:szCs w:val="17"/>
        </w:rPr>
        <w:t>emaining period of 2.9 years.</w:t>
      </w:r>
    </w:p>
    <w:p w14:paraId="606F73A2" w14:textId="77777777" w:rsidR="00FB67F9" w:rsidRDefault="00FB67F9">
      <w:pPr>
        <w:rPr>
          <w:rFonts w:ascii="Times New Roman" w:hAnsi="Times New Roman"/>
          <w:sz w:val="20"/>
          <w:szCs w:val="20"/>
        </w:rPr>
      </w:pPr>
    </w:p>
    <w:p w14:paraId="606F73A3"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12</w:t>
      </w:r>
      <w:r>
        <w:rPr>
          <w:rFonts w:ascii="sans-serif" w:eastAsia="sans-serif" w:hAnsi="sans-serif" w:cs="sans-serif"/>
          <w:sz w:val="17"/>
          <w:szCs w:val="17"/>
        </w:rPr>
        <w:t xml:space="preserve"> </w:t>
      </w:r>
    </w:p>
    <w:p w14:paraId="606F73A4" w14:textId="77777777" w:rsidR="00FB67F9" w:rsidRDefault="00E839DF">
      <w:r>
        <w:rPr>
          <w:rFonts w:ascii="Times New Roman" w:hAnsi="Times New Roman"/>
          <w:sz w:val="17"/>
          <w:szCs w:val="17"/>
        </w:rPr>
        <w:pict w14:anchorId="606F8F89">
          <v:rect id="_x0000_i1038" style="width:415.3pt;height:1.5pt" o:hralign="center" o:hrstd="t" o:hr="t" fillcolor="#a0a0a0" stroked="f"/>
        </w:pict>
      </w:r>
    </w:p>
    <w:p w14:paraId="606F73A5" w14:textId="77777777" w:rsidR="00FB67F9" w:rsidRDefault="00FB67F9">
      <w:pPr>
        <w:rPr>
          <w:rFonts w:ascii="Times New Roman" w:hAnsi="Times New Roman"/>
          <w:sz w:val="17"/>
          <w:szCs w:val="17"/>
        </w:rPr>
      </w:pPr>
    </w:p>
    <w:p w14:paraId="606F73A6" w14:textId="77777777" w:rsidR="00FB67F9" w:rsidRDefault="00E839DF">
      <w:pPr>
        <w:rPr>
          <w:rFonts w:ascii="Times New Roman" w:hAnsi="Times New Roman"/>
          <w:sz w:val="17"/>
          <w:szCs w:val="17"/>
        </w:rPr>
      </w:pPr>
      <w:hyperlink r:id="rId82" w:anchor="s42C493F7582652B69E70047AB812E6A5" w:history="1">
        <w:r>
          <w:rPr>
            <w:rStyle w:val="a5"/>
            <w:rFonts w:ascii="sans-serif" w:eastAsia="sans-serif" w:hAnsi="sans-serif" w:cs="sans-serif"/>
            <w:sz w:val="17"/>
            <w:szCs w:val="17"/>
          </w:rPr>
          <w:t>Table of Contents</w:t>
        </w:r>
      </w:hyperlink>
    </w:p>
    <w:p w14:paraId="606F73A7" w14:textId="77777777" w:rsidR="00FB67F9" w:rsidRDefault="00FB67F9">
      <w:pPr>
        <w:rPr>
          <w:rFonts w:ascii="Times New Roman" w:hAnsi="Times New Roman"/>
          <w:sz w:val="17"/>
          <w:szCs w:val="17"/>
        </w:rPr>
      </w:pPr>
    </w:p>
    <w:p w14:paraId="606F73A8" w14:textId="77777777" w:rsidR="00FB67F9" w:rsidRDefault="00FB67F9">
      <w:pPr>
        <w:rPr>
          <w:rFonts w:ascii="Times New Roman" w:hAnsi="Times New Roman"/>
          <w:sz w:val="20"/>
          <w:szCs w:val="20"/>
        </w:rPr>
      </w:pPr>
    </w:p>
    <w:p w14:paraId="606F73A9"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 xml:space="preserve">RESTRICTED STOCK AND RESTRICTED STOCK </w:t>
      </w:r>
      <w:r>
        <w:rPr>
          <w:rFonts w:ascii="sans-serif" w:eastAsia="sans-serif" w:hAnsi="sans-serif" w:cs="sans-serif"/>
          <w:b/>
          <w:bCs/>
          <w:color w:val="000000"/>
          <w:sz w:val="28"/>
          <w:szCs w:val="28"/>
        </w:rPr>
        <w:t>UNITS</w:t>
      </w:r>
    </w:p>
    <w:p w14:paraId="606F73A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weighted average fair value per share of restricted stock and restricted stock units granted for the six months ended November 30, 2019 and 2018, computed as of the grant date, was $84.85 and $80.55, respectively. As of November 30, 2019, the Com</w:t>
      </w:r>
      <w:r>
        <w:rPr>
          <w:rFonts w:ascii="Arial" w:eastAsia="宋体" w:hAnsi="Arial" w:cs="Arial"/>
          <w:sz w:val="17"/>
          <w:szCs w:val="17"/>
        </w:rPr>
        <w:t xml:space="preserve">pany had $348 million of unrecognized compensation costs from restricted stock and restricted stock units, net of estimated forfeitures, to be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over a weighted average remaining perio</w:t>
      </w:r>
      <w:r>
        <w:rPr>
          <w:rFonts w:ascii="Arial" w:eastAsia="宋体" w:hAnsi="Arial" w:cs="Arial"/>
          <w:sz w:val="17"/>
          <w:szCs w:val="17"/>
        </w:rPr>
        <w:t>d of 3.0 years.</w:t>
      </w:r>
    </w:p>
    <w:tbl>
      <w:tblPr>
        <w:tblW w:w="5000" w:type="pct"/>
        <w:tblCellMar>
          <w:left w:w="0" w:type="dxa"/>
          <w:right w:w="0" w:type="dxa"/>
        </w:tblCellMar>
        <w:tblLook w:val="04A0" w:firstRow="1" w:lastRow="0" w:firstColumn="1" w:lastColumn="0" w:noHBand="0" w:noVBand="1"/>
      </w:tblPr>
      <w:tblGrid>
        <w:gridCol w:w="8306"/>
      </w:tblGrid>
      <w:tr w:rsidR="00FB67F9" w14:paraId="606F73AC" w14:textId="77777777">
        <w:tc>
          <w:tcPr>
            <w:tcW w:w="0" w:type="auto"/>
            <w:shd w:val="clear" w:color="auto" w:fill="auto"/>
            <w:vAlign w:val="center"/>
          </w:tcPr>
          <w:p w14:paraId="606F73AB" w14:textId="77777777" w:rsidR="00FB67F9" w:rsidRDefault="00FB67F9">
            <w:pPr>
              <w:rPr>
                <w:rFonts w:ascii="Times New Roman" w:hAnsi="Times New Roman"/>
                <w:sz w:val="20"/>
                <w:szCs w:val="20"/>
              </w:rPr>
            </w:pPr>
          </w:p>
        </w:tc>
      </w:tr>
      <w:tr w:rsidR="00FB67F9" w14:paraId="606F73AE" w14:textId="77777777">
        <w:tc>
          <w:tcPr>
            <w:tcW w:w="5000" w:type="pct"/>
            <w:shd w:val="clear" w:color="auto" w:fill="auto"/>
            <w:vAlign w:val="center"/>
          </w:tcPr>
          <w:p w14:paraId="606F73AD" w14:textId="77777777" w:rsidR="00FB67F9" w:rsidRDefault="00FB67F9">
            <w:pPr>
              <w:rPr>
                <w:rFonts w:ascii="Times New Roman" w:hAnsi="Times New Roman"/>
                <w:sz w:val="20"/>
                <w:szCs w:val="20"/>
              </w:rPr>
            </w:pPr>
          </w:p>
        </w:tc>
      </w:tr>
      <w:tr w:rsidR="00FB67F9" w14:paraId="606F73B0" w14:textId="77777777">
        <w:tc>
          <w:tcPr>
            <w:tcW w:w="0" w:type="auto"/>
            <w:shd w:val="clear" w:color="auto" w:fill="auto"/>
            <w:tcMar>
              <w:top w:w="40" w:type="dxa"/>
              <w:left w:w="40" w:type="dxa"/>
              <w:bottom w:w="40" w:type="dxa"/>
              <w:right w:w="40" w:type="dxa"/>
            </w:tcMar>
            <w:vAlign w:val="bottom"/>
          </w:tcPr>
          <w:p w14:paraId="606F73AF"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8 — EARNINGS PER SHARE</w:t>
            </w:r>
          </w:p>
        </w:tc>
      </w:tr>
    </w:tbl>
    <w:p w14:paraId="606F73B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following is a reconciliation from basic earnings per common share to diluted earnings per common share. The computations of diluted earnings per common share excluded options, including shares </w:t>
      </w:r>
      <w:r>
        <w:rPr>
          <w:rFonts w:ascii="Arial" w:eastAsia="宋体" w:hAnsi="Arial" w:cs="Arial"/>
          <w:sz w:val="17"/>
          <w:szCs w:val="17"/>
        </w:rPr>
        <w:t>under ESPPs, to purchase an additional 34.2 million and 17.8 million shares of common stock outstanding for the three months ended November 30, 2019 and 2018, respectively, and 34.2 million and 17.8 million shares of common stock outstanding for the six mo</w:t>
      </w:r>
      <w:r>
        <w:rPr>
          <w:rFonts w:ascii="Arial" w:eastAsia="宋体" w:hAnsi="Arial" w:cs="Arial"/>
          <w:sz w:val="17"/>
          <w:szCs w:val="17"/>
        </w:rPr>
        <w:t>nths ended November 30, 2019 and 2018, respectively, because the options were anti-dilutive.</w:t>
      </w:r>
    </w:p>
    <w:tbl>
      <w:tblPr>
        <w:tblW w:w="5000" w:type="pct"/>
        <w:tblCellMar>
          <w:left w:w="0" w:type="dxa"/>
          <w:right w:w="0" w:type="dxa"/>
        </w:tblCellMar>
        <w:tblLook w:val="04A0" w:firstRow="1" w:lastRow="0" w:firstColumn="1" w:lastColumn="0" w:noHBand="0" w:noVBand="1"/>
      </w:tblPr>
      <w:tblGrid>
        <w:gridCol w:w="4872"/>
        <w:gridCol w:w="136"/>
        <w:gridCol w:w="635"/>
        <w:gridCol w:w="54"/>
        <w:gridCol w:w="136"/>
        <w:gridCol w:w="635"/>
        <w:gridCol w:w="54"/>
        <w:gridCol w:w="130"/>
        <w:gridCol w:w="136"/>
        <w:gridCol w:w="636"/>
        <w:gridCol w:w="55"/>
        <w:gridCol w:w="136"/>
        <w:gridCol w:w="636"/>
        <w:gridCol w:w="55"/>
      </w:tblGrid>
      <w:tr w:rsidR="00FB67F9" w14:paraId="606F73B3" w14:textId="77777777">
        <w:tc>
          <w:tcPr>
            <w:tcW w:w="0" w:type="auto"/>
            <w:gridSpan w:val="14"/>
            <w:shd w:val="clear" w:color="auto" w:fill="auto"/>
            <w:vAlign w:val="center"/>
          </w:tcPr>
          <w:p w14:paraId="606F73B2" w14:textId="77777777" w:rsidR="00FB67F9" w:rsidRDefault="00FB67F9">
            <w:pPr>
              <w:rPr>
                <w:rFonts w:ascii="Times New Roman" w:hAnsi="Times New Roman"/>
                <w:sz w:val="20"/>
                <w:szCs w:val="20"/>
              </w:rPr>
            </w:pPr>
          </w:p>
        </w:tc>
      </w:tr>
      <w:tr w:rsidR="00FB67F9" w14:paraId="606F73C2" w14:textId="77777777">
        <w:tc>
          <w:tcPr>
            <w:tcW w:w="2950" w:type="pct"/>
            <w:shd w:val="clear" w:color="auto" w:fill="auto"/>
            <w:vAlign w:val="center"/>
          </w:tcPr>
          <w:p w14:paraId="606F73B4" w14:textId="77777777" w:rsidR="00FB67F9" w:rsidRDefault="00FB67F9">
            <w:pPr>
              <w:rPr>
                <w:rFonts w:ascii="Times New Roman" w:hAnsi="Times New Roman"/>
                <w:sz w:val="20"/>
                <w:szCs w:val="20"/>
              </w:rPr>
            </w:pPr>
          </w:p>
        </w:tc>
        <w:tc>
          <w:tcPr>
            <w:tcW w:w="50" w:type="pct"/>
            <w:shd w:val="clear" w:color="auto" w:fill="auto"/>
            <w:vAlign w:val="center"/>
          </w:tcPr>
          <w:p w14:paraId="606F73B5" w14:textId="77777777" w:rsidR="00FB67F9" w:rsidRDefault="00FB67F9">
            <w:pPr>
              <w:rPr>
                <w:rFonts w:ascii="Times New Roman" w:hAnsi="Times New Roman"/>
                <w:sz w:val="20"/>
                <w:szCs w:val="20"/>
              </w:rPr>
            </w:pPr>
          </w:p>
        </w:tc>
        <w:tc>
          <w:tcPr>
            <w:tcW w:w="400" w:type="pct"/>
            <w:shd w:val="clear" w:color="auto" w:fill="auto"/>
            <w:vAlign w:val="center"/>
          </w:tcPr>
          <w:p w14:paraId="606F73B6" w14:textId="77777777" w:rsidR="00FB67F9" w:rsidRDefault="00FB67F9">
            <w:pPr>
              <w:rPr>
                <w:rFonts w:ascii="Times New Roman" w:hAnsi="Times New Roman"/>
                <w:sz w:val="20"/>
                <w:szCs w:val="20"/>
              </w:rPr>
            </w:pPr>
          </w:p>
        </w:tc>
        <w:tc>
          <w:tcPr>
            <w:tcW w:w="50" w:type="pct"/>
            <w:shd w:val="clear" w:color="auto" w:fill="auto"/>
            <w:vAlign w:val="center"/>
          </w:tcPr>
          <w:p w14:paraId="606F73B7" w14:textId="77777777" w:rsidR="00FB67F9" w:rsidRDefault="00FB67F9">
            <w:pPr>
              <w:rPr>
                <w:rFonts w:ascii="Times New Roman" w:hAnsi="Times New Roman"/>
                <w:sz w:val="20"/>
                <w:szCs w:val="20"/>
              </w:rPr>
            </w:pPr>
          </w:p>
        </w:tc>
        <w:tc>
          <w:tcPr>
            <w:tcW w:w="50" w:type="pct"/>
            <w:shd w:val="clear" w:color="auto" w:fill="auto"/>
            <w:vAlign w:val="center"/>
          </w:tcPr>
          <w:p w14:paraId="606F73B8" w14:textId="77777777" w:rsidR="00FB67F9" w:rsidRDefault="00FB67F9">
            <w:pPr>
              <w:rPr>
                <w:rFonts w:ascii="Times New Roman" w:hAnsi="Times New Roman"/>
                <w:sz w:val="20"/>
                <w:szCs w:val="20"/>
              </w:rPr>
            </w:pPr>
          </w:p>
        </w:tc>
        <w:tc>
          <w:tcPr>
            <w:tcW w:w="400" w:type="pct"/>
            <w:shd w:val="clear" w:color="auto" w:fill="auto"/>
            <w:vAlign w:val="center"/>
          </w:tcPr>
          <w:p w14:paraId="606F73B9" w14:textId="77777777" w:rsidR="00FB67F9" w:rsidRDefault="00FB67F9">
            <w:pPr>
              <w:rPr>
                <w:rFonts w:ascii="Times New Roman" w:hAnsi="Times New Roman"/>
                <w:sz w:val="20"/>
                <w:szCs w:val="20"/>
              </w:rPr>
            </w:pPr>
          </w:p>
        </w:tc>
        <w:tc>
          <w:tcPr>
            <w:tcW w:w="50" w:type="pct"/>
            <w:shd w:val="clear" w:color="auto" w:fill="auto"/>
            <w:vAlign w:val="center"/>
          </w:tcPr>
          <w:p w14:paraId="606F73BA" w14:textId="77777777" w:rsidR="00FB67F9" w:rsidRDefault="00FB67F9">
            <w:pPr>
              <w:rPr>
                <w:rFonts w:ascii="Times New Roman" w:hAnsi="Times New Roman"/>
                <w:sz w:val="20"/>
                <w:szCs w:val="20"/>
              </w:rPr>
            </w:pPr>
          </w:p>
        </w:tc>
        <w:tc>
          <w:tcPr>
            <w:tcW w:w="50" w:type="pct"/>
            <w:shd w:val="clear" w:color="auto" w:fill="auto"/>
            <w:vAlign w:val="center"/>
          </w:tcPr>
          <w:p w14:paraId="606F73BB" w14:textId="77777777" w:rsidR="00FB67F9" w:rsidRDefault="00FB67F9">
            <w:pPr>
              <w:rPr>
                <w:rFonts w:ascii="Times New Roman" w:hAnsi="Times New Roman"/>
                <w:sz w:val="20"/>
                <w:szCs w:val="20"/>
              </w:rPr>
            </w:pPr>
          </w:p>
        </w:tc>
        <w:tc>
          <w:tcPr>
            <w:tcW w:w="50" w:type="pct"/>
            <w:shd w:val="clear" w:color="auto" w:fill="auto"/>
            <w:vAlign w:val="center"/>
          </w:tcPr>
          <w:p w14:paraId="606F73BC" w14:textId="77777777" w:rsidR="00FB67F9" w:rsidRDefault="00FB67F9">
            <w:pPr>
              <w:rPr>
                <w:rFonts w:ascii="Times New Roman" w:hAnsi="Times New Roman"/>
                <w:sz w:val="20"/>
                <w:szCs w:val="20"/>
              </w:rPr>
            </w:pPr>
          </w:p>
        </w:tc>
        <w:tc>
          <w:tcPr>
            <w:tcW w:w="400" w:type="pct"/>
            <w:shd w:val="clear" w:color="auto" w:fill="auto"/>
            <w:vAlign w:val="center"/>
          </w:tcPr>
          <w:p w14:paraId="606F73BD" w14:textId="77777777" w:rsidR="00FB67F9" w:rsidRDefault="00FB67F9">
            <w:pPr>
              <w:rPr>
                <w:rFonts w:ascii="Times New Roman" w:hAnsi="Times New Roman"/>
                <w:sz w:val="20"/>
                <w:szCs w:val="20"/>
              </w:rPr>
            </w:pPr>
          </w:p>
        </w:tc>
        <w:tc>
          <w:tcPr>
            <w:tcW w:w="50" w:type="pct"/>
            <w:shd w:val="clear" w:color="auto" w:fill="auto"/>
            <w:vAlign w:val="center"/>
          </w:tcPr>
          <w:p w14:paraId="606F73BE" w14:textId="77777777" w:rsidR="00FB67F9" w:rsidRDefault="00FB67F9">
            <w:pPr>
              <w:rPr>
                <w:rFonts w:ascii="Times New Roman" w:hAnsi="Times New Roman"/>
                <w:sz w:val="20"/>
                <w:szCs w:val="20"/>
              </w:rPr>
            </w:pPr>
          </w:p>
        </w:tc>
        <w:tc>
          <w:tcPr>
            <w:tcW w:w="50" w:type="pct"/>
            <w:shd w:val="clear" w:color="auto" w:fill="auto"/>
            <w:vAlign w:val="center"/>
          </w:tcPr>
          <w:p w14:paraId="606F73BF" w14:textId="77777777" w:rsidR="00FB67F9" w:rsidRDefault="00FB67F9">
            <w:pPr>
              <w:rPr>
                <w:rFonts w:ascii="Times New Roman" w:hAnsi="Times New Roman"/>
                <w:sz w:val="20"/>
                <w:szCs w:val="20"/>
              </w:rPr>
            </w:pPr>
          </w:p>
        </w:tc>
        <w:tc>
          <w:tcPr>
            <w:tcW w:w="400" w:type="pct"/>
            <w:shd w:val="clear" w:color="auto" w:fill="auto"/>
            <w:vAlign w:val="center"/>
          </w:tcPr>
          <w:p w14:paraId="606F73C0" w14:textId="77777777" w:rsidR="00FB67F9" w:rsidRDefault="00FB67F9">
            <w:pPr>
              <w:rPr>
                <w:rFonts w:ascii="Times New Roman" w:hAnsi="Times New Roman"/>
                <w:sz w:val="20"/>
                <w:szCs w:val="20"/>
              </w:rPr>
            </w:pPr>
          </w:p>
        </w:tc>
        <w:tc>
          <w:tcPr>
            <w:tcW w:w="50" w:type="pct"/>
            <w:shd w:val="clear" w:color="auto" w:fill="auto"/>
            <w:vAlign w:val="center"/>
          </w:tcPr>
          <w:p w14:paraId="606F73C1" w14:textId="77777777" w:rsidR="00FB67F9" w:rsidRDefault="00FB67F9">
            <w:pPr>
              <w:rPr>
                <w:rFonts w:ascii="Times New Roman" w:hAnsi="Times New Roman"/>
                <w:sz w:val="20"/>
                <w:szCs w:val="20"/>
              </w:rPr>
            </w:pPr>
          </w:p>
        </w:tc>
      </w:tr>
      <w:tr w:rsidR="00FB67F9" w14:paraId="606F73C7" w14:textId="77777777">
        <w:tc>
          <w:tcPr>
            <w:tcW w:w="0" w:type="auto"/>
            <w:shd w:val="clear" w:color="auto" w:fill="auto"/>
            <w:tcMar>
              <w:top w:w="40" w:type="dxa"/>
              <w:left w:w="40" w:type="dxa"/>
              <w:bottom w:w="40" w:type="dxa"/>
              <w:right w:w="40" w:type="dxa"/>
            </w:tcMar>
            <w:vAlign w:val="bottom"/>
          </w:tcPr>
          <w:p w14:paraId="606F73C3"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73C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73C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73C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73C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3C8"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C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C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3C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3C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3C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3DD" w14:textId="77777777">
        <w:tc>
          <w:tcPr>
            <w:tcW w:w="0" w:type="auto"/>
            <w:shd w:val="clear" w:color="auto" w:fill="auto"/>
            <w:tcMar>
              <w:top w:w="40" w:type="dxa"/>
              <w:left w:w="40" w:type="dxa"/>
              <w:bottom w:w="40" w:type="dxa"/>
              <w:right w:w="40" w:type="dxa"/>
            </w:tcMar>
            <w:vAlign w:val="bottom"/>
          </w:tcPr>
          <w:p w14:paraId="606F73CF"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Net income </w:t>
            </w:r>
            <w:r>
              <w:rPr>
                <w:rFonts w:ascii="Arial" w:eastAsia="宋体" w:hAnsi="Arial" w:cs="Arial"/>
                <w:sz w:val="17"/>
                <w:szCs w:val="17"/>
              </w:rPr>
              <w:t>available to common stockholders</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73D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73D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1,115</w:t>
            </w:r>
          </w:p>
        </w:tc>
        <w:tc>
          <w:tcPr>
            <w:tcW w:w="0" w:type="auto"/>
            <w:tcBorders>
              <w:top w:val="single" w:sz="8" w:space="0" w:color="E87722"/>
              <w:bottom w:val="single" w:sz="8" w:space="0" w:color="808080"/>
            </w:tcBorders>
            <w:shd w:val="clear" w:color="auto" w:fill="FFF1E7"/>
            <w:vAlign w:val="bottom"/>
          </w:tcPr>
          <w:p w14:paraId="606F73D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3D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3D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847</w:t>
            </w:r>
          </w:p>
        </w:tc>
        <w:tc>
          <w:tcPr>
            <w:tcW w:w="0" w:type="auto"/>
            <w:tcBorders>
              <w:top w:val="single" w:sz="8" w:space="0" w:color="E87722"/>
              <w:bottom w:val="single" w:sz="8" w:space="0" w:color="808080"/>
            </w:tcBorders>
            <w:shd w:val="clear" w:color="auto" w:fill="auto"/>
            <w:vAlign w:val="bottom"/>
          </w:tcPr>
          <w:p w14:paraId="606F73D5"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3D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73D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73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2,482</w:t>
            </w:r>
          </w:p>
        </w:tc>
        <w:tc>
          <w:tcPr>
            <w:tcW w:w="0" w:type="auto"/>
            <w:shd w:val="clear" w:color="auto" w:fill="FFF1E7"/>
            <w:vAlign w:val="bottom"/>
          </w:tcPr>
          <w:p w14:paraId="606F73D9"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73D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73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1,939</w:t>
            </w:r>
          </w:p>
        </w:tc>
        <w:tc>
          <w:tcPr>
            <w:tcW w:w="0" w:type="auto"/>
            <w:shd w:val="clear" w:color="auto" w:fill="auto"/>
            <w:vAlign w:val="bottom"/>
          </w:tcPr>
          <w:p w14:paraId="606F73DC" w14:textId="77777777" w:rsidR="00FB67F9" w:rsidRDefault="00FB67F9">
            <w:pPr>
              <w:textAlignment w:val="bottom"/>
              <w:rPr>
                <w:rFonts w:ascii="Times New Roman" w:hAnsi="Times New Roman"/>
                <w:sz w:val="20"/>
                <w:szCs w:val="20"/>
              </w:rPr>
            </w:pPr>
          </w:p>
        </w:tc>
      </w:tr>
      <w:tr w:rsidR="00FB67F9" w14:paraId="606F73E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3DE" w14:textId="77777777" w:rsidR="00FB67F9" w:rsidRDefault="00E839DF">
            <w:pPr>
              <w:textAlignment w:val="bottom"/>
              <w:rPr>
                <w:rFonts w:ascii="Times New Roman" w:hAnsi="Times New Roman"/>
                <w:sz w:val="17"/>
                <w:szCs w:val="17"/>
              </w:rPr>
            </w:pPr>
            <w:r>
              <w:rPr>
                <w:rFonts w:ascii="Arial" w:eastAsia="宋体" w:hAnsi="Arial" w:cs="Arial"/>
                <w:sz w:val="17"/>
                <w:szCs w:val="17"/>
              </w:rPr>
              <w:t>Determination of shares: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3D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3E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3E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3E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73E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3E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3E5" w14:textId="77777777" w:rsidR="00FB67F9" w:rsidRDefault="00E839DF">
            <w:pPr>
              <w:textAlignment w:val="bottom"/>
              <w:rPr>
                <w:rFonts w:ascii="Times New Roman" w:hAnsi="Times New Roman"/>
                <w:sz w:val="17"/>
                <w:szCs w:val="17"/>
              </w:rPr>
            </w:pPr>
            <w:r>
              <w:rPr>
                <w:rFonts w:ascii="Arial" w:eastAsia="宋体" w:hAnsi="Arial" w:cs="Arial"/>
                <w:sz w:val="17"/>
                <w:szCs w:val="17"/>
              </w:rPr>
              <w:t>Weighted average common shares outstanding</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3E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1,560.6</w:t>
            </w:r>
          </w:p>
        </w:tc>
        <w:tc>
          <w:tcPr>
            <w:tcW w:w="0" w:type="auto"/>
            <w:tcBorders>
              <w:top w:val="single" w:sz="8" w:space="0" w:color="808080"/>
              <w:bottom w:val="single" w:sz="8" w:space="0" w:color="808080"/>
            </w:tcBorders>
            <w:shd w:val="clear" w:color="auto" w:fill="FFF1E7"/>
            <w:vAlign w:val="bottom"/>
          </w:tcPr>
          <w:p w14:paraId="606F73E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3E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1,581.4</w:t>
            </w:r>
          </w:p>
        </w:tc>
        <w:tc>
          <w:tcPr>
            <w:tcW w:w="0" w:type="auto"/>
            <w:tcBorders>
              <w:top w:val="single" w:sz="8" w:space="0" w:color="808080"/>
              <w:bottom w:val="single" w:sz="8" w:space="0" w:color="808080"/>
            </w:tcBorders>
            <w:shd w:val="clear" w:color="auto" w:fill="auto"/>
            <w:vAlign w:val="bottom"/>
          </w:tcPr>
          <w:p w14:paraId="606F73E9"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3E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3E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1,561.5</w:t>
            </w:r>
          </w:p>
        </w:tc>
        <w:tc>
          <w:tcPr>
            <w:tcW w:w="0" w:type="auto"/>
            <w:tcBorders>
              <w:top w:val="single" w:sz="8" w:space="0" w:color="808080"/>
              <w:bottom w:val="single" w:sz="8" w:space="0" w:color="808080"/>
            </w:tcBorders>
            <w:shd w:val="clear" w:color="auto" w:fill="FFF1E7"/>
            <w:vAlign w:val="bottom"/>
          </w:tcPr>
          <w:p w14:paraId="606F73E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3E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1,587.7</w:t>
            </w:r>
          </w:p>
        </w:tc>
        <w:tc>
          <w:tcPr>
            <w:tcW w:w="0" w:type="auto"/>
            <w:tcBorders>
              <w:top w:val="single" w:sz="8" w:space="0" w:color="808080"/>
              <w:bottom w:val="single" w:sz="8" w:space="0" w:color="808080"/>
            </w:tcBorders>
            <w:shd w:val="clear" w:color="auto" w:fill="auto"/>
            <w:vAlign w:val="bottom"/>
          </w:tcPr>
          <w:p w14:paraId="606F73EE" w14:textId="77777777" w:rsidR="00FB67F9" w:rsidRDefault="00FB67F9">
            <w:pPr>
              <w:textAlignment w:val="bottom"/>
              <w:rPr>
                <w:rFonts w:ascii="Times New Roman" w:hAnsi="Times New Roman"/>
                <w:sz w:val="20"/>
                <w:szCs w:val="20"/>
              </w:rPr>
            </w:pPr>
          </w:p>
        </w:tc>
      </w:tr>
      <w:tr w:rsidR="00FB67F9" w14:paraId="606F73FA"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73F0" w14:textId="77777777" w:rsidR="00FB67F9" w:rsidRDefault="00E839DF">
            <w:pPr>
              <w:textAlignment w:val="bottom"/>
              <w:rPr>
                <w:rFonts w:ascii="Times New Roman" w:hAnsi="Times New Roman"/>
                <w:sz w:val="17"/>
                <w:szCs w:val="17"/>
              </w:rPr>
            </w:pPr>
            <w:r>
              <w:rPr>
                <w:rFonts w:ascii="Arial" w:eastAsia="宋体" w:hAnsi="Arial" w:cs="Arial"/>
                <w:sz w:val="17"/>
                <w:szCs w:val="17"/>
              </w:rPr>
              <w:t>Assumed conversion of dilutive stock options and awards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3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33.8</w:t>
            </w:r>
          </w:p>
        </w:tc>
        <w:tc>
          <w:tcPr>
            <w:tcW w:w="0" w:type="auto"/>
            <w:tcBorders>
              <w:bottom w:val="single" w:sz="8" w:space="0" w:color="E87722"/>
            </w:tcBorders>
            <w:shd w:val="clear" w:color="auto" w:fill="FFF1E7"/>
            <w:vAlign w:val="bottom"/>
          </w:tcPr>
          <w:p w14:paraId="606F73F2"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3F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39.3</w:t>
            </w:r>
          </w:p>
        </w:tc>
        <w:tc>
          <w:tcPr>
            <w:tcW w:w="0" w:type="auto"/>
            <w:tcBorders>
              <w:bottom w:val="single" w:sz="8" w:space="0" w:color="E87722"/>
            </w:tcBorders>
            <w:shd w:val="clear" w:color="auto" w:fill="auto"/>
            <w:vAlign w:val="bottom"/>
          </w:tcPr>
          <w:p w14:paraId="606F73F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3F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3F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34.5</w:t>
            </w:r>
          </w:p>
        </w:tc>
        <w:tc>
          <w:tcPr>
            <w:tcW w:w="0" w:type="auto"/>
            <w:tcBorders>
              <w:bottom w:val="single" w:sz="8" w:space="0" w:color="E87722"/>
            </w:tcBorders>
            <w:shd w:val="clear" w:color="auto" w:fill="FFF1E7"/>
            <w:vAlign w:val="bottom"/>
          </w:tcPr>
          <w:p w14:paraId="606F73F7"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3F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39.5</w:t>
            </w:r>
          </w:p>
        </w:tc>
        <w:tc>
          <w:tcPr>
            <w:tcW w:w="0" w:type="auto"/>
            <w:tcBorders>
              <w:bottom w:val="single" w:sz="8" w:space="0" w:color="E87722"/>
            </w:tcBorders>
            <w:shd w:val="clear" w:color="auto" w:fill="auto"/>
            <w:vAlign w:val="bottom"/>
          </w:tcPr>
          <w:p w14:paraId="606F73F9" w14:textId="77777777" w:rsidR="00FB67F9" w:rsidRDefault="00FB67F9">
            <w:pPr>
              <w:textAlignment w:val="bottom"/>
              <w:rPr>
                <w:rFonts w:ascii="Times New Roman" w:hAnsi="Times New Roman"/>
                <w:sz w:val="20"/>
                <w:szCs w:val="20"/>
              </w:rPr>
            </w:pPr>
          </w:p>
        </w:tc>
      </w:tr>
      <w:tr w:rsidR="00FB67F9" w14:paraId="606F740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3F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DILUTED WEIGHTED AVERAGE COMMON SHARES OUTSTANDING</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3F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1,594.4</w:t>
            </w:r>
          </w:p>
        </w:tc>
        <w:tc>
          <w:tcPr>
            <w:tcW w:w="0" w:type="auto"/>
            <w:tcBorders>
              <w:bottom w:val="single" w:sz="8" w:space="0" w:color="E87722"/>
            </w:tcBorders>
            <w:shd w:val="clear" w:color="auto" w:fill="FFF1E7"/>
            <w:vAlign w:val="bottom"/>
          </w:tcPr>
          <w:p w14:paraId="606F73FD"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3F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1,620.7</w:t>
            </w:r>
          </w:p>
        </w:tc>
        <w:tc>
          <w:tcPr>
            <w:tcW w:w="0" w:type="auto"/>
            <w:tcBorders>
              <w:bottom w:val="single" w:sz="8" w:space="0" w:color="E87722"/>
            </w:tcBorders>
            <w:shd w:val="clear" w:color="auto" w:fill="auto"/>
            <w:vAlign w:val="bottom"/>
          </w:tcPr>
          <w:p w14:paraId="606F73F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0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40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1,596.0</w:t>
            </w:r>
          </w:p>
        </w:tc>
        <w:tc>
          <w:tcPr>
            <w:tcW w:w="0" w:type="auto"/>
            <w:tcBorders>
              <w:bottom w:val="single" w:sz="8" w:space="0" w:color="E87722"/>
            </w:tcBorders>
            <w:shd w:val="clear" w:color="auto" w:fill="FFF1E7"/>
            <w:vAlign w:val="bottom"/>
          </w:tcPr>
          <w:p w14:paraId="606F7402"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40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1,627.2</w:t>
            </w:r>
          </w:p>
        </w:tc>
        <w:tc>
          <w:tcPr>
            <w:tcW w:w="0" w:type="auto"/>
            <w:tcBorders>
              <w:bottom w:val="single" w:sz="8" w:space="0" w:color="E87722"/>
            </w:tcBorders>
            <w:shd w:val="clear" w:color="auto" w:fill="auto"/>
            <w:vAlign w:val="bottom"/>
          </w:tcPr>
          <w:p w14:paraId="606F7404" w14:textId="77777777" w:rsidR="00FB67F9" w:rsidRDefault="00FB67F9">
            <w:pPr>
              <w:textAlignment w:val="bottom"/>
              <w:rPr>
                <w:rFonts w:ascii="Times New Roman" w:hAnsi="Times New Roman"/>
                <w:sz w:val="20"/>
                <w:szCs w:val="20"/>
              </w:rPr>
            </w:pPr>
          </w:p>
        </w:tc>
      </w:tr>
      <w:tr w:rsidR="00FB67F9" w14:paraId="606F740C" w14:textId="77777777">
        <w:tc>
          <w:tcPr>
            <w:tcW w:w="0" w:type="auto"/>
            <w:shd w:val="clear" w:color="auto" w:fill="auto"/>
            <w:tcMar>
              <w:top w:w="40" w:type="dxa"/>
              <w:left w:w="40" w:type="dxa"/>
              <w:bottom w:w="40" w:type="dxa"/>
              <w:right w:w="40" w:type="dxa"/>
            </w:tcMar>
            <w:vAlign w:val="bottom"/>
          </w:tcPr>
          <w:p w14:paraId="606F7406" w14:textId="77777777" w:rsidR="00FB67F9" w:rsidRDefault="00E839DF">
            <w:pPr>
              <w:textAlignment w:val="bottom"/>
              <w:rPr>
                <w:rFonts w:ascii="Times New Roman" w:hAnsi="Times New Roman"/>
                <w:sz w:val="17"/>
                <w:szCs w:val="17"/>
              </w:rPr>
            </w:pPr>
            <w:r>
              <w:rPr>
                <w:rFonts w:ascii="Arial" w:eastAsia="宋体" w:hAnsi="Arial" w:cs="Arial"/>
                <w:sz w:val="17"/>
                <w:szCs w:val="17"/>
              </w:rPr>
              <w:t>Earnings per common share:</w:t>
            </w:r>
          </w:p>
        </w:tc>
        <w:tc>
          <w:tcPr>
            <w:tcW w:w="0" w:type="auto"/>
            <w:gridSpan w:val="3"/>
            <w:shd w:val="clear" w:color="auto" w:fill="FFF1E7"/>
            <w:tcMar>
              <w:top w:w="40" w:type="dxa"/>
              <w:left w:w="40" w:type="dxa"/>
              <w:bottom w:w="40" w:type="dxa"/>
              <w:right w:w="40" w:type="dxa"/>
            </w:tcMar>
            <w:vAlign w:val="bottom"/>
          </w:tcPr>
          <w:p w14:paraId="606F740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40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0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40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40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41B"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40D" w14:textId="77777777" w:rsidR="00FB67F9" w:rsidRDefault="00E839DF">
            <w:pPr>
              <w:textAlignment w:val="bottom"/>
              <w:rPr>
                <w:rFonts w:ascii="Times New Roman" w:hAnsi="Times New Roman"/>
                <w:sz w:val="17"/>
                <w:szCs w:val="17"/>
              </w:rPr>
            </w:pPr>
            <w:r>
              <w:rPr>
                <w:rFonts w:ascii="Arial" w:eastAsia="宋体" w:hAnsi="Arial" w:cs="Arial"/>
                <w:sz w:val="17"/>
                <w:szCs w:val="17"/>
              </w:rPr>
              <w:t>Basic</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40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40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0.71</w:t>
            </w:r>
          </w:p>
        </w:tc>
        <w:tc>
          <w:tcPr>
            <w:tcW w:w="0" w:type="auto"/>
            <w:tcBorders>
              <w:top w:val="single" w:sz="8" w:space="0" w:color="808080"/>
              <w:bottom w:val="single" w:sz="8" w:space="0" w:color="808080"/>
            </w:tcBorders>
            <w:shd w:val="clear" w:color="auto" w:fill="FFF1E7"/>
            <w:vAlign w:val="bottom"/>
          </w:tcPr>
          <w:p w14:paraId="606F7410"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41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41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0.54</w:t>
            </w:r>
          </w:p>
        </w:tc>
        <w:tc>
          <w:tcPr>
            <w:tcW w:w="0" w:type="auto"/>
            <w:tcBorders>
              <w:top w:val="single" w:sz="8" w:space="0" w:color="808080"/>
              <w:bottom w:val="single" w:sz="8" w:space="0" w:color="808080"/>
            </w:tcBorders>
            <w:shd w:val="clear" w:color="auto" w:fill="auto"/>
            <w:vAlign w:val="bottom"/>
          </w:tcPr>
          <w:p w14:paraId="606F7413"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1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41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41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1.59</w:t>
            </w:r>
          </w:p>
        </w:tc>
        <w:tc>
          <w:tcPr>
            <w:tcW w:w="0" w:type="auto"/>
            <w:tcBorders>
              <w:top w:val="single" w:sz="8" w:space="0" w:color="808080"/>
              <w:bottom w:val="single" w:sz="8" w:space="0" w:color="808080"/>
            </w:tcBorders>
            <w:shd w:val="clear" w:color="auto" w:fill="FFF1E7"/>
            <w:vAlign w:val="bottom"/>
          </w:tcPr>
          <w:p w14:paraId="606F741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41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41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1.22</w:t>
            </w:r>
          </w:p>
        </w:tc>
        <w:tc>
          <w:tcPr>
            <w:tcW w:w="0" w:type="auto"/>
            <w:tcBorders>
              <w:top w:val="single" w:sz="8" w:space="0" w:color="808080"/>
              <w:bottom w:val="single" w:sz="8" w:space="0" w:color="808080"/>
            </w:tcBorders>
            <w:shd w:val="clear" w:color="auto" w:fill="auto"/>
            <w:vAlign w:val="bottom"/>
          </w:tcPr>
          <w:p w14:paraId="606F741A" w14:textId="77777777" w:rsidR="00FB67F9" w:rsidRDefault="00FB67F9">
            <w:pPr>
              <w:textAlignment w:val="bottom"/>
              <w:rPr>
                <w:rFonts w:ascii="Times New Roman" w:hAnsi="Times New Roman"/>
                <w:sz w:val="20"/>
                <w:szCs w:val="20"/>
              </w:rPr>
            </w:pPr>
          </w:p>
        </w:tc>
      </w:tr>
      <w:tr w:rsidR="00FB67F9" w14:paraId="606F742A"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741C" w14:textId="77777777" w:rsidR="00FB67F9" w:rsidRDefault="00E839DF">
            <w:pPr>
              <w:textAlignment w:val="bottom"/>
              <w:rPr>
                <w:rFonts w:ascii="Times New Roman" w:hAnsi="Times New Roman"/>
                <w:sz w:val="17"/>
                <w:szCs w:val="17"/>
              </w:rPr>
            </w:pPr>
            <w:r>
              <w:rPr>
                <w:rFonts w:ascii="Arial" w:eastAsia="宋体" w:hAnsi="Arial" w:cs="Arial"/>
                <w:sz w:val="17"/>
                <w:szCs w:val="17"/>
              </w:rPr>
              <w:t>Diluted</w:t>
            </w:r>
          </w:p>
        </w:tc>
        <w:tc>
          <w:tcPr>
            <w:tcW w:w="0" w:type="auto"/>
            <w:tcBorders>
              <w:bottom w:val="single" w:sz="8" w:space="0" w:color="E87722"/>
            </w:tcBorders>
            <w:shd w:val="clear" w:color="auto" w:fill="FFF1E7"/>
            <w:tcMar>
              <w:top w:w="40" w:type="dxa"/>
              <w:left w:w="40" w:type="dxa"/>
              <w:bottom w:w="40" w:type="dxa"/>
            </w:tcMar>
            <w:vAlign w:val="bottom"/>
          </w:tcPr>
          <w:p w14:paraId="606F741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FFF1E7"/>
            <w:tcMar>
              <w:top w:w="40" w:type="dxa"/>
              <w:bottom w:w="40" w:type="dxa"/>
            </w:tcMar>
            <w:vAlign w:val="bottom"/>
          </w:tcPr>
          <w:p w14:paraId="606F741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0.70</w:t>
            </w:r>
          </w:p>
        </w:tc>
        <w:tc>
          <w:tcPr>
            <w:tcW w:w="0" w:type="auto"/>
            <w:tcBorders>
              <w:bottom w:val="single" w:sz="8" w:space="0" w:color="E87722"/>
            </w:tcBorders>
            <w:shd w:val="clear" w:color="auto" w:fill="FFF1E7"/>
            <w:vAlign w:val="bottom"/>
          </w:tcPr>
          <w:p w14:paraId="606F741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42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606F742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0.52</w:t>
            </w:r>
          </w:p>
        </w:tc>
        <w:tc>
          <w:tcPr>
            <w:tcW w:w="0" w:type="auto"/>
            <w:tcBorders>
              <w:bottom w:val="single" w:sz="8" w:space="0" w:color="E87722"/>
            </w:tcBorders>
            <w:shd w:val="clear" w:color="auto" w:fill="auto"/>
            <w:vAlign w:val="bottom"/>
          </w:tcPr>
          <w:p w14:paraId="606F7422"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2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FFF1E7"/>
            <w:tcMar>
              <w:top w:w="40" w:type="dxa"/>
              <w:left w:w="40" w:type="dxa"/>
              <w:bottom w:w="40" w:type="dxa"/>
            </w:tcMar>
            <w:vAlign w:val="bottom"/>
          </w:tcPr>
          <w:p w14:paraId="606F742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FFF1E7"/>
            <w:tcMar>
              <w:top w:w="40" w:type="dxa"/>
              <w:bottom w:w="40" w:type="dxa"/>
            </w:tcMar>
            <w:vAlign w:val="bottom"/>
          </w:tcPr>
          <w:p w14:paraId="606F742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1.56</w:t>
            </w:r>
          </w:p>
        </w:tc>
        <w:tc>
          <w:tcPr>
            <w:tcW w:w="0" w:type="auto"/>
            <w:tcBorders>
              <w:bottom w:val="single" w:sz="8" w:space="0" w:color="E87722"/>
            </w:tcBorders>
            <w:shd w:val="clear" w:color="auto" w:fill="FFF1E7"/>
            <w:vAlign w:val="bottom"/>
          </w:tcPr>
          <w:p w14:paraId="606F742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42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606F742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1.19</w:t>
            </w:r>
          </w:p>
        </w:tc>
        <w:tc>
          <w:tcPr>
            <w:tcW w:w="0" w:type="auto"/>
            <w:tcBorders>
              <w:bottom w:val="single" w:sz="8" w:space="0" w:color="E87722"/>
            </w:tcBorders>
            <w:shd w:val="clear" w:color="auto" w:fill="auto"/>
            <w:vAlign w:val="bottom"/>
          </w:tcPr>
          <w:p w14:paraId="606F7429" w14:textId="77777777" w:rsidR="00FB67F9" w:rsidRDefault="00FB67F9">
            <w:pPr>
              <w:textAlignment w:val="bottom"/>
              <w:rPr>
                <w:rFonts w:ascii="Times New Roman" w:hAnsi="Times New Roman"/>
                <w:sz w:val="20"/>
                <w:szCs w:val="20"/>
              </w:rPr>
            </w:pPr>
          </w:p>
        </w:tc>
      </w:tr>
    </w:tbl>
    <w:p w14:paraId="606F742B" w14:textId="77777777" w:rsidR="00FB67F9" w:rsidRDefault="00FB67F9">
      <w:pPr>
        <w:spacing w:line="312"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FB67F9" w14:paraId="606F742D" w14:textId="77777777">
        <w:tc>
          <w:tcPr>
            <w:tcW w:w="0" w:type="auto"/>
            <w:shd w:val="clear" w:color="auto" w:fill="auto"/>
            <w:vAlign w:val="center"/>
          </w:tcPr>
          <w:p w14:paraId="606F742C" w14:textId="77777777" w:rsidR="00FB67F9" w:rsidRDefault="00FB67F9">
            <w:pPr>
              <w:rPr>
                <w:rFonts w:ascii="Times New Roman" w:hAnsi="Times New Roman"/>
                <w:sz w:val="20"/>
                <w:szCs w:val="20"/>
              </w:rPr>
            </w:pPr>
          </w:p>
        </w:tc>
      </w:tr>
      <w:tr w:rsidR="00FB67F9" w14:paraId="606F742F" w14:textId="77777777">
        <w:tc>
          <w:tcPr>
            <w:tcW w:w="5000" w:type="pct"/>
            <w:shd w:val="clear" w:color="auto" w:fill="auto"/>
            <w:vAlign w:val="center"/>
          </w:tcPr>
          <w:p w14:paraId="606F742E" w14:textId="77777777" w:rsidR="00FB67F9" w:rsidRDefault="00FB67F9">
            <w:pPr>
              <w:rPr>
                <w:rFonts w:ascii="Times New Roman" w:hAnsi="Times New Roman"/>
                <w:sz w:val="20"/>
                <w:szCs w:val="20"/>
              </w:rPr>
            </w:pPr>
          </w:p>
        </w:tc>
      </w:tr>
      <w:tr w:rsidR="00FB67F9" w14:paraId="606F7431" w14:textId="77777777">
        <w:tc>
          <w:tcPr>
            <w:tcW w:w="0" w:type="auto"/>
            <w:shd w:val="clear" w:color="auto" w:fill="auto"/>
            <w:tcMar>
              <w:top w:w="40" w:type="dxa"/>
              <w:left w:w="40" w:type="dxa"/>
              <w:bottom w:w="40" w:type="dxa"/>
              <w:right w:w="40" w:type="dxa"/>
            </w:tcMar>
            <w:vAlign w:val="bottom"/>
          </w:tcPr>
          <w:p w14:paraId="606F7430"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 xml:space="preserve">NOTE 9 — RISK </w:t>
            </w:r>
            <w:r>
              <w:rPr>
                <w:rFonts w:ascii="sans-serif" w:eastAsia="sans-serif" w:hAnsi="sans-serif" w:cs="sans-serif"/>
                <w:b/>
                <w:bCs/>
                <w:color w:val="E87722"/>
                <w:sz w:val="36"/>
                <w:szCs w:val="36"/>
              </w:rPr>
              <w:t>MANAGEMENT AND DERIVATIVES</w:t>
            </w:r>
          </w:p>
        </w:tc>
      </w:tr>
    </w:tbl>
    <w:p w14:paraId="606F743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Company is exposed to global market risks, including the effect of changes in foreign currency exchange rates and interest rates, and uses derivatives to manage financial exposures that occur in the normal course of business</w:t>
      </w:r>
      <w:r>
        <w:rPr>
          <w:rFonts w:ascii="Arial" w:eastAsia="宋体" w:hAnsi="Arial" w:cs="Arial"/>
          <w:sz w:val="17"/>
          <w:szCs w:val="17"/>
        </w:rPr>
        <w:t>. As of and for the six months ended November 30, 2019, there have been no material changes to the Company's hedging program or strategy from what was disclosed within the Annual Report on Form 10-K. For additional information about the Company's derivativ</w:t>
      </w:r>
      <w:r>
        <w:rPr>
          <w:rFonts w:ascii="Arial" w:eastAsia="宋体" w:hAnsi="Arial" w:cs="Arial"/>
          <w:sz w:val="17"/>
          <w:szCs w:val="17"/>
        </w:rPr>
        <w:t>es and hedging policies refer to Note 1 — Summary of Significant Accounting Policies and Note 14 - Risk Management and Derivatives of the Annual Report on Form 10-K for the fiscal year ended May 31, 2019.</w:t>
      </w:r>
    </w:p>
    <w:p w14:paraId="606F743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majority of derivatives outstanding as of Novem</w:t>
      </w:r>
      <w:r>
        <w:rPr>
          <w:rFonts w:ascii="Arial" w:eastAsia="宋体" w:hAnsi="Arial" w:cs="Arial"/>
          <w:sz w:val="17"/>
          <w:szCs w:val="17"/>
        </w:rPr>
        <w:t>ber 30, 2019 are designated as foreign currency cash flow hedges, primarily for Euro/U.S. Dollar, British Pound/Euro, Japanese Yen/U.S. Dollar and Chinese Yuan/U.S. Dollar currency pairs. All derivatives are recognized on the Unaudited Condensed Consolidat</w:t>
      </w:r>
      <w:r>
        <w:rPr>
          <w:rFonts w:ascii="Arial" w:eastAsia="宋体" w:hAnsi="Arial" w:cs="Arial"/>
          <w:sz w:val="17"/>
          <w:szCs w:val="17"/>
        </w:rPr>
        <w:t>ed Balance Sheets at fair value and classified based on the instrument's maturity date.</w:t>
      </w:r>
    </w:p>
    <w:p w14:paraId="606F7434" w14:textId="77777777" w:rsidR="00FB67F9" w:rsidRDefault="00FB67F9">
      <w:pPr>
        <w:rPr>
          <w:rFonts w:ascii="Times New Roman" w:hAnsi="Times New Roman"/>
          <w:sz w:val="20"/>
          <w:szCs w:val="20"/>
        </w:rPr>
      </w:pPr>
    </w:p>
    <w:p w14:paraId="606F7435"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13</w:t>
      </w:r>
    </w:p>
    <w:p w14:paraId="606F7436" w14:textId="77777777" w:rsidR="00FB67F9" w:rsidRDefault="00E839DF">
      <w:r>
        <w:rPr>
          <w:rFonts w:ascii="Times New Roman" w:hAnsi="Times New Roman"/>
          <w:sz w:val="17"/>
          <w:szCs w:val="17"/>
        </w:rPr>
        <w:pict w14:anchorId="606F8F8A">
          <v:rect id="_x0000_i1039" style="width:415.3pt;height:1.5pt" o:hralign="center" o:hrstd="t" o:hr="t" fillcolor="#a0a0a0" stroked="f"/>
        </w:pict>
      </w:r>
    </w:p>
    <w:p w14:paraId="606F7437" w14:textId="77777777" w:rsidR="00FB67F9" w:rsidRDefault="00FB67F9">
      <w:pPr>
        <w:rPr>
          <w:rFonts w:ascii="Times New Roman" w:hAnsi="Times New Roman"/>
          <w:sz w:val="17"/>
          <w:szCs w:val="17"/>
        </w:rPr>
      </w:pPr>
    </w:p>
    <w:p w14:paraId="606F7438" w14:textId="77777777" w:rsidR="00FB67F9" w:rsidRDefault="00E839DF">
      <w:pPr>
        <w:rPr>
          <w:rFonts w:ascii="Times New Roman" w:hAnsi="Times New Roman"/>
          <w:sz w:val="17"/>
          <w:szCs w:val="17"/>
        </w:rPr>
      </w:pPr>
      <w:hyperlink r:id="rId83" w:anchor="s42C493F7582652B69E70047AB812E6A5" w:history="1">
        <w:r>
          <w:rPr>
            <w:rStyle w:val="a5"/>
            <w:rFonts w:ascii="sans-serif" w:eastAsia="sans-serif" w:hAnsi="sans-serif" w:cs="sans-serif"/>
            <w:sz w:val="17"/>
            <w:szCs w:val="17"/>
          </w:rPr>
          <w:t>Table of Contents</w:t>
        </w:r>
      </w:hyperlink>
    </w:p>
    <w:p w14:paraId="606F7439" w14:textId="77777777" w:rsidR="00FB67F9" w:rsidRDefault="00FB67F9">
      <w:pPr>
        <w:rPr>
          <w:rFonts w:ascii="Times New Roman" w:hAnsi="Times New Roman"/>
          <w:sz w:val="17"/>
          <w:szCs w:val="17"/>
        </w:rPr>
      </w:pPr>
    </w:p>
    <w:p w14:paraId="606F743A" w14:textId="77777777" w:rsidR="00FB67F9" w:rsidRDefault="00FB67F9">
      <w:pPr>
        <w:rPr>
          <w:rFonts w:ascii="Times New Roman" w:hAnsi="Times New Roman"/>
          <w:sz w:val="20"/>
          <w:szCs w:val="20"/>
        </w:rPr>
      </w:pPr>
    </w:p>
    <w:p w14:paraId="606F743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following table presents the fair values of derivative instruments included wit</w:t>
      </w:r>
      <w:r>
        <w:rPr>
          <w:rFonts w:ascii="Arial" w:eastAsia="宋体" w:hAnsi="Arial" w:cs="Arial"/>
          <w:sz w:val="17"/>
          <w:szCs w:val="17"/>
        </w:rPr>
        <w:t xml:space="preserve">hin the Unaudited Condensed Consolidated Balance Sheets as of November 30, 2019 and May 31, 2019: </w:t>
      </w:r>
    </w:p>
    <w:tbl>
      <w:tblPr>
        <w:tblW w:w="5000" w:type="pct"/>
        <w:tblCellMar>
          <w:left w:w="0" w:type="dxa"/>
          <w:right w:w="0" w:type="dxa"/>
        </w:tblCellMar>
        <w:tblLook w:val="04A0" w:firstRow="1" w:lastRow="0" w:firstColumn="1" w:lastColumn="0" w:noHBand="0" w:noVBand="1"/>
      </w:tblPr>
      <w:tblGrid>
        <w:gridCol w:w="1571"/>
        <w:gridCol w:w="1157"/>
        <w:gridCol w:w="136"/>
        <w:gridCol w:w="955"/>
        <w:gridCol w:w="106"/>
        <w:gridCol w:w="130"/>
        <w:gridCol w:w="135"/>
        <w:gridCol w:w="577"/>
        <w:gridCol w:w="6"/>
        <w:gridCol w:w="130"/>
        <w:gridCol w:w="1394"/>
        <w:gridCol w:w="136"/>
        <w:gridCol w:w="955"/>
        <w:gridCol w:w="106"/>
        <w:gridCol w:w="130"/>
        <w:gridCol w:w="136"/>
        <w:gridCol w:w="508"/>
        <w:gridCol w:w="38"/>
      </w:tblGrid>
      <w:tr w:rsidR="00FB67F9" w14:paraId="606F743D" w14:textId="77777777">
        <w:tc>
          <w:tcPr>
            <w:tcW w:w="0" w:type="auto"/>
            <w:gridSpan w:val="18"/>
            <w:shd w:val="clear" w:color="auto" w:fill="auto"/>
            <w:vAlign w:val="center"/>
          </w:tcPr>
          <w:p w14:paraId="606F743C" w14:textId="77777777" w:rsidR="00FB67F9" w:rsidRDefault="00FB67F9">
            <w:pPr>
              <w:rPr>
                <w:rFonts w:ascii="Times New Roman" w:hAnsi="Times New Roman"/>
                <w:sz w:val="20"/>
                <w:szCs w:val="20"/>
              </w:rPr>
            </w:pPr>
          </w:p>
        </w:tc>
      </w:tr>
      <w:tr w:rsidR="00FB67F9" w14:paraId="606F7450" w14:textId="77777777">
        <w:tc>
          <w:tcPr>
            <w:tcW w:w="1050" w:type="pct"/>
            <w:shd w:val="clear" w:color="auto" w:fill="auto"/>
            <w:vAlign w:val="center"/>
          </w:tcPr>
          <w:p w14:paraId="606F743E" w14:textId="77777777" w:rsidR="00FB67F9" w:rsidRDefault="00FB67F9">
            <w:pPr>
              <w:rPr>
                <w:rFonts w:ascii="Times New Roman" w:hAnsi="Times New Roman"/>
                <w:sz w:val="20"/>
                <w:szCs w:val="20"/>
              </w:rPr>
            </w:pPr>
          </w:p>
        </w:tc>
        <w:tc>
          <w:tcPr>
            <w:tcW w:w="800" w:type="pct"/>
            <w:shd w:val="clear" w:color="auto" w:fill="auto"/>
            <w:vAlign w:val="center"/>
          </w:tcPr>
          <w:p w14:paraId="606F743F" w14:textId="77777777" w:rsidR="00FB67F9" w:rsidRDefault="00FB67F9">
            <w:pPr>
              <w:rPr>
                <w:rFonts w:ascii="Times New Roman" w:hAnsi="Times New Roman"/>
                <w:sz w:val="20"/>
                <w:szCs w:val="20"/>
              </w:rPr>
            </w:pPr>
          </w:p>
        </w:tc>
        <w:tc>
          <w:tcPr>
            <w:tcW w:w="50" w:type="pct"/>
            <w:shd w:val="clear" w:color="auto" w:fill="auto"/>
            <w:vAlign w:val="center"/>
          </w:tcPr>
          <w:p w14:paraId="606F7440" w14:textId="77777777" w:rsidR="00FB67F9" w:rsidRDefault="00FB67F9">
            <w:pPr>
              <w:rPr>
                <w:rFonts w:ascii="Times New Roman" w:hAnsi="Times New Roman"/>
                <w:sz w:val="20"/>
                <w:szCs w:val="20"/>
              </w:rPr>
            </w:pPr>
          </w:p>
        </w:tc>
        <w:tc>
          <w:tcPr>
            <w:tcW w:w="450" w:type="pct"/>
            <w:shd w:val="clear" w:color="auto" w:fill="auto"/>
            <w:vAlign w:val="center"/>
          </w:tcPr>
          <w:p w14:paraId="606F7441" w14:textId="77777777" w:rsidR="00FB67F9" w:rsidRDefault="00FB67F9">
            <w:pPr>
              <w:rPr>
                <w:rFonts w:ascii="Times New Roman" w:hAnsi="Times New Roman"/>
                <w:sz w:val="20"/>
                <w:szCs w:val="20"/>
              </w:rPr>
            </w:pPr>
          </w:p>
        </w:tc>
        <w:tc>
          <w:tcPr>
            <w:tcW w:w="50" w:type="pct"/>
            <w:shd w:val="clear" w:color="auto" w:fill="auto"/>
            <w:vAlign w:val="center"/>
          </w:tcPr>
          <w:p w14:paraId="606F7442" w14:textId="77777777" w:rsidR="00FB67F9" w:rsidRDefault="00FB67F9">
            <w:pPr>
              <w:rPr>
                <w:rFonts w:ascii="Times New Roman" w:hAnsi="Times New Roman"/>
                <w:sz w:val="20"/>
                <w:szCs w:val="20"/>
              </w:rPr>
            </w:pPr>
          </w:p>
        </w:tc>
        <w:tc>
          <w:tcPr>
            <w:tcW w:w="50" w:type="pct"/>
            <w:shd w:val="clear" w:color="auto" w:fill="auto"/>
            <w:vAlign w:val="center"/>
          </w:tcPr>
          <w:p w14:paraId="606F7443" w14:textId="77777777" w:rsidR="00FB67F9" w:rsidRDefault="00FB67F9">
            <w:pPr>
              <w:rPr>
                <w:rFonts w:ascii="Times New Roman" w:hAnsi="Times New Roman"/>
                <w:sz w:val="20"/>
                <w:szCs w:val="20"/>
              </w:rPr>
            </w:pPr>
          </w:p>
        </w:tc>
        <w:tc>
          <w:tcPr>
            <w:tcW w:w="50" w:type="pct"/>
            <w:shd w:val="clear" w:color="auto" w:fill="auto"/>
            <w:vAlign w:val="center"/>
          </w:tcPr>
          <w:p w14:paraId="606F7444" w14:textId="77777777" w:rsidR="00FB67F9" w:rsidRDefault="00FB67F9">
            <w:pPr>
              <w:rPr>
                <w:rFonts w:ascii="Times New Roman" w:hAnsi="Times New Roman"/>
                <w:sz w:val="20"/>
                <w:szCs w:val="20"/>
              </w:rPr>
            </w:pPr>
          </w:p>
        </w:tc>
        <w:tc>
          <w:tcPr>
            <w:tcW w:w="450" w:type="pct"/>
            <w:shd w:val="clear" w:color="auto" w:fill="auto"/>
            <w:vAlign w:val="center"/>
          </w:tcPr>
          <w:p w14:paraId="606F7445" w14:textId="77777777" w:rsidR="00FB67F9" w:rsidRDefault="00FB67F9">
            <w:pPr>
              <w:rPr>
                <w:rFonts w:ascii="Times New Roman" w:hAnsi="Times New Roman"/>
                <w:sz w:val="20"/>
                <w:szCs w:val="20"/>
              </w:rPr>
            </w:pPr>
          </w:p>
        </w:tc>
        <w:tc>
          <w:tcPr>
            <w:tcW w:w="50" w:type="pct"/>
            <w:shd w:val="clear" w:color="auto" w:fill="auto"/>
            <w:vAlign w:val="center"/>
          </w:tcPr>
          <w:p w14:paraId="606F7446" w14:textId="77777777" w:rsidR="00FB67F9" w:rsidRDefault="00FB67F9">
            <w:pPr>
              <w:rPr>
                <w:rFonts w:ascii="Times New Roman" w:hAnsi="Times New Roman"/>
                <w:sz w:val="20"/>
                <w:szCs w:val="20"/>
              </w:rPr>
            </w:pPr>
          </w:p>
        </w:tc>
        <w:tc>
          <w:tcPr>
            <w:tcW w:w="50" w:type="pct"/>
            <w:shd w:val="clear" w:color="auto" w:fill="auto"/>
            <w:vAlign w:val="center"/>
          </w:tcPr>
          <w:p w14:paraId="606F7447" w14:textId="77777777" w:rsidR="00FB67F9" w:rsidRDefault="00FB67F9">
            <w:pPr>
              <w:rPr>
                <w:rFonts w:ascii="Times New Roman" w:hAnsi="Times New Roman"/>
                <w:sz w:val="20"/>
                <w:szCs w:val="20"/>
              </w:rPr>
            </w:pPr>
          </w:p>
        </w:tc>
        <w:tc>
          <w:tcPr>
            <w:tcW w:w="800" w:type="pct"/>
            <w:shd w:val="clear" w:color="auto" w:fill="auto"/>
            <w:vAlign w:val="center"/>
          </w:tcPr>
          <w:p w14:paraId="606F7448" w14:textId="77777777" w:rsidR="00FB67F9" w:rsidRDefault="00FB67F9">
            <w:pPr>
              <w:rPr>
                <w:rFonts w:ascii="Times New Roman" w:hAnsi="Times New Roman"/>
                <w:sz w:val="20"/>
                <w:szCs w:val="20"/>
              </w:rPr>
            </w:pPr>
          </w:p>
        </w:tc>
        <w:tc>
          <w:tcPr>
            <w:tcW w:w="50" w:type="pct"/>
            <w:shd w:val="clear" w:color="auto" w:fill="auto"/>
            <w:vAlign w:val="center"/>
          </w:tcPr>
          <w:p w14:paraId="606F7449" w14:textId="77777777" w:rsidR="00FB67F9" w:rsidRDefault="00FB67F9">
            <w:pPr>
              <w:rPr>
                <w:rFonts w:ascii="Times New Roman" w:hAnsi="Times New Roman"/>
                <w:sz w:val="20"/>
                <w:szCs w:val="20"/>
              </w:rPr>
            </w:pPr>
          </w:p>
        </w:tc>
        <w:tc>
          <w:tcPr>
            <w:tcW w:w="450" w:type="pct"/>
            <w:shd w:val="clear" w:color="auto" w:fill="auto"/>
            <w:vAlign w:val="center"/>
          </w:tcPr>
          <w:p w14:paraId="606F744A" w14:textId="77777777" w:rsidR="00FB67F9" w:rsidRDefault="00FB67F9">
            <w:pPr>
              <w:rPr>
                <w:rFonts w:ascii="Times New Roman" w:hAnsi="Times New Roman"/>
                <w:sz w:val="20"/>
                <w:szCs w:val="20"/>
              </w:rPr>
            </w:pPr>
          </w:p>
        </w:tc>
        <w:tc>
          <w:tcPr>
            <w:tcW w:w="50" w:type="pct"/>
            <w:shd w:val="clear" w:color="auto" w:fill="auto"/>
            <w:vAlign w:val="center"/>
          </w:tcPr>
          <w:p w14:paraId="606F744B" w14:textId="77777777" w:rsidR="00FB67F9" w:rsidRDefault="00FB67F9">
            <w:pPr>
              <w:rPr>
                <w:rFonts w:ascii="Times New Roman" w:hAnsi="Times New Roman"/>
                <w:sz w:val="20"/>
                <w:szCs w:val="20"/>
              </w:rPr>
            </w:pPr>
          </w:p>
        </w:tc>
        <w:tc>
          <w:tcPr>
            <w:tcW w:w="50" w:type="pct"/>
            <w:shd w:val="clear" w:color="auto" w:fill="auto"/>
            <w:vAlign w:val="center"/>
          </w:tcPr>
          <w:p w14:paraId="606F744C" w14:textId="77777777" w:rsidR="00FB67F9" w:rsidRDefault="00FB67F9">
            <w:pPr>
              <w:rPr>
                <w:rFonts w:ascii="Times New Roman" w:hAnsi="Times New Roman"/>
                <w:sz w:val="20"/>
                <w:szCs w:val="20"/>
              </w:rPr>
            </w:pPr>
          </w:p>
        </w:tc>
        <w:tc>
          <w:tcPr>
            <w:tcW w:w="50" w:type="pct"/>
            <w:shd w:val="clear" w:color="auto" w:fill="auto"/>
            <w:vAlign w:val="center"/>
          </w:tcPr>
          <w:p w14:paraId="606F744D" w14:textId="77777777" w:rsidR="00FB67F9" w:rsidRDefault="00FB67F9">
            <w:pPr>
              <w:rPr>
                <w:rFonts w:ascii="Times New Roman" w:hAnsi="Times New Roman"/>
                <w:sz w:val="20"/>
                <w:szCs w:val="20"/>
              </w:rPr>
            </w:pPr>
          </w:p>
        </w:tc>
        <w:tc>
          <w:tcPr>
            <w:tcW w:w="450" w:type="pct"/>
            <w:shd w:val="clear" w:color="auto" w:fill="auto"/>
            <w:vAlign w:val="center"/>
          </w:tcPr>
          <w:p w14:paraId="606F744E" w14:textId="77777777" w:rsidR="00FB67F9" w:rsidRDefault="00FB67F9">
            <w:pPr>
              <w:rPr>
                <w:rFonts w:ascii="Times New Roman" w:hAnsi="Times New Roman"/>
                <w:sz w:val="20"/>
                <w:szCs w:val="20"/>
              </w:rPr>
            </w:pPr>
          </w:p>
        </w:tc>
        <w:tc>
          <w:tcPr>
            <w:tcW w:w="50" w:type="pct"/>
            <w:shd w:val="clear" w:color="auto" w:fill="auto"/>
            <w:vAlign w:val="center"/>
          </w:tcPr>
          <w:p w14:paraId="606F744F" w14:textId="77777777" w:rsidR="00FB67F9" w:rsidRDefault="00FB67F9">
            <w:pPr>
              <w:rPr>
                <w:rFonts w:ascii="Times New Roman" w:hAnsi="Times New Roman"/>
                <w:sz w:val="20"/>
                <w:szCs w:val="20"/>
              </w:rPr>
            </w:pPr>
          </w:p>
        </w:tc>
      </w:tr>
      <w:tr w:rsidR="00FB67F9" w14:paraId="606F7455" w14:textId="77777777">
        <w:tc>
          <w:tcPr>
            <w:tcW w:w="0" w:type="auto"/>
            <w:shd w:val="clear" w:color="auto" w:fill="auto"/>
            <w:tcMar>
              <w:top w:w="40" w:type="dxa"/>
              <w:left w:w="40" w:type="dxa"/>
              <w:bottom w:w="40" w:type="dxa"/>
              <w:right w:w="40" w:type="dxa"/>
            </w:tcMar>
            <w:vAlign w:val="bottom"/>
          </w:tcPr>
          <w:p w14:paraId="606F745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606F745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ASSETS</w:t>
            </w:r>
          </w:p>
        </w:tc>
        <w:tc>
          <w:tcPr>
            <w:tcW w:w="0" w:type="auto"/>
            <w:shd w:val="clear" w:color="auto" w:fill="auto"/>
            <w:tcMar>
              <w:top w:w="40" w:type="dxa"/>
              <w:left w:w="40" w:type="dxa"/>
              <w:bottom w:w="40" w:type="dxa"/>
              <w:right w:w="40" w:type="dxa"/>
            </w:tcMar>
            <w:vAlign w:val="bottom"/>
          </w:tcPr>
          <w:p w14:paraId="606F745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606F745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LIABILITIES</w:t>
            </w:r>
          </w:p>
        </w:tc>
      </w:tr>
      <w:tr w:rsidR="00FB67F9" w14:paraId="606F7460" w14:textId="77777777">
        <w:tc>
          <w:tcPr>
            <w:tcW w:w="0" w:type="auto"/>
            <w:shd w:val="clear" w:color="auto" w:fill="auto"/>
            <w:tcMar>
              <w:top w:w="40" w:type="dxa"/>
              <w:left w:w="40" w:type="dxa"/>
              <w:bottom w:w="40" w:type="dxa"/>
              <w:right w:w="40" w:type="dxa"/>
            </w:tcMar>
            <w:vAlign w:val="bottom"/>
          </w:tcPr>
          <w:p w14:paraId="606F745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5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BALANCE SHEET LOCATION</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5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45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5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c>
          <w:tcPr>
            <w:tcW w:w="0" w:type="auto"/>
            <w:shd w:val="clear" w:color="auto" w:fill="auto"/>
            <w:tcMar>
              <w:top w:w="40" w:type="dxa"/>
              <w:left w:w="40" w:type="dxa"/>
              <w:bottom w:w="40" w:type="dxa"/>
              <w:right w:w="40" w:type="dxa"/>
            </w:tcMar>
            <w:vAlign w:val="bottom"/>
          </w:tcPr>
          <w:p w14:paraId="606F745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5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BALANCE SHEET LOCATION</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5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45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5F"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FB67F9" w14:paraId="606F746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461"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vMerge/>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62" w14:textId="77777777" w:rsidR="00FB67F9" w:rsidRDefault="00FB67F9">
            <w:pPr>
              <w:rPr>
                <w:rFonts w:ascii="Times New Roman" w:hAnsi="Times New Roman"/>
                <w:sz w:val="20"/>
                <w:szCs w:val="20"/>
              </w:rPr>
            </w:pP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6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6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6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6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67" w14:textId="77777777" w:rsidR="00FB67F9" w:rsidRDefault="00FB67F9">
            <w:pPr>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46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6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46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FB67F9" w14:paraId="606F7476" w14:textId="77777777">
        <w:tc>
          <w:tcPr>
            <w:tcW w:w="0" w:type="auto"/>
            <w:shd w:val="clear" w:color="auto" w:fill="auto"/>
            <w:tcMar>
              <w:top w:w="40" w:type="dxa"/>
              <w:left w:w="40" w:type="dxa"/>
              <w:bottom w:w="40" w:type="dxa"/>
              <w:right w:w="40" w:type="dxa"/>
            </w:tcMar>
            <w:vAlign w:val="bottom"/>
          </w:tcPr>
          <w:p w14:paraId="606F746C" w14:textId="77777777" w:rsidR="00FB67F9" w:rsidRDefault="00E839DF">
            <w:pPr>
              <w:textAlignment w:val="bottom"/>
              <w:rPr>
                <w:rFonts w:ascii="Times New Roman" w:hAnsi="Times New Roman"/>
                <w:sz w:val="17"/>
                <w:szCs w:val="17"/>
              </w:rPr>
            </w:pPr>
            <w:r>
              <w:rPr>
                <w:rFonts w:ascii="Arial" w:eastAsia="宋体" w:hAnsi="Arial" w:cs="Arial"/>
                <w:sz w:val="17"/>
                <w:szCs w:val="17"/>
              </w:rPr>
              <w:t>Derivatives formally designated as hedging instruments:</w:t>
            </w:r>
          </w:p>
        </w:tc>
        <w:tc>
          <w:tcPr>
            <w:tcW w:w="0" w:type="auto"/>
            <w:shd w:val="clear" w:color="auto" w:fill="auto"/>
            <w:tcMar>
              <w:top w:w="40" w:type="dxa"/>
              <w:left w:w="40" w:type="dxa"/>
              <w:bottom w:w="40" w:type="dxa"/>
              <w:right w:w="40" w:type="dxa"/>
            </w:tcMar>
            <w:vAlign w:val="bottom"/>
          </w:tcPr>
          <w:p w14:paraId="606F746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46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6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47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7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7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47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7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47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48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477"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7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Prepaid expenses and other current assets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47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47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354</w:t>
            </w:r>
          </w:p>
        </w:tc>
        <w:tc>
          <w:tcPr>
            <w:tcW w:w="0" w:type="auto"/>
            <w:tcBorders>
              <w:top w:val="single" w:sz="8" w:space="0" w:color="808080"/>
              <w:bottom w:val="single" w:sz="8" w:space="0" w:color="808080"/>
            </w:tcBorders>
            <w:shd w:val="clear" w:color="auto" w:fill="FFF1E7"/>
            <w:vAlign w:val="bottom"/>
          </w:tcPr>
          <w:p w14:paraId="606F747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7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47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47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509</w:t>
            </w:r>
          </w:p>
        </w:tc>
        <w:tc>
          <w:tcPr>
            <w:tcW w:w="0" w:type="auto"/>
            <w:tcBorders>
              <w:top w:val="single" w:sz="8" w:space="0" w:color="808080"/>
              <w:bottom w:val="single" w:sz="8" w:space="0" w:color="808080"/>
            </w:tcBorders>
            <w:shd w:val="clear" w:color="auto" w:fill="auto"/>
            <w:vAlign w:val="bottom"/>
          </w:tcPr>
          <w:p w14:paraId="606F747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8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8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Accrued liabilities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48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48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54</w:t>
            </w:r>
          </w:p>
        </w:tc>
        <w:tc>
          <w:tcPr>
            <w:tcW w:w="0" w:type="auto"/>
            <w:tcBorders>
              <w:top w:val="single" w:sz="8" w:space="0" w:color="808080"/>
              <w:bottom w:val="single" w:sz="8" w:space="0" w:color="808080"/>
            </w:tcBorders>
            <w:shd w:val="clear" w:color="auto" w:fill="FFF1E7"/>
            <w:vAlign w:val="bottom"/>
          </w:tcPr>
          <w:p w14:paraId="606F748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8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48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48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vAlign w:val="bottom"/>
          </w:tcPr>
          <w:p w14:paraId="606F7488" w14:textId="77777777" w:rsidR="00FB67F9" w:rsidRDefault="00FB67F9">
            <w:pPr>
              <w:textAlignment w:val="bottom"/>
              <w:rPr>
                <w:rFonts w:ascii="Times New Roman" w:hAnsi="Times New Roman"/>
                <w:sz w:val="20"/>
                <w:szCs w:val="20"/>
              </w:rPr>
            </w:pPr>
          </w:p>
        </w:tc>
      </w:tr>
      <w:tr w:rsidR="00FB67F9" w14:paraId="606F7498"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748A"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8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Deferred income taxes and other assets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48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bottom w:val="single" w:sz="8" w:space="0" w:color="E87722"/>
            </w:tcBorders>
            <w:shd w:val="clear" w:color="auto" w:fill="FFF1E7"/>
            <w:vAlign w:val="bottom"/>
          </w:tcPr>
          <w:p w14:paraId="606F748D"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8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748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606F7490"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9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9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Deferred income taxes and other liabilities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49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bottom w:val="single" w:sz="8" w:space="0" w:color="E87722"/>
            </w:tcBorders>
            <w:shd w:val="clear" w:color="auto" w:fill="FFF1E7"/>
            <w:vAlign w:val="bottom"/>
          </w:tcPr>
          <w:p w14:paraId="606F749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9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749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606F7497" w14:textId="77777777" w:rsidR="00FB67F9" w:rsidRDefault="00FB67F9">
            <w:pPr>
              <w:textAlignment w:val="bottom"/>
              <w:rPr>
                <w:rFonts w:ascii="Times New Roman" w:hAnsi="Times New Roman"/>
                <w:sz w:val="20"/>
                <w:szCs w:val="20"/>
              </w:rPr>
            </w:pPr>
          </w:p>
        </w:tc>
      </w:tr>
      <w:tr w:rsidR="00FB67F9" w14:paraId="606F74A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499"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derivatives formally designated as hedging instruments</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9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49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388</w:t>
            </w:r>
          </w:p>
        </w:tc>
        <w:tc>
          <w:tcPr>
            <w:tcW w:w="0" w:type="auto"/>
            <w:tcBorders>
              <w:bottom w:val="single" w:sz="8" w:space="0" w:color="E87722"/>
            </w:tcBorders>
            <w:shd w:val="clear" w:color="auto" w:fill="FFF1E7"/>
            <w:vAlign w:val="bottom"/>
          </w:tcPr>
          <w:p w14:paraId="606F749C"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9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749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509</w:t>
            </w:r>
          </w:p>
        </w:tc>
        <w:tc>
          <w:tcPr>
            <w:tcW w:w="0" w:type="auto"/>
            <w:tcBorders>
              <w:bottom w:val="single" w:sz="8" w:space="0" w:color="E87722"/>
            </w:tcBorders>
            <w:shd w:val="clear" w:color="auto" w:fill="auto"/>
            <w:vAlign w:val="bottom"/>
          </w:tcPr>
          <w:p w14:paraId="606F749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A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4A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55</w:t>
            </w:r>
          </w:p>
        </w:tc>
        <w:tc>
          <w:tcPr>
            <w:tcW w:w="0" w:type="auto"/>
            <w:tcBorders>
              <w:bottom w:val="single" w:sz="8" w:space="0" w:color="E87722"/>
            </w:tcBorders>
            <w:shd w:val="clear" w:color="auto" w:fill="FFF1E7"/>
            <w:vAlign w:val="bottom"/>
          </w:tcPr>
          <w:p w14:paraId="606F74A3"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4A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74A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bottom w:val="single" w:sz="8" w:space="0" w:color="E87722"/>
            </w:tcBorders>
            <w:shd w:val="clear" w:color="auto" w:fill="auto"/>
            <w:vAlign w:val="bottom"/>
          </w:tcPr>
          <w:p w14:paraId="606F74A6" w14:textId="77777777" w:rsidR="00FB67F9" w:rsidRDefault="00FB67F9">
            <w:pPr>
              <w:textAlignment w:val="bottom"/>
              <w:rPr>
                <w:rFonts w:ascii="Times New Roman" w:hAnsi="Times New Roman"/>
                <w:sz w:val="20"/>
                <w:szCs w:val="20"/>
              </w:rPr>
            </w:pPr>
          </w:p>
        </w:tc>
      </w:tr>
      <w:tr w:rsidR="00FB67F9" w14:paraId="606F74B2" w14:textId="77777777">
        <w:tc>
          <w:tcPr>
            <w:tcW w:w="0" w:type="auto"/>
            <w:shd w:val="clear" w:color="auto" w:fill="auto"/>
            <w:tcMar>
              <w:top w:w="40" w:type="dxa"/>
              <w:left w:w="40" w:type="dxa"/>
              <w:bottom w:w="40" w:type="dxa"/>
              <w:right w:w="40" w:type="dxa"/>
            </w:tcMar>
            <w:vAlign w:val="bottom"/>
          </w:tcPr>
          <w:p w14:paraId="606F74A8" w14:textId="77777777" w:rsidR="00FB67F9" w:rsidRDefault="00E839DF">
            <w:pPr>
              <w:textAlignment w:val="bottom"/>
              <w:rPr>
                <w:rFonts w:ascii="Times New Roman" w:hAnsi="Times New Roman"/>
                <w:sz w:val="17"/>
                <w:szCs w:val="17"/>
              </w:rPr>
            </w:pPr>
            <w:r>
              <w:rPr>
                <w:rFonts w:ascii="Arial" w:eastAsia="宋体" w:hAnsi="Arial" w:cs="Arial"/>
                <w:sz w:val="17"/>
                <w:szCs w:val="17"/>
              </w:rPr>
              <w:t>Derivatives not designated as hedging instruments:</w:t>
            </w:r>
          </w:p>
        </w:tc>
        <w:tc>
          <w:tcPr>
            <w:tcW w:w="0" w:type="auto"/>
            <w:shd w:val="clear" w:color="auto" w:fill="auto"/>
            <w:tcMar>
              <w:top w:w="40" w:type="dxa"/>
              <w:left w:w="40" w:type="dxa"/>
              <w:bottom w:w="40" w:type="dxa"/>
              <w:right w:w="40" w:type="dxa"/>
            </w:tcMar>
            <w:vAlign w:val="bottom"/>
          </w:tcPr>
          <w:p w14:paraId="606F74A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4A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A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4A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A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4A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B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4B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4C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4B3"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4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Prepaid expenses and other current assets</w:t>
            </w:r>
          </w:p>
        </w:tc>
        <w:tc>
          <w:tcPr>
            <w:tcW w:w="0" w:type="auto"/>
            <w:gridSpan w:val="2"/>
            <w:tcBorders>
              <w:top w:val="single" w:sz="8" w:space="0" w:color="808080"/>
            </w:tcBorders>
            <w:shd w:val="clear" w:color="auto" w:fill="FFF1E7"/>
            <w:tcMar>
              <w:top w:w="40" w:type="dxa"/>
              <w:left w:w="40" w:type="dxa"/>
              <w:bottom w:w="40" w:type="dxa"/>
            </w:tcMar>
            <w:vAlign w:val="bottom"/>
          </w:tcPr>
          <w:p w14:paraId="606F74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w:t>
            </w:r>
          </w:p>
        </w:tc>
        <w:tc>
          <w:tcPr>
            <w:tcW w:w="0" w:type="auto"/>
            <w:tcBorders>
              <w:top w:val="single" w:sz="8" w:space="0" w:color="808080"/>
            </w:tcBorders>
            <w:shd w:val="clear" w:color="auto" w:fill="FFF1E7"/>
            <w:vAlign w:val="bottom"/>
          </w:tcPr>
          <w:p w14:paraId="606F74B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4B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74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w:t>
            </w:r>
          </w:p>
        </w:tc>
        <w:tc>
          <w:tcPr>
            <w:tcW w:w="0" w:type="auto"/>
            <w:tcBorders>
              <w:top w:val="single" w:sz="8" w:space="0" w:color="808080"/>
            </w:tcBorders>
            <w:shd w:val="clear" w:color="auto" w:fill="auto"/>
            <w:vAlign w:val="bottom"/>
          </w:tcPr>
          <w:p w14:paraId="606F74B9"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4B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4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Accrued liabilities</w:t>
            </w:r>
          </w:p>
        </w:tc>
        <w:tc>
          <w:tcPr>
            <w:tcW w:w="0" w:type="auto"/>
            <w:gridSpan w:val="2"/>
            <w:tcBorders>
              <w:top w:val="single" w:sz="8" w:space="0" w:color="808080"/>
            </w:tcBorders>
            <w:shd w:val="clear" w:color="auto" w:fill="FFF1E7"/>
            <w:tcMar>
              <w:top w:w="40" w:type="dxa"/>
              <w:left w:w="40" w:type="dxa"/>
              <w:bottom w:w="40" w:type="dxa"/>
            </w:tcMar>
            <w:vAlign w:val="bottom"/>
          </w:tcPr>
          <w:p w14:paraId="606F74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tcBorders>
            <w:shd w:val="clear" w:color="auto" w:fill="FFF1E7"/>
            <w:vAlign w:val="bottom"/>
          </w:tcPr>
          <w:p w14:paraId="606F74B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4B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74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46</w:t>
            </w:r>
          </w:p>
        </w:tc>
        <w:tc>
          <w:tcPr>
            <w:tcW w:w="0" w:type="auto"/>
            <w:tcBorders>
              <w:top w:val="single" w:sz="8" w:space="0" w:color="808080"/>
            </w:tcBorders>
            <w:shd w:val="clear" w:color="auto" w:fill="auto"/>
            <w:vAlign w:val="bottom"/>
          </w:tcPr>
          <w:p w14:paraId="606F74C0" w14:textId="77777777" w:rsidR="00FB67F9" w:rsidRDefault="00FB67F9">
            <w:pPr>
              <w:textAlignment w:val="bottom"/>
              <w:rPr>
                <w:rFonts w:ascii="Times New Roman" w:hAnsi="Times New Roman"/>
                <w:sz w:val="20"/>
                <w:szCs w:val="20"/>
              </w:rPr>
            </w:pPr>
          </w:p>
        </w:tc>
      </w:tr>
      <w:tr w:rsidR="00FB67F9" w14:paraId="606F74D0"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4C2" w14:textId="77777777" w:rsidR="00FB67F9" w:rsidRDefault="00E839DF">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 xml:space="preserve">Prepaid expenses and other current </w:t>
            </w:r>
            <w:r>
              <w:rPr>
                <w:rFonts w:ascii="Arial" w:eastAsia="宋体" w:hAnsi="Arial" w:cs="Arial"/>
                <w:sz w:val="17"/>
                <w:szCs w:val="17"/>
              </w:rPr>
              <w:t>assets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4C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4C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C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4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vAlign w:val="bottom"/>
          </w:tcPr>
          <w:p w14:paraId="606F74C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Accrued 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4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4C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4C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4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vAlign w:val="bottom"/>
          </w:tcPr>
          <w:p w14:paraId="606F74CF" w14:textId="77777777" w:rsidR="00FB67F9" w:rsidRDefault="00FB67F9">
            <w:pPr>
              <w:textAlignment w:val="bottom"/>
              <w:rPr>
                <w:rFonts w:ascii="Times New Roman" w:hAnsi="Times New Roman"/>
                <w:sz w:val="20"/>
                <w:szCs w:val="20"/>
              </w:rPr>
            </w:pPr>
          </w:p>
        </w:tc>
      </w:tr>
      <w:tr w:rsidR="00FB67F9" w14:paraId="606F74DF" w14:textId="77777777">
        <w:tc>
          <w:tcPr>
            <w:tcW w:w="0" w:type="auto"/>
            <w:shd w:val="clear" w:color="auto" w:fill="auto"/>
            <w:tcMar>
              <w:top w:w="40" w:type="dxa"/>
              <w:left w:w="240" w:type="dxa"/>
              <w:bottom w:w="40" w:type="dxa"/>
              <w:right w:w="40" w:type="dxa"/>
            </w:tcMar>
            <w:vAlign w:val="bottom"/>
          </w:tcPr>
          <w:p w14:paraId="606F74D1" w14:textId="77777777" w:rsidR="00FB67F9" w:rsidRDefault="00E839DF">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shd w:val="clear" w:color="auto" w:fill="auto"/>
            <w:tcMar>
              <w:top w:w="40" w:type="dxa"/>
              <w:left w:w="40" w:type="dxa"/>
              <w:bottom w:w="40" w:type="dxa"/>
              <w:right w:w="40" w:type="dxa"/>
            </w:tcMar>
            <w:vAlign w:val="bottom"/>
          </w:tcPr>
          <w:p w14:paraId="606F74D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Deferred income taxes and other assets</w:t>
            </w:r>
          </w:p>
        </w:tc>
        <w:tc>
          <w:tcPr>
            <w:tcW w:w="0" w:type="auto"/>
            <w:gridSpan w:val="2"/>
            <w:shd w:val="clear" w:color="auto" w:fill="FFF1E7"/>
            <w:tcMar>
              <w:top w:w="40" w:type="dxa"/>
              <w:left w:w="40" w:type="dxa"/>
              <w:bottom w:w="40" w:type="dxa"/>
            </w:tcMar>
            <w:vAlign w:val="bottom"/>
          </w:tcPr>
          <w:p w14:paraId="606F74D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4D4"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4D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74D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vAlign w:val="bottom"/>
          </w:tcPr>
          <w:p w14:paraId="606F74D7"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4D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4D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Deferred income taxes and other liabilities</w:t>
            </w:r>
          </w:p>
        </w:tc>
        <w:tc>
          <w:tcPr>
            <w:tcW w:w="0" w:type="auto"/>
            <w:gridSpan w:val="2"/>
            <w:shd w:val="clear" w:color="auto" w:fill="FFF1E7"/>
            <w:tcMar>
              <w:top w:w="40" w:type="dxa"/>
              <w:left w:w="40" w:type="dxa"/>
              <w:bottom w:w="40" w:type="dxa"/>
            </w:tcMar>
            <w:vAlign w:val="bottom"/>
          </w:tcPr>
          <w:p w14:paraId="606F74D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4DB"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4D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74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vAlign w:val="bottom"/>
          </w:tcPr>
          <w:p w14:paraId="606F74DE" w14:textId="77777777" w:rsidR="00FB67F9" w:rsidRDefault="00FB67F9">
            <w:pPr>
              <w:textAlignment w:val="bottom"/>
              <w:rPr>
                <w:rFonts w:ascii="Times New Roman" w:hAnsi="Times New Roman"/>
                <w:sz w:val="20"/>
                <w:szCs w:val="20"/>
              </w:rPr>
            </w:pPr>
          </w:p>
        </w:tc>
      </w:tr>
      <w:tr w:rsidR="00FB67F9" w14:paraId="606F74EE"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4E0"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derivatives not designated as hedging instruments</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4E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606F74E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w:t>
            </w:r>
          </w:p>
        </w:tc>
        <w:tc>
          <w:tcPr>
            <w:tcW w:w="0" w:type="auto"/>
            <w:tcBorders>
              <w:top w:val="single" w:sz="8" w:space="0" w:color="E87722"/>
            </w:tcBorders>
            <w:shd w:val="clear" w:color="auto" w:fill="FFF1E7"/>
            <w:vAlign w:val="bottom"/>
          </w:tcPr>
          <w:p w14:paraId="606F74E3"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606F74E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tcMar>
            <w:vAlign w:val="bottom"/>
          </w:tcPr>
          <w:p w14:paraId="606F74E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113</w:t>
            </w:r>
          </w:p>
        </w:tc>
        <w:tc>
          <w:tcPr>
            <w:tcW w:w="0" w:type="auto"/>
            <w:tcBorders>
              <w:top w:val="single" w:sz="8" w:space="0" w:color="E87722"/>
            </w:tcBorders>
            <w:shd w:val="clear" w:color="auto" w:fill="auto"/>
            <w:vAlign w:val="bottom"/>
          </w:tcPr>
          <w:p w14:paraId="606F74E6"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606F74E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4E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606F74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E87722"/>
            </w:tcBorders>
            <w:shd w:val="clear" w:color="auto" w:fill="FFF1E7"/>
            <w:vAlign w:val="bottom"/>
          </w:tcPr>
          <w:p w14:paraId="606F74EA"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606F74E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tcMar>
            <w:vAlign w:val="bottom"/>
          </w:tcPr>
          <w:p w14:paraId="606F74E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top w:val="single" w:sz="8" w:space="0" w:color="E87722"/>
            </w:tcBorders>
            <w:shd w:val="clear" w:color="auto" w:fill="auto"/>
            <w:vAlign w:val="bottom"/>
          </w:tcPr>
          <w:p w14:paraId="606F74ED" w14:textId="77777777" w:rsidR="00FB67F9" w:rsidRDefault="00FB67F9">
            <w:pPr>
              <w:textAlignment w:val="bottom"/>
              <w:rPr>
                <w:rFonts w:ascii="Times New Roman" w:hAnsi="Times New Roman"/>
                <w:sz w:val="20"/>
                <w:szCs w:val="20"/>
              </w:rPr>
            </w:pPr>
          </w:p>
        </w:tc>
      </w:tr>
      <w:tr w:rsidR="00FB67F9" w14:paraId="606F7501"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E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DERIVATIVES</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F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4F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4F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427</w:t>
            </w:r>
          </w:p>
        </w:tc>
        <w:tc>
          <w:tcPr>
            <w:tcW w:w="0" w:type="auto"/>
            <w:tcBorders>
              <w:top w:val="single" w:sz="8" w:space="0" w:color="E87722"/>
              <w:bottom w:val="single" w:sz="8" w:space="0" w:color="E87722"/>
            </w:tcBorders>
            <w:shd w:val="clear" w:color="auto" w:fill="FFF1E7"/>
            <w:vAlign w:val="bottom"/>
          </w:tcPr>
          <w:p w14:paraId="606F74F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F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4F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4F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622</w:t>
            </w:r>
          </w:p>
        </w:tc>
        <w:tc>
          <w:tcPr>
            <w:tcW w:w="0" w:type="auto"/>
            <w:tcBorders>
              <w:top w:val="single" w:sz="8" w:space="0" w:color="E87722"/>
              <w:bottom w:val="single" w:sz="8" w:space="0" w:color="E87722"/>
            </w:tcBorders>
            <w:shd w:val="clear" w:color="auto" w:fill="auto"/>
            <w:vAlign w:val="bottom"/>
          </w:tcPr>
          <w:p w14:paraId="606F74F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F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F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4F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4F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73</w:t>
            </w:r>
          </w:p>
        </w:tc>
        <w:tc>
          <w:tcPr>
            <w:tcW w:w="0" w:type="auto"/>
            <w:tcBorders>
              <w:top w:val="single" w:sz="8" w:space="0" w:color="E87722"/>
              <w:bottom w:val="single" w:sz="8" w:space="0" w:color="E87722"/>
            </w:tcBorders>
            <w:shd w:val="clear" w:color="auto" w:fill="FFF1E7"/>
            <w:vAlign w:val="bottom"/>
          </w:tcPr>
          <w:p w14:paraId="606F74F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4F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4F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4F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54</w:t>
            </w:r>
          </w:p>
        </w:tc>
        <w:tc>
          <w:tcPr>
            <w:tcW w:w="0" w:type="auto"/>
            <w:tcBorders>
              <w:top w:val="single" w:sz="8" w:space="0" w:color="E87722"/>
              <w:bottom w:val="single" w:sz="8" w:space="0" w:color="E87722"/>
            </w:tcBorders>
            <w:shd w:val="clear" w:color="auto" w:fill="auto"/>
            <w:vAlign w:val="bottom"/>
          </w:tcPr>
          <w:p w14:paraId="606F7500" w14:textId="77777777" w:rsidR="00FB67F9" w:rsidRDefault="00FB67F9">
            <w:pPr>
              <w:textAlignment w:val="bottom"/>
              <w:rPr>
                <w:rFonts w:ascii="Times New Roman" w:hAnsi="Times New Roman"/>
                <w:sz w:val="20"/>
                <w:szCs w:val="20"/>
              </w:rPr>
            </w:pPr>
          </w:p>
        </w:tc>
      </w:tr>
    </w:tbl>
    <w:p w14:paraId="606F7502" w14:textId="77777777" w:rsidR="00FB67F9" w:rsidRDefault="00FB67F9">
      <w:pPr>
        <w:spacing w:line="312" w:lineRule="auto"/>
        <w:rPr>
          <w:rFonts w:ascii="Times New Roman" w:hAnsi="Times New Roman"/>
          <w:sz w:val="20"/>
          <w:szCs w:val="20"/>
        </w:rPr>
      </w:pPr>
    </w:p>
    <w:p w14:paraId="606F750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following tables present the amounts in the Unaudited Condensed Consolidated Statements of Income in which the effects of cash flow hedges are recorded and the effects of cash flow hedge activity on these line items for the three and six months ended N</w:t>
      </w:r>
      <w:r>
        <w:rPr>
          <w:rFonts w:ascii="Arial" w:eastAsia="宋体" w:hAnsi="Arial" w:cs="Arial"/>
          <w:sz w:val="17"/>
          <w:szCs w:val="17"/>
        </w:rPr>
        <w:t xml:space="preserve">ovember 30, 2019 and 2018: </w:t>
      </w:r>
    </w:p>
    <w:tbl>
      <w:tblPr>
        <w:tblW w:w="5000" w:type="pct"/>
        <w:tblCellMar>
          <w:left w:w="0" w:type="dxa"/>
          <w:right w:w="0" w:type="dxa"/>
        </w:tblCellMar>
        <w:tblLook w:val="04A0" w:firstRow="1" w:lastRow="0" w:firstColumn="1" w:lastColumn="0" w:noHBand="0" w:noVBand="1"/>
      </w:tblPr>
      <w:tblGrid>
        <w:gridCol w:w="3843"/>
        <w:gridCol w:w="135"/>
        <w:gridCol w:w="853"/>
        <w:gridCol w:w="97"/>
        <w:gridCol w:w="130"/>
        <w:gridCol w:w="854"/>
        <w:gridCol w:w="97"/>
        <w:gridCol w:w="130"/>
        <w:gridCol w:w="135"/>
        <w:gridCol w:w="854"/>
        <w:gridCol w:w="97"/>
        <w:gridCol w:w="130"/>
        <w:gridCol w:w="854"/>
        <w:gridCol w:w="97"/>
      </w:tblGrid>
      <w:tr w:rsidR="00FB67F9" w14:paraId="606F7505" w14:textId="77777777">
        <w:tc>
          <w:tcPr>
            <w:tcW w:w="0" w:type="auto"/>
            <w:gridSpan w:val="14"/>
            <w:shd w:val="clear" w:color="auto" w:fill="auto"/>
            <w:vAlign w:val="center"/>
          </w:tcPr>
          <w:p w14:paraId="606F7504" w14:textId="77777777" w:rsidR="00FB67F9" w:rsidRDefault="00FB67F9">
            <w:pPr>
              <w:rPr>
                <w:rFonts w:ascii="Times New Roman" w:hAnsi="Times New Roman"/>
                <w:sz w:val="20"/>
                <w:szCs w:val="20"/>
              </w:rPr>
            </w:pPr>
          </w:p>
        </w:tc>
      </w:tr>
      <w:tr w:rsidR="00FB67F9" w14:paraId="606F7514" w14:textId="77777777">
        <w:tc>
          <w:tcPr>
            <w:tcW w:w="2350" w:type="pct"/>
            <w:shd w:val="clear" w:color="auto" w:fill="auto"/>
            <w:vAlign w:val="center"/>
          </w:tcPr>
          <w:p w14:paraId="606F7506" w14:textId="77777777" w:rsidR="00FB67F9" w:rsidRDefault="00FB67F9">
            <w:pPr>
              <w:rPr>
                <w:rFonts w:ascii="Times New Roman" w:hAnsi="Times New Roman"/>
                <w:sz w:val="20"/>
                <w:szCs w:val="20"/>
              </w:rPr>
            </w:pPr>
          </w:p>
        </w:tc>
        <w:tc>
          <w:tcPr>
            <w:tcW w:w="50" w:type="pct"/>
            <w:shd w:val="clear" w:color="auto" w:fill="auto"/>
            <w:vAlign w:val="center"/>
          </w:tcPr>
          <w:p w14:paraId="606F7507" w14:textId="77777777" w:rsidR="00FB67F9" w:rsidRDefault="00FB67F9">
            <w:pPr>
              <w:rPr>
                <w:rFonts w:ascii="Times New Roman" w:hAnsi="Times New Roman"/>
                <w:sz w:val="20"/>
                <w:szCs w:val="20"/>
              </w:rPr>
            </w:pPr>
          </w:p>
        </w:tc>
        <w:tc>
          <w:tcPr>
            <w:tcW w:w="550" w:type="pct"/>
            <w:shd w:val="clear" w:color="auto" w:fill="auto"/>
            <w:vAlign w:val="center"/>
          </w:tcPr>
          <w:p w14:paraId="606F7508" w14:textId="77777777" w:rsidR="00FB67F9" w:rsidRDefault="00FB67F9">
            <w:pPr>
              <w:rPr>
                <w:rFonts w:ascii="Times New Roman" w:hAnsi="Times New Roman"/>
                <w:sz w:val="20"/>
                <w:szCs w:val="20"/>
              </w:rPr>
            </w:pPr>
          </w:p>
        </w:tc>
        <w:tc>
          <w:tcPr>
            <w:tcW w:w="50" w:type="pct"/>
            <w:shd w:val="clear" w:color="auto" w:fill="auto"/>
            <w:vAlign w:val="center"/>
          </w:tcPr>
          <w:p w14:paraId="606F7509" w14:textId="77777777" w:rsidR="00FB67F9" w:rsidRDefault="00FB67F9">
            <w:pPr>
              <w:rPr>
                <w:rFonts w:ascii="Times New Roman" w:hAnsi="Times New Roman"/>
                <w:sz w:val="20"/>
                <w:szCs w:val="20"/>
              </w:rPr>
            </w:pPr>
          </w:p>
        </w:tc>
        <w:tc>
          <w:tcPr>
            <w:tcW w:w="50" w:type="pct"/>
            <w:shd w:val="clear" w:color="auto" w:fill="auto"/>
            <w:vAlign w:val="center"/>
          </w:tcPr>
          <w:p w14:paraId="606F750A" w14:textId="77777777" w:rsidR="00FB67F9" w:rsidRDefault="00FB67F9">
            <w:pPr>
              <w:rPr>
                <w:rFonts w:ascii="Times New Roman" w:hAnsi="Times New Roman"/>
                <w:sz w:val="20"/>
                <w:szCs w:val="20"/>
              </w:rPr>
            </w:pPr>
          </w:p>
        </w:tc>
        <w:tc>
          <w:tcPr>
            <w:tcW w:w="550" w:type="pct"/>
            <w:shd w:val="clear" w:color="auto" w:fill="auto"/>
            <w:vAlign w:val="center"/>
          </w:tcPr>
          <w:p w14:paraId="606F750B" w14:textId="77777777" w:rsidR="00FB67F9" w:rsidRDefault="00FB67F9">
            <w:pPr>
              <w:rPr>
                <w:rFonts w:ascii="Times New Roman" w:hAnsi="Times New Roman"/>
                <w:sz w:val="20"/>
                <w:szCs w:val="20"/>
              </w:rPr>
            </w:pPr>
          </w:p>
        </w:tc>
        <w:tc>
          <w:tcPr>
            <w:tcW w:w="50" w:type="pct"/>
            <w:shd w:val="clear" w:color="auto" w:fill="auto"/>
            <w:vAlign w:val="center"/>
          </w:tcPr>
          <w:p w14:paraId="606F750C" w14:textId="77777777" w:rsidR="00FB67F9" w:rsidRDefault="00FB67F9">
            <w:pPr>
              <w:rPr>
                <w:rFonts w:ascii="Times New Roman" w:hAnsi="Times New Roman"/>
                <w:sz w:val="20"/>
                <w:szCs w:val="20"/>
              </w:rPr>
            </w:pPr>
          </w:p>
        </w:tc>
        <w:tc>
          <w:tcPr>
            <w:tcW w:w="50" w:type="pct"/>
            <w:shd w:val="clear" w:color="auto" w:fill="auto"/>
            <w:vAlign w:val="center"/>
          </w:tcPr>
          <w:p w14:paraId="606F750D" w14:textId="77777777" w:rsidR="00FB67F9" w:rsidRDefault="00FB67F9">
            <w:pPr>
              <w:rPr>
                <w:rFonts w:ascii="Times New Roman" w:hAnsi="Times New Roman"/>
                <w:sz w:val="20"/>
                <w:szCs w:val="20"/>
              </w:rPr>
            </w:pPr>
          </w:p>
        </w:tc>
        <w:tc>
          <w:tcPr>
            <w:tcW w:w="50" w:type="pct"/>
            <w:shd w:val="clear" w:color="auto" w:fill="auto"/>
            <w:vAlign w:val="center"/>
          </w:tcPr>
          <w:p w14:paraId="606F750E" w14:textId="77777777" w:rsidR="00FB67F9" w:rsidRDefault="00FB67F9">
            <w:pPr>
              <w:rPr>
                <w:rFonts w:ascii="Times New Roman" w:hAnsi="Times New Roman"/>
                <w:sz w:val="20"/>
                <w:szCs w:val="20"/>
              </w:rPr>
            </w:pPr>
          </w:p>
        </w:tc>
        <w:tc>
          <w:tcPr>
            <w:tcW w:w="550" w:type="pct"/>
            <w:shd w:val="clear" w:color="auto" w:fill="auto"/>
            <w:vAlign w:val="center"/>
          </w:tcPr>
          <w:p w14:paraId="606F750F" w14:textId="77777777" w:rsidR="00FB67F9" w:rsidRDefault="00FB67F9">
            <w:pPr>
              <w:rPr>
                <w:rFonts w:ascii="Times New Roman" w:hAnsi="Times New Roman"/>
                <w:sz w:val="20"/>
                <w:szCs w:val="20"/>
              </w:rPr>
            </w:pPr>
          </w:p>
        </w:tc>
        <w:tc>
          <w:tcPr>
            <w:tcW w:w="50" w:type="pct"/>
            <w:shd w:val="clear" w:color="auto" w:fill="auto"/>
            <w:vAlign w:val="center"/>
          </w:tcPr>
          <w:p w14:paraId="606F7510" w14:textId="77777777" w:rsidR="00FB67F9" w:rsidRDefault="00FB67F9">
            <w:pPr>
              <w:rPr>
                <w:rFonts w:ascii="Times New Roman" w:hAnsi="Times New Roman"/>
                <w:sz w:val="20"/>
                <w:szCs w:val="20"/>
              </w:rPr>
            </w:pPr>
          </w:p>
        </w:tc>
        <w:tc>
          <w:tcPr>
            <w:tcW w:w="50" w:type="pct"/>
            <w:shd w:val="clear" w:color="auto" w:fill="auto"/>
            <w:vAlign w:val="center"/>
          </w:tcPr>
          <w:p w14:paraId="606F7511" w14:textId="77777777" w:rsidR="00FB67F9" w:rsidRDefault="00FB67F9">
            <w:pPr>
              <w:rPr>
                <w:rFonts w:ascii="Times New Roman" w:hAnsi="Times New Roman"/>
                <w:sz w:val="20"/>
                <w:szCs w:val="20"/>
              </w:rPr>
            </w:pPr>
          </w:p>
        </w:tc>
        <w:tc>
          <w:tcPr>
            <w:tcW w:w="550" w:type="pct"/>
            <w:shd w:val="clear" w:color="auto" w:fill="auto"/>
            <w:vAlign w:val="center"/>
          </w:tcPr>
          <w:p w14:paraId="606F7512" w14:textId="77777777" w:rsidR="00FB67F9" w:rsidRDefault="00FB67F9">
            <w:pPr>
              <w:rPr>
                <w:rFonts w:ascii="Times New Roman" w:hAnsi="Times New Roman"/>
                <w:sz w:val="20"/>
                <w:szCs w:val="20"/>
              </w:rPr>
            </w:pPr>
          </w:p>
        </w:tc>
        <w:tc>
          <w:tcPr>
            <w:tcW w:w="50" w:type="pct"/>
            <w:shd w:val="clear" w:color="auto" w:fill="auto"/>
            <w:vAlign w:val="center"/>
          </w:tcPr>
          <w:p w14:paraId="606F7513" w14:textId="77777777" w:rsidR="00FB67F9" w:rsidRDefault="00FB67F9">
            <w:pPr>
              <w:rPr>
                <w:rFonts w:ascii="Times New Roman" w:hAnsi="Times New Roman"/>
                <w:sz w:val="20"/>
                <w:szCs w:val="20"/>
              </w:rPr>
            </w:pPr>
          </w:p>
        </w:tc>
      </w:tr>
      <w:tr w:rsidR="00FB67F9" w14:paraId="606F7517" w14:textId="77777777">
        <w:tc>
          <w:tcPr>
            <w:tcW w:w="0" w:type="auto"/>
            <w:shd w:val="clear" w:color="auto" w:fill="auto"/>
            <w:tcMar>
              <w:top w:w="40" w:type="dxa"/>
              <w:left w:w="40" w:type="dxa"/>
              <w:bottom w:w="40" w:type="dxa"/>
              <w:right w:w="40" w:type="dxa"/>
            </w:tcMar>
            <w:vAlign w:val="bottom"/>
          </w:tcPr>
          <w:p w14:paraId="606F751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E87722"/>
            </w:tcBorders>
            <w:shd w:val="clear" w:color="auto" w:fill="auto"/>
            <w:tcMar>
              <w:top w:w="40" w:type="dxa"/>
              <w:left w:w="40" w:type="dxa"/>
              <w:bottom w:w="40" w:type="dxa"/>
            </w:tcMar>
            <w:vAlign w:val="bottom"/>
          </w:tcPr>
          <w:p w14:paraId="606F751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r>
      <w:tr w:rsidR="00FB67F9" w14:paraId="606F751C" w14:textId="77777777">
        <w:tc>
          <w:tcPr>
            <w:tcW w:w="0" w:type="auto"/>
            <w:shd w:val="clear" w:color="auto" w:fill="auto"/>
            <w:tcMar>
              <w:top w:w="40" w:type="dxa"/>
              <w:left w:w="40" w:type="dxa"/>
              <w:bottom w:w="40" w:type="dxa"/>
              <w:right w:w="40" w:type="dxa"/>
            </w:tcMar>
            <w:vAlign w:val="bottom"/>
          </w:tcPr>
          <w:p w14:paraId="606F751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751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shd w:val="clear" w:color="auto" w:fill="auto"/>
            <w:tcMar>
              <w:top w:w="40" w:type="dxa"/>
              <w:left w:w="40" w:type="dxa"/>
              <w:bottom w:w="40" w:type="dxa"/>
              <w:right w:w="40" w:type="dxa"/>
            </w:tcMar>
            <w:vAlign w:val="bottom"/>
          </w:tcPr>
          <w:p w14:paraId="606F751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51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52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51D"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shd w:val="clear" w:color="auto" w:fill="auto"/>
            <w:tcMar>
              <w:top w:w="40" w:type="dxa"/>
              <w:left w:w="40" w:type="dxa"/>
              <w:bottom w:w="40" w:type="dxa"/>
            </w:tcMar>
            <w:vAlign w:val="bottom"/>
          </w:tcPr>
          <w:p w14:paraId="606F751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606F751F"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52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tcBorders>
              <w:bottom w:val="single" w:sz="8" w:space="0" w:color="E87722"/>
            </w:tcBorders>
            <w:shd w:val="clear" w:color="auto" w:fill="auto"/>
            <w:vAlign w:val="bottom"/>
          </w:tcPr>
          <w:p w14:paraId="606F7521"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52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752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606F7524"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52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tcBorders>
              <w:bottom w:val="single" w:sz="8" w:space="0" w:color="E87722"/>
            </w:tcBorders>
            <w:shd w:val="clear" w:color="auto" w:fill="auto"/>
            <w:vAlign w:val="bottom"/>
          </w:tcPr>
          <w:p w14:paraId="606F7526" w14:textId="77777777" w:rsidR="00FB67F9" w:rsidRDefault="00FB67F9">
            <w:pPr>
              <w:textAlignment w:val="bottom"/>
              <w:rPr>
                <w:rFonts w:ascii="Times New Roman" w:hAnsi="Times New Roman"/>
                <w:sz w:val="20"/>
                <w:szCs w:val="20"/>
              </w:rPr>
            </w:pPr>
          </w:p>
        </w:tc>
      </w:tr>
      <w:tr w:rsidR="00FB67F9" w14:paraId="606F7536" w14:textId="77777777">
        <w:tc>
          <w:tcPr>
            <w:tcW w:w="0" w:type="auto"/>
            <w:shd w:val="clear" w:color="auto" w:fill="auto"/>
            <w:tcMar>
              <w:top w:w="40" w:type="dxa"/>
              <w:left w:w="40" w:type="dxa"/>
              <w:bottom w:w="40" w:type="dxa"/>
              <w:right w:w="40" w:type="dxa"/>
            </w:tcMar>
            <w:vAlign w:val="bottom"/>
          </w:tcPr>
          <w:p w14:paraId="606F7528"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E87722"/>
            </w:tcBorders>
            <w:shd w:val="clear" w:color="auto" w:fill="FFF1E7"/>
            <w:tcMar>
              <w:top w:w="40" w:type="dxa"/>
              <w:left w:w="40" w:type="dxa"/>
              <w:bottom w:w="40" w:type="dxa"/>
            </w:tcMar>
            <w:vAlign w:val="bottom"/>
          </w:tcPr>
          <w:p w14:paraId="606F752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752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10,326</w:t>
            </w:r>
          </w:p>
        </w:tc>
        <w:tc>
          <w:tcPr>
            <w:tcW w:w="0" w:type="auto"/>
            <w:tcBorders>
              <w:top w:val="single" w:sz="8" w:space="0" w:color="E87722"/>
            </w:tcBorders>
            <w:shd w:val="clear" w:color="auto" w:fill="FFF1E7"/>
            <w:vAlign w:val="bottom"/>
          </w:tcPr>
          <w:p w14:paraId="606F752B"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FFF1E7"/>
            <w:tcMar>
              <w:top w:w="40" w:type="dxa"/>
              <w:left w:w="40" w:type="dxa"/>
              <w:bottom w:w="40" w:type="dxa"/>
            </w:tcMar>
            <w:vAlign w:val="bottom"/>
          </w:tcPr>
          <w:p w14:paraId="606F752C" w14:textId="77777777" w:rsidR="00FB67F9" w:rsidRDefault="00E839DF">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E87722"/>
            </w:tcBorders>
            <w:shd w:val="clear" w:color="auto" w:fill="FFF1E7"/>
            <w:tcMar>
              <w:top w:w="40" w:type="dxa"/>
              <w:bottom w:w="40" w:type="dxa"/>
            </w:tcMar>
            <w:vAlign w:val="bottom"/>
          </w:tcPr>
          <w:p w14:paraId="606F752D" w14:textId="77777777" w:rsidR="00FB67F9" w:rsidRDefault="00E839DF">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E87722"/>
            </w:tcBorders>
            <w:shd w:val="clear" w:color="auto" w:fill="FFF1E7"/>
            <w:vAlign w:val="bottom"/>
          </w:tcPr>
          <w:p w14:paraId="606F752E"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52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53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5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9,374</w:t>
            </w:r>
          </w:p>
        </w:tc>
        <w:tc>
          <w:tcPr>
            <w:tcW w:w="0" w:type="auto"/>
            <w:tcBorders>
              <w:top w:val="single" w:sz="8" w:space="0" w:color="E87722"/>
              <w:bottom w:val="single" w:sz="8" w:space="0" w:color="808080"/>
            </w:tcBorders>
            <w:shd w:val="clear" w:color="auto" w:fill="auto"/>
            <w:vAlign w:val="bottom"/>
          </w:tcPr>
          <w:p w14:paraId="606F753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533" w14:textId="77777777" w:rsidR="00FB67F9" w:rsidRDefault="00E839DF">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534" w14:textId="77777777" w:rsidR="00FB67F9" w:rsidRDefault="00E839DF">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top w:val="single" w:sz="8" w:space="0" w:color="E87722"/>
              <w:bottom w:val="single" w:sz="8" w:space="0" w:color="808080"/>
            </w:tcBorders>
            <w:shd w:val="clear" w:color="auto" w:fill="auto"/>
            <w:vAlign w:val="bottom"/>
          </w:tcPr>
          <w:p w14:paraId="606F7535" w14:textId="77777777" w:rsidR="00FB67F9" w:rsidRDefault="00FB67F9">
            <w:pPr>
              <w:textAlignment w:val="bottom"/>
              <w:rPr>
                <w:rFonts w:ascii="Times New Roman" w:hAnsi="Times New Roman"/>
                <w:sz w:val="20"/>
                <w:szCs w:val="20"/>
              </w:rPr>
            </w:pPr>
          </w:p>
        </w:tc>
      </w:tr>
      <w:tr w:rsidR="00FB67F9" w14:paraId="606F754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537" w14:textId="77777777" w:rsidR="00FB67F9" w:rsidRDefault="00E839DF">
            <w:pPr>
              <w:textAlignment w:val="bottom"/>
              <w:rPr>
                <w:rFonts w:ascii="Times New Roman" w:hAnsi="Times New Roman"/>
                <w:sz w:val="17"/>
                <w:szCs w:val="17"/>
              </w:rPr>
            </w:pPr>
            <w:r>
              <w:rPr>
                <w:rFonts w:ascii="Arial" w:eastAsia="宋体" w:hAnsi="Arial" w:cs="Arial"/>
                <w:sz w:val="17"/>
                <w:szCs w:val="17"/>
              </w:rPr>
              <w:t>Cost of sales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3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5,782</w:t>
            </w:r>
          </w:p>
        </w:tc>
        <w:tc>
          <w:tcPr>
            <w:tcW w:w="0" w:type="auto"/>
            <w:tcBorders>
              <w:top w:val="single" w:sz="8" w:space="0" w:color="808080"/>
              <w:bottom w:val="single" w:sz="8" w:space="0" w:color="808080"/>
            </w:tcBorders>
            <w:shd w:val="clear" w:color="auto" w:fill="FFF1E7"/>
            <w:vAlign w:val="bottom"/>
          </w:tcPr>
          <w:p w14:paraId="606F753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w:t>
            </w:r>
          </w:p>
        </w:tc>
        <w:tc>
          <w:tcPr>
            <w:tcW w:w="0" w:type="auto"/>
            <w:tcBorders>
              <w:top w:val="single" w:sz="8" w:space="0" w:color="808080"/>
              <w:bottom w:val="single" w:sz="8" w:space="0" w:color="808080"/>
            </w:tcBorders>
            <w:shd w:val="clear" w:color="auto" w:fill="FFF1E7"/>
            <w:vAlign w:val="bottom"/>
          </w:tcPr>
          <w:p w14:paraId="606F753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53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3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5,269</w:t>
            </w:r>
          </w:p>
        </w:tc>
        <w:tc>
          <w:tcPr>
            <w:tcW w:w="0" w:type="auto"/>
            <w:tcBorders>
              <w:top w:val="single" w:sz="8" w:space="0" w:color="808080"/>
              <w:bottom w:val="single" w:sz="8" w:space="0" w:color="808080"/>
            </w:tcBorders>
            <w:shd w:val="clear" w:color="auto" w:fill="auto"/>
            <w:vAlign w:val="bottom"/>
          </w:tcPr>
          <w:p w14:paraId="606F753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808080"/>
            </w:tcBorders>
            <w:shd w:val="clear" w:color="auto" w:fill="auto"/>
            <w:vAlign w:val="bottom"/>
          </w:tcPr>
          <w:p w14:paraId="606F7540" w14:textId="77777777" w:rsidR="00FB67F9" w:rsidRDefault="00FB67F9">
            <w:pPr>
              <w:textAlignment w:val="bottom"/>
              <w:rPr>
                <w:rFonts w:ascii="Times New Roman" w:hAnsi="Times New Roman"/>
                <w:sz w:val="20"/>
                <w:szCs w:val="20"/>
              </w:rPr>
            </w:pPr>
          </w:p>
        </w:tc>
      </w:tr>
      <w:tr w:rsidR="00FB67F9" w14:paraId="606F754C"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42" w14:textId="77777777" w:rsidR="00FB67F9" w:rsidRDefault="00E839DF">
            <w:pPr>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881</w:t>
            </w:r>
          </w:p>
        </w:tc>
        <w:tc>
          <w:tcPr>
            <w:tcW w:w="0" w:type="auto"/>
            <w:tcBorders>
              <w:top w:val="single" w:sz="8" w:space="0" w:color="808080"/>
              <w:bottom w:val="single" w:sz="8" w:space="0" w:color="808080"/>
            </w:tcBorders>
            <w:shd w:val="clear" w:color="auto" w:fill="FFF1E7"/>
            <w:vAlign w:val="bottom"/>
          </w:tcPr>
          <w:p w14:paraId="606F754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54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4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4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910</w:t>
            </w:r>
          </w:p>
        </w:tc>
        <w:tc>
          <w:tcPr>
            <w:tcW w:w="0" w:type="auto"/>
            <w:tcBorders>
              <w:top w:val="single" w:sz="8" w:space="0" w:color="808080"/>
              <w:bottom w:val="single" w:sz="8" w:space="0" w:color="808080"/>
            </w:tcBorders>
            <w:shd w:val="clear" w:color="auto" w:fill="auto"/>
            <w:vAlign w:val="bottom"/>
          </w:tcPr>
          <w:p w14:paraId="606F754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54B" w14:textId="77777777" w:rsidR="00FB67F9" w:rsidRDefault="00FB67F9">
            <w:pPr>
              <w:textAlignment w:val="bottom"/>
              <w:rPr>
                <w:rFonts w:ascii="Times New Roman" w:hAnsi="Times New Roman"/>
                <w:sz w:val="20"/>
                <w:szCs w:val="20"/>
              </w:rPr>
            </w:pPr>
          </w:p>
        </w:tc>
      </w:tr>
      <w:tr w:rsidR="00FB67F9" w14:paraId="606F7557"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4D"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4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54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top w:val="single" w:sz="8" w:space="0" w:color="808080"/>
              <w:bottom w:val="single" w:sz="8" w:space="0" w:color="808080"/>
            </w:tcBorders>
            <w:shd w:val="clear" w:color="auto" w:fill="FFF1E7"/>
            <w:vAlign w:val="bottom"/>
          </w:tcPr>
          <w:p w14:paraId="606F755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5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5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55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5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556" w14:textId="77777777" w:rsidR="00FB67F9" w:rsidRDefault="00FB67F9">
            <w:pPr>
              <w:textAlignment w:val="bottom"/>
              <w:rPr>
                <w:rFonts w:ascii="Times New Roman" w:hAnsi="Times New Roman"/>
                <w:sz w:val="20"/>
                <w:szCs w:val="20"/>
              </w:rPr>
            </w:pPr>
          </w:p>
        </w:tc>
      </w:tr>
      <w:tr w:rsidR="00FB67F9" w14:paraId="606F756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558"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755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E87722"/>
            </w:tcBorders>
            <w:shd w:val="clear" w:color="auto" w:fill="FFF1E7"/>
            <w:vAlign w:val="bottom"/>
          </w:tcPr>
          <w:p w14:paraId="606F755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755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755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55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755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E87722"/>
            </w:tcBorders>
            <w:shd w:val="clear" w:color="auto" w:fill="auto"/>
            <w:vAlign w:val="bottom"/>
          </w:tcPr>
          <w:p w14:paraId="606F755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756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756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bl>
    <w:p w14:paraId="606F7563" w14:textId="77777777" w:rsidR="00FB67F9" w:rsidRDefault="00FB67F9">
      <w:pPr>
        <w:spacing w:line="312" w:lineRule="auto"/>
        <w:rPr>
          <w:rFonts w:ascii="Times New Roman" w:hAnsi="Times New Roman"/>
          <w:sz w:val="20"/>
          <w:szCs w:val="20"/>
        </w:rPr>
      </w:pPr>
    </w:p>
    <w:p w14:paraId="606F7564" w14:textId="77777777" w:rsidR="00FB67F9" w:rsidRDefault="00FB67F9">
      <w:pPr>
        <w:rPr>
          <w:rFonts w:ascii="Times New Roman" w:hAnsi="Times New Roman"/>
          <w:sz w:val="20"/>
          <w:szCs w:val="20"/>
        </w:rPr>
      </w:pPr>
    </w:p>
    <w:p w14:paraId="606F7565"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14</w:t>
      </w:r>
      <w:r>
        <w:rPr>
          <w:rFonts w:ascii="sans-serif" w:eastAsia="sans-serif" w:hAnsi="sans-serif" w:cs="sans-serif"/>
          <w:sz w:val="17"/>
          <w:szCs w:val="17"/>
        </w:rPr>
        <w:t xml:space="preserve"> </w:t>
      </w:r>
    </w:p>
    <w:p w14:paraId="606F7566" w14:textId="77777777" w:rsidR="00FB67F9" w:rsidRDefault="00E839DF">
      <w:r>
        <w:rPr>
          <w:rFonts w:ascii="Times New Roman" w:hAnsi="Times New Roman"/>
          <w:sz w:val="17"/>
          <w:szCs w:val="17"/>
        </w:rPr>
        <w:pict w14:anchorId="606F8F8B">
          <v:rect id="_x0000_i1040" style="width:415.3pt;height:1.5pt" o:hralign="center" o:hrstd="t" o:hr="t" fillcolor="#a0a0a0" stroked="f"/>
        </w:pict>
      </w:r>
    </w:p>
    <w:p w14:paraId="606F7567" w14:textId="77777777" w:rsidR="00FB67F9" w:rsidRDefault="00FB67F9">
      <w:pPr>
        <w:rPr>
          <w:rFonts w:ascii="Times New Roman" w:hAnsi="Times New Roman"/>
          <w:sz w:val="17"/>
          <w:szCs w:val="17"/>
        </w:rPr>
      </w:pPr>
    </w:p>
    <w:p w14:paraId="606F7568" w14:textId="77777777" w:rsidR="00FB67F9" w:rsidRDefault="00E839DF">
      <w:pPr>
        <w:rPr>
          <w:rFonts w:ascii="Times New Roman" w:hAnsi="Times New Roman"/>
          <w:sz w:val="17"/>
          <w:szCs w:val="17"/>
        </w:rPr>
      </w:pPr>
      <w:hyperlink r:id="rId84" w:anchor="s42C493F7582652B69E70047AB812E6A5" w:history="1">
        <w:r>
          <w:rPr>
            <w:rStyle w:val="a5"/>
            <w:rFonts w:ascii="sans-serif" w:eastAsia="sans-serif" w:hAnsi="sans-serif" w:cs="sans-serif"/>
            <w:sz w:val="17"/>
            <w:szCs w:val="17"/>
          </w:rPr>
          <w:t>Table of Contents</w:t>
        </w:r>
      </w:hyperlink>
    </w:p>
    <w:p w14:paraId="606F7569" w14:textId="77777777" w:rsidR="00FB67F9" w:rsidRDefault="00FB67F9">
      <w:pPr>
        <w:rPr>
          <w:rFonts w:ascii="Times New Roman" w:hAnsi="Times New Roman"/>
          <w:sz w:val="17"/>
          <w:szCs w:val="17"/>
        </w:rPr>
      </w:pPr>
    </w:p>
    <w:p w14:paraId="606F756A"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856"/>
        <w:gridCol w:w="135"/>
        <w:gridCol w:w="866"/>
        <w:gridCol w:w="97"/>
        <w:gridCol w:w="130"/>
        <w:gridCol w:w="866"/>
        <w:gridCol w:w="97"/>
        <w:gridCol w:w="130"/>
        <w:gridCol w:w="135"/>
        <w:gridCol w:w="866"/>
        <w:gridCol w:w="35"/>
        <w:gridCol w:w="130"/>
        <w:gridCol w:w="866"/>
        <w:gridCol w:w="97"/>
      </w:tblGrid>
      <w:tr w:rsidR="00FB67F9" w14:paraId="606F756C" w14:textId="77777777">
        <w:tc>
          <w:tcPr>
            <w:tcW w:w="0" w:type="auto"/>
            <w:gridSpan w:val="14"/>
            <w:shd w:val="clear" w:color="auto" w:fill="auto"/>
            <w:vAlign w:val="center"/>
          </w:tcPr>
          <w:p w14:paraId="606F756B" w14:textId="77777777" w:rsidR="00FB67F9" w:rsidRDefault="00FB67F9">
            <w:pPr>
              <w:rPr>
                <w:rFonts w:ascii="Times New Roman" w:hAnsi="Times New Roman"/>
                <w:sz w:val="20"/>
                <w:szCs w:val="20"/>
              </w:rPr>
            </w:pPr>
          </w:p>
        </w:tc>
      </w:tr>
      <w:tr w:rsidR="00FB67F9" w14:paraId="606F757B" w14:textId="77777777">
        <w:tc>
          <w:tcPr>
            <w:tcW w:w="2350" w:type="pct"/>
            <w:shd w:val="clear" w:color="auto" w:fill="auto"/>
            <w:vAlign w:val="center"/>
          </w:tcPr>
          <w:p w14:paraId="606F756D" w14:textId="77777777" w:rsidR="00FB67F9" w:rsidRDefault="00FB67F9">
            <w:pPr>
              <w:rPr>
                <w:rFonts w:ascii="Times New Roman" w:hAnsi="Times New Roman"/>
                <w:sz w:val="20"/>
                <w:szCs w:val="20"/>
              </w:rPr>
            </w:pPr>
          </w:p>
        </w:tc>
        <w:tc>
          <w:tcPr>
            <w:tcW w:w="50" w:type="pct"/>
            <w:shd w:val="clear" w:color="auto" w:fill="auto"/>
            <w:vAlign w:val="center"/>
          </w:tcPr>
          <w:p w14:paraId="606F756E" w14:textId="77777777" w:rsidR="00FB67F9" w:rsidRDefault="00FB67F9">
            <w:pPr>
              <w:rPr>
                <w:rFonts w:ascii="Times New Roman" w:hAnsi="Times New Roman"/>
                <w:sz w:val="20"/>
                <w:szCs w:val="20"/>
              </w:rPr>
            </w:pPr>
          </w:p>
        </w:tc>
        <w:tc>
          <w:tcPr>
            <w:tcW w:w="550" w:type="pct"/>
            <w:shd w:val="clear" w:color="auto" w:fill="auto"/>
            <w:vAlign w:val="center"/>
          </w:tcPr>
          <w:p w14:paraId="606F756F" w14:textId="77777777" w:rsidR="00FB67F9" w:rsidRDefault="00FB67F9">
            <w:pPr>
              <w:rPr>
                <w:rFonts w:ascii="Times New Roman" w:hAnsi="Times New Roman"/>
                <w:sz w:val="20"/>
                <w:szCs w:val="20"/>
              </w:rPr>
            </w:pPr>
          </w:p>
        </w:tc>
        <w:tc>
          <w:tcPr>
            <w:tcW w:w="50" w:type="pct"/>
            <w:shd w:val="clear" w:color="auto" w:fill="auto"/>
            <w:vAlign w:val="center"/>
          </w:tcPr>
          <w:p w14:paraId="606F7570" w14:textId="77777777" w:rsidR="00FB67F9" w:rsidRDefault="00FB67F9">
            <w:pPr>
              <w:rPr>
                <w:rFonts w:ascii="Times New Roman" w:hAnsi="Times New Roman"/>
                <w:sz w:val="20"/>
                <w:szCs w:val="20"/>
              </w:rPr>
            </w:pPr>
          </w:p>
        </w:tc>
        <w:tc>
          <w:tcPr>
            <w:tcW w:w="50" w:type="pct"/>
            <w:shd w:val="clear" w:color="auto" w:fill="auto"/>
            <w:vAlign w:val="center"/>
          </w:tcPr>
          <w:p w14:paraId="606F7571" w14:textId="77777777" w:rsidR="00FB67F9" w:rsidRDefault="00FB67F9">
            <w:pPr>
              <w:rPr>
                <w:rFonts w:ascii="Times New Roman" w:hAnsi="Times New Roman"/>
                <w:sz w:val="20"/>
                <w:szCs w:val="20"/>
              </w:rPr>
            </w:pPr>
          </w:p>
        </w:tc>
        <w:tc>
          <w:tcPr>
            <w:tcW w:w="550" w:type="pct"/>
            <w:shd w:val="clear" w:color="auto" w:fill="auto"/>
            <w:vAlign w:val="center"/>
          </w:tcPr>
          <w:p w14:paraId="606F7572" w14:textId="77777777" w:rsidR="00FB67F9" w:rsidRDefault="00FB67F9">
            <w:pPr>
              <w:rPr>
                <w:rFonts w:ascii="Times New Roman" w:hAnsi="Times New Roman"/>
                <w:sz w:val="20"/>
                <w:szCs w:val="20"/>
              </w:rPr>
            </w:pPr>
          </w:p>
        </w:tc>
        <w:tc>
          <w:tcPr>
            <w:tcW w:w="50" w:type="pct"/>
            <w:shd w:val="clear" w:color="auto" w:fill="auto"/>
            <w:vAlign w:val="center"/>
          </w:tcPr>
          <w:p w14:paraId="606F7573" w14:textId="77777777" w:rsidR="00FB67F9" w:rsidRDefault="00FB67F9">
            <w:pPr>
              <w:rPr>
                <w:rFonts w:ascii="Times New Roman" w:hAnsi="Times New Roman"/>
                <w:sz w:val="20"/>
                <w:szCs w:val="20"/>
              </w:rPr>
            </w:pPr>
          </w:p>
        </w:tc>
        <w:tc>
          <w:tcPr>
            <w:tcW w:w="50" w:type="pct"/>
            <w:shd w:val="clear" w:color="auto" w:fill="auto"/>
            <w:vAlign w:val="center"/>
          </w:tcPr>
          <w:p w14:paraId="606F7574" w14:textId="77777777" w:rsidR="00FB67F9" w:rsidRDefault="00FB67F9">
            <w:pPr>
              <w:rPr>
                <w:rFonts w:ascii="Times New Roman" w:hAnsi="Times New Roman"/>
                <w:sz w:val="20"/>
                <w:szCs w:val="20"/>
              </w:rPr>
            </w:pPr>
          </w:p>
        </w:tc>
        <w:tc>
          <w:tcPr>
            <w:tcW w:w="50" w:type="pct"/>
            <w:shd w:val="clear" w:color="auto" w:fill="auto"/>
            <w:vAlign w:val="center"/>
          </w:tcPr>
          <w:p w14:paraId="606F7575" w14:textId="77777777" w:rsidR="00FB67F9" w:rsidRDefault="00FB67F9">
            <w:pPr>
              <w:rPr>
                <w:rFonts w:ascii="Times New Roman" w:hAnsi="Times New Roman"/>
                <w:sz w:val="20"/>
                <w:szCs w:val="20"/>
              </w:rPr>
            </w:pPr>
          </w:p>
        </w:tc>
        <w:tc>
          <w:tcPr>
            <w:tcW w:w="550" w:type="pct"/>
            <w:shd w:val="clear" w:color="auto" w:fill="auto"/>
            <w:vAlign w:val="center"/>
          </w:tcPr>
          <w:p w14:paraId="606F7576" w14:textId="77777777" w:rsidR="00FB67F9" w:rsidRDefault="00FB67F9">
            <w:pPr>
              <w:rPr>
                <w:rFonts w:ascii="Times New Roman" w:hAnsi="Times New Roman"/>
                <w:sz w:val="20"/>
                <w:szCs w:val="20"/>
              </w:rPr>
            </w:pPr>
          </w:p>
        </w:tc>
        <w:tc>
          <w:tcPr>
            <w:tcW w:w="50" w:type="pct"/>
            <w:shd w:val="clear" w:color="auto" w:fill="auto"/>
            <w:vAlign w:val="center"/>
          </w:tcPr>
          <w:p w14:paraId="606F7577" w14:textId="77777777" w:rsidR="00FB67F9" w:rsidRDefault="00FB67F9">
            <w:pPr>
              <w:rPr>
                <w:rFonts w:ascii="Times New Roman" w:hAnsi="Times New Roman"/>
                <w:sz w:val="20"/>
                <w:szCs w:val="20"/>
              </w:rPr>
            </w:pPr>
          </w:p>
        </w:tc>
        <w:tc>
          <w:tcPr>
            <w:tcW w:w="50" w:type="pct"/>
            <w:shd w:val="clear" w:color="auto" w:fill="auto"/>
            <w:vAlign w:val="center"/>
          </w:tcPr>
          <w:p w14:paraId="606F7578" w14:textId="77777777" w:rsidR="00FB67F9" w:rsidRDefault="00FB67F9">
            <w:pPr>
              <w:rPr>
                <w:rFonts w:ascii="Times New Roman" w:hAnsi="Times New Roman"/>
                <w:sz w:val="20"/>
                <w:szCs w:val="20"/>
              </w:rPr>
            </w:pPr>
          </w:p>
        </w:tc>
        <w:tc>
          <w:tcPr>
            <w:tcW w:w="550" w:type="pct"/>
            <w:shd w:val="clear" w:color="auto" w:fill="auto"/>
            <w:vAlign w:val="center"/>
          </w:tcPr>
          <w:p w14:paraId="606F7579" w14:textId="77777777" w:rsidR="00FB67F9" w:rsidRDefault="00FB67F9">
            <w:pPr>
              <w:rPr>
                <w:rFonts w:ascii="Times New Roman" w:hAnsi="Times New Roman"/>
                <w:sz w:val="20"/>
                <w:szCs w:val="20"/>
              </w:rPr>
            </w:pPr>
          </w:p>
        </w:tc>
        <w:tc>
          <w:tcPr>
            <w:tcW w:w="50" w:type="pct"/>
            <w:shd w:val="clear" w:color="auto" w:fill="auto"/>
            <w:vAlign w:val="center"/>
          </w:tcPr>
          <w:p w14:paraId="606F757A" w14:textId="77777777" w:rsidR="00FB67F9" w:rsidRDefault="00FB67F9">
            <w:pPr>
              <w:rPr>
                <w:rFonts w:ascii="Times New Roman" w:hAnsi="Times New Roman"/>
                <w:sz w:val="20"/>
                <w:szCs w:val="20"/>
              </w:rPr>
            </w:pPr>
          </w:p>
        </w:tc>
      </w:tr>
      <w:tr w:rsidR="00FB67F9" w14:paraId="606F757E" w14:textId="77777777">
        <w:tc>
          <w:tcPr>
            <w:tcW w:w="0" w:type="auto"/>
            <w:shd w:val="clear" w:color="auto" w:fill="auto"/>
            <w:tcMar>
              <w:top w:w="40" w:type="dxa"/>
              <w:left w:w="40" w:type="dxa"/>
              <w:bottom w:w="40" w:type="dxa"/>
              <w:right w:w="40" w:type="dxa"/>
            </w:tcMar>
            <w:vAlign w:val="bottom"/>
          </w:tcPr>
          <w:p w14:paraId="606F757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E87722"/>
            </w:tcBorders>
            <w:shd w:val="clear" w:color="auto" w:fill="auto"/>
            <w:tcMar>
              <w:top w:w="40" w:type="dxa"/>
              <w:left w:w="40" w:type="dxa"/>
              <w:bottom w:w="40" w:type="dxa"/>
            </w:tcMar>
            <w:vAlign w:val="bottom"/>
          </w:tcPr>
          <w:p w14:paraId="606F757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7583" w14:textId="77777777">
        <w:tc>
          <w:tcPr>
            <w:tcW w:w="0" w:type="auto"/>
            <w:shd w:val="clear" w:color="auto" w:fill="auto"/>
            <w:tcMar>
              <w:top w:w="40" w:type="dxa"/>
              <w:left w:w="40" w:type="dxa"/>
              <w:bottom w:w="40" w:type="dxa"/>
              <w:right w:w="40" w:type="dxa"/>
            </w:tcMar>
            <w:vAlign w:val="bottom"/>
          </w:tcPr>
          <w:p w14:paraId="606F75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758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shd w:val="clear" w:color="auto" w:fill="auto"/>
            <w:tcMar>
              <w:top w:w="40" w:type="dxa"/>
              <w:left w:w="40" w:type="dxa"/>
              <w:bottom w:w="40" w:type="dxa"/>
              <w:right w:w="40" w:type="dxa"/>
            </w:tcMar>
            <w:vAlign w:val="bottom"/>
          </w:tcPr>
          <w:p w14:paraId="606F758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58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58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584"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2"/>
            <w:shd w:val="clear" w:color="auto" w:fill="auto"/>
            <w:tcMar>
              <w:top w:w="40" w:type="dxa"/>
              <w:left w:w="40" w:type="dxa"/>
              <w:bottom w:w="40" w:type="dxa"/>
            </w:tcMar>
            <w:vAlign w:val="bottom"/>
          </w:tcPr>
          <w:p w14:paraId="606F758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606F7586"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58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tcBorders>
              <w:bottom w:val="single" w:sz="8" w:space="0" w:color="E87722"/>
            </w:tcBorders>
            <w:shd w:val="clear" w:color="auto" w:fill="auto"/>
            <w:vAlign w:val="bottom"/>
          </w:tcPr>
          <w:p w14:paraId="606F7588"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58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758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606F758B"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58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tcBorders>
              <w:bottom w:val="single" w:sz="8" w:space="0" w:color="E87722"/>
            </w:tcBorders>
            <w:shd w:val="clear" w:color="auto" w:fill="auto"/>
            <w:vAlign w:val="bottom"/>
          </w:tcPr>
          <w:p w14:paraId="606F758D" w14:textId="77777777" w:rsidR="00FB67F9" w:rsidRDefault="00FB67F9">
            <w:pPr>
              <w:textAlignment w:val="bottom"/>
              <w:rPr>
                <w:rFonts w:ascii="Times New Roman" w:hAnsi="Times New Roman"/>
                <w:sz w:val="20"/>
                <w:szCs w:val="20"/>
              </w:rPr>
            </w:pPr>
          </w:p>
        </w:tc>
      </w:tr>
      <w:tr w:rsidR="00FB67F9" w14:paraId="606F759D" w14:textId="77777777">
        <w:tc>
          <w:tcPr>
            <w:tcW w:w="0" w:type="auto"/>
            <w:shd w:val="clear" w:color="auto" w:fill="auto"/>
            <w:tcMar>
              <w:top w:w="40" w:type="dxa"/>
              <w:left w:w="40" w:type="dxa"/>
              <w:bottom w:w="40" w:type="dxa"/>
              <w:right w:w="40" w:type="dxa"/>
            </w:tcMar>
            <w:vAlign w:val="bottom"/>
          </w:tcPr>
          <w:p w14:paraId="606F758F"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E87722"/>
            </w:tcBorders>
            <w:shd w:val="clear" w:color="auto" w:fill="FFF1E7"/>
            <w:tcMar>
              <w:top w:w="40" w:type="dxa"/>
              <w:left w:w="40" w:type="dxa"/>
              <w:bottom w:w="40" w:type="dxa"/>
            </w:tcMar>
            <w:vAlign w:val="bottom"/>
          </w:tcPr>
          <w:p w14:paraId="606F759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759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20,986</w:t>
            </w:r>
          </w:p>
        </w:tc>
        <w:tc>
          <w:tcPr>
            <w:tcW w:w="0" w:type="auto"/>
            <w:tcBorders>
              <w:top w:val="single" w:sz="8" w:space="0" w:color="E87722"/>
            </w:tcBorders>
            <w:shd w:val="clear" w:color="auto" w:fill="FFF1E7"/>
            <w:vAlign w:val="bottom"/>
          </w:tcPr>
          <w:p w14:paraId="606F7592"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FFF1E7"/>
            <w:tcMar>
              <w:top w:w="40" w:type="dxa"/>
              <w:left w:w="40" w:type="dxa"/>
              <w:bottom w:w="40" w:type="dxa"/>
            </w:tcMar>
            <w:vAlign w:val="bottom"/>
          </w:tcPr>
          <w:p w14:paraId="606F7593" w14:textId="77777777" w:rsidR="00FB67F9" w:rsidRDefault="00E839DF">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E87722"/>
            </w:tcBorders>
            <w:shd w:val="clear" w:color="auto" w:fill="FFF1E7"/>
            <w:tcMar>
              <w:top w:w="40" w:type="dxa"/>
              <w:bottom w:w="40" w:type="dxa"/>
            </w:tcMar>
            <w:vAlign w:val="bottom"/>
          </w:tcPr>
          <w:p w14:paraId="606F7594" w14:textId="77777777" w:rsidR="00FB67F9" w:rsidRDefault="00E839DF">
            <w:pPr>
              <w:jc w:val="right"/>
              <w:textAlignment w:val="bottom"/>
              <w:rPr>
                <w:rFonts w:ascii="Times New Roman" w:hAnsi="Times New Roman"/>
                <w:sz w:val="16"/>
                <w:szCs w:val="16"/>
              </w:rPr>
            </w:pPr>
            <w:r>
              <w:rPr>
                <w:rFonts w:ascii="Arial" w:eastAsia="宋体" w:hAnsi="Arial" w:cs="Arial"/>
                <w:sz w:val="16"/>
                <w:szCs w:val="16"/>
              </w:rPr>
              <w:t>9</w:t>
            </w:r>
          </w:p>
        </w:tc>
        <w:tc>
          <w:tcPr>
            <w:tcW w:w="0" w:type="auto"/>
            <w:tcBorders>
              <w:top w:val="single" w:sz="8" w:space="0" w:color="E87722"/>
            </w:tcBorders>
            <w:shd w:val="clear" w:color="auto" w:fill="FFF1E7"/>
            <w:vAlign w:val="bottom"/>
          </w:tcPr>
          <w:p w14:paraId="606F7595"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59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tcMar>
            <w:vAlign w:val="bottom"/>
          </w:tcPr>
          <w:p w14:paraId="606F759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759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19,322</w:t>
            </w:r>
          </w:p>
        </w:tc>
        <w:tc>
          <w:tcPr>
            <w:tcW w:w="0" w:type="auto"/>
            <w:tcBorders>
              <w:top w:val="single" w:sz="8" w:space="0" w:color="E87722"/>
            </w:tcBorders>
            <w:shd w:val="clear" w:color="auto" w:fill="auto"/>
            <w:vAlign w:val="bottom"/>
          </w:tcPr>
          <w:p w14:paraId="606F759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59A" w14:textId="77777777" w:rsidR="00FB67F9" w:rsidRDefault="00E839DF">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59B" w14:textId="77777777" w:rsidR="00FB67F9" w:rsidRDefault="00E839DF">
            <w:pPr>
              <w:jc w:val="right"/>
              <w:textAlignment w:val="bottom"/>
              <w:rPr>
                <w:rFonts w:ascii="Times New Roman" w:hAnsi="Times New Roman"/>
                <w:sz w:val="16"/>
                <w:szCs w:val="16"/>
              </w:rPr>
            </w:pPr>
            <w:r>
              <w:rPr>
                <w:rFonts w:ascii="Arial" w:eastAsia="宋体" w:hAnsi="Arial" w:cs="Arial"/>
                <w:sz w:val="16"/>
                <w:szCs w:val="16"/>
              </w:rPr>
              <w:t>8</w:t>
            </w:r>
          </w:p>
        </w:tc>
        <w:tc>
          <w:tcPr>
            <w:tcW w:w="0" w:type="auto"/>
            <w:tcBorders>
              <w:top w:val="single" w:sz="8" w:space="0" w:color="E87722"/>
              <w:bottom w:val="single" w:sz="8" w:space="0" w:color="808080"/>
            </w:tcBorders>
            <w:shd w:val="clear" w:color="auto" w:fill="auto"/>
            <w:vAlign w:val="bottom"/>
          </w:tcPr>
          <w:p w14:paraId="606F759C" w14:textId="77777777" w:rsidR="00FB67F9" w:rsidRDefault="00FB67F9">
            <w:pPr>
              <w:textAlignment w:val="bottom"/>
              <w:rPr>
                <w:rFonts w:ascii="Times New Roman" w:hAnsi="Times New Roman"/>
                <w:sz w:val="20"/>
                <w:szCs w:val="20"/>
              </w:rPr>
            </w:pPr>
          </w:p>
        </w:tc>
      </w:tr>
      <w:tr w:rsidR="00FB67F9" w14:paraId="606F75A8"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59E" w14:textId="77777777" w:rsidR="00FB67F9" w:rsidRDefault="00E839DF">
            <w:pPr>
              <w:textAlignment w:val="bottom"/>
              <w:rPr>
                <w:rFonts w:ascii="Times New Roman" w:hAnsi="Times New Roman"/>
                <w:sz w:val="17"/>
                <w:szCs w:val="17"/>
              </w:rPr>
            </w:pPr>
            <w:r>
              <w:rPr>
                <w:rFonts w:ascii="Arial" w:eastAsia="宋体" w:hAnsi="Arial" w:cs="Arial"/>
                <w:sz w:val="17"/>
                <w:szCs w:val="17"/>
              </w:rPr>
              <w:t>Cost of sales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9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11,571</w:t>
            </w:r>
          </w:p>
        </w:tc>
        <w:tc>
          <w:tcPr>
            <w:tcW w:w="0" w:type="auto"/>
            <w:tcBorders>
              <w:top w:val="single" w:sz="8" w:space="0" w:color="808080"/>
              <w:bottom w:val="single" w:sz="8" w:space="0" w:color="808080"/>
            </w:tcBorders>
            <w:shd w:val="clear" w:color="auto" w:fill="FFF1E7"/>
            <w:vAlign w:val="bottom"/>
          </w:tcPr>
          <w:p w14:paraId="606F75A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A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177</w:t>
            </w:r>
          </w:p>
        </w:tc>
        <w:tc>
          <w:tcPr>
            <w:tcW w:w="0" w:type="auto"/>
            <w:tcBorders>
              <w:top w:val="single" w:sz="8" w:space="0" w:color="808080"/>
              <w:bottom w:val="single" w:sz="8" w:space="0" w:color="808080"/>
            </w:tcBorders>
            <w:shd w:val="clear" w:color="auto" w:fill="FFF1E7"/>
            <w:vAlign w:val="bottom"/>
          </w:tcPr>
          <w:p w14:paraId="606F75A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5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A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10,820</w:t>
            </w:r>
          </w:p>
        </w:tc>
        <w:tc>
          <w:tcPr>
            <w:tcW w:w="0" w:type="auto"/>
            <w:tcBorders>
              <w:top w:val="single" w:sz="8" w:space="0" w:color="808080"/>
              <w:bottom w:val="single" w:sz="8" w:space="0" w:color="808080"/>
            </w:tcBorders>
            <w:shd w:val="clear" w:color="auto" w:fill="auto"/>
            <w:vAlign w:val="bottom"/>
          </w:tcPr>
          <w:p w14:paraId="606F75A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A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5A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5B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A9" w14:textId="77777777" w:rsidR="00FB67F9" w:rsidRDefault="00E839DF">
            <w:pPr>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A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1,899</w:t>
            </w:r>
          </w:p>
        </w:tc>
        <w:tc>
          <w:tcPr>
            <w:tcW w:w="0" w:type="auto"/>
            <w:tcBorders>
              <w:top w:val="single" w:sz="8" w:space="0" w:color="808080"/>
              <w:bottom w:val="single" w:sz="8" w:space="0" w:color="808080"/>
            </w:tcBorders>
            <w:shd w:val="clear" w:color="auto" w:fill="FFF1E7"/>
            <w:vAlign w:val="bottom"/>
          </w:tcPr>
          <w:p w14:paraId="606F75A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A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5A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A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A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1,874</w:t>
            </w:r>
          </w:p>
        </w:tc>
        <w:tc>
          <w:tcPr>
            <w:tcW w:w="0" w:type="auto"/>
            <w:tcBorders>
              <w:top w:val="single" w:sz="8" w:space="0" w:color="808080"/>
              <w:bottom w:val="single" w:sz="8" w:space="0" w:color="808080"/>
            </w:tcBorders>
            <w:shd w:val="clear" w:color="auto" w:fill="auto"/>
            <w:vAlign w:val="bottom"/>
          </w:tcPr>
          <w:p w14:paraId="606F75B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B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5B2" w14:textId="77777777" w:rsidR="00FB67F9" w:rsidRDefault="00FB67F9">
            <w:pPr>
              <w:textAlignment w:val="bottom"/>
              <w:rPr>
                <w:rFonts w:ascii="Times New Roman" w:hAnsi="Times New Roman"/>
                <w:sz w:val="20"/>
                <w:szCs w:val="20"/>
              </w:rPr>
            </w:pPr>
          </w:p>
        </w:tc>
      </w:tr>
      <w:tr w:rsidR="00FB67F9" w14:paraId="606F75B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B4"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(74</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5B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5B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77</w:t>
            </w:r>
          </w:p>
        </w:tc>
        <w:tc>
          <w:tcPr>
            <w:tcW w:w="0" w:type="auto"/>
            <w:tcBorders>
              <w:top w:val="single" w:sz="8" w:space="0" w:color="808080"/>
              <w:bottom w:val="single" w:sz="8" w:space="0" w:color="808080"/>
            </w:tcBorders>
            <w:shd w:val="clear" w:color="auto" w:fill="FFF1E7"/>
            <w:vAlign w:val="bottom"/>
          </w:tcPr>
          <w:p w14:paraId="606F75B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5B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vAlign w:val="bottom"/>
          </w:tcPr>
          <w:p w14:paraId="606F75B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5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5B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5C9"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5BF"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5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w:t>
            </w:r>
          </w:p>
        </w:tc>
        <w:tc>
          <w:tcPr>
            <w:tcW w:w="0" w:type="auto"/>
            <w:tcBorders>
              <w:bottom w:val="single" w:sz="8" w:space="0" w:color="E87722"/>
            </w:tcBorders>
            <w:shd w:val="clear" w:color="auto" w:fill="FFF1E7"/>
            <w:vAlign w:val="bottom"/>
          </w:tcPr>
          <w:p w14:paraId="606F75C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75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75C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5C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75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E87722"/>
            </w:tcBorders>
            <w:shd w:val="clear" w:color="auto" w:fill="auto"/>
            <w:vAlign w:val="bottom"/>
          </w:tcPr>
          <w:p w14:paraId="606F75C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75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75C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bl>
    <w:p w14:paraId="606F75CA" w14:textId="77777777" w:rsidR="00FB67F9" w:rsidRDefault="00FB67F9">
      <w:pPr>
        <w:spacing w:line="312" w:lineRule="auto"/>
        <w:rPr>
          <w:rFonts w:ascii="Times New Roman" w:hAnsi="Times New Roman"/>
          <w:sz w:val="20"/>
          <w:szCs w:val="20"/>
        </w:rPr>
      </w:pPr>
    </w:p>
    <w:p w14:paraId="606F75C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following tables present the amounts affecting the Unaudited Condensed Consolidated Statements of Income for the three and six </w:t>
      </w:r>
      <w:r>
        <w:rPr>
          <w:rFonts w:ascii="Arial" w:eastAsia="宋体" w:hAnsi="Arial" w:cs="Arial"/>
          <w:sz w:val="17"/>
          <w:szCs w:val="17"/>
        </w:rPr>
        <w:t>months ended November 30, 2019 and 2018:</w:t>
      </w:r>
    </w:p>
    <w:tbl>
      <w:tblPr>
        <w:tblW w:w="5000" w:type="pct"/>
        <w:tblCellMar>
          <w:left w:w="0" w:type="dxa"/>
          <w:right w:w="0" w:type="dxa"/>
        </w:tblCellMar>
        <w:tblLook w:val="04A0" w:firstRow="1" w:lastRow="0" w:firstColumn="1" w:lastColumn="0" w:noHBand="0" w:noVBand="1"/>
      </w:tblPr>
      <w:tblGrid>
        <w:gridCol w:w="2026"/>
        <w:gridCol w:w="136"/>
        <w:gridCol w:w="698"/>
        <w:gridCol w:w="98"/>
        <w:gridCol w:w="136"/>
        <w:gridCol w:w="698"/>
        <w:gridCol w:w="57"/>
        <w:gridCol w:w="130"/>
        <w:gridCol w:w="2335"/>
        <w:gridCol w:w="130"/>
        <w:gridCol w:w="135"/>
        <w:gridCol w:w="698"/>
        <w:gridCol w:w="97"/>
        <w:gridCol w:w="136"/>
        <w:gridCol w:w="698"/>
        <w:gridCol w:w="98"/>
      </w:tblGrid>
      <w:tr w:rsidR="00FB67F9" w14:paraId="606F75CD" w14:textId="77777777">
        <w:tc>
          <w:tcPr>
            <w:tcW w:w="0" w:type="auto"/>
            <w:gridSpan w:val="16"/>
            <w:shd w:val="clear" w:color="auto" w:fill="auto"/>
            <w:vAlign w:val="center"/>
          </w:tcPr>
          <w:p w14:paraId="606F75CC" w14:textId="77777777" w:rsidR="00FB67F9" w:rsidRDefault="00FB67F9">
            <w:pPr>
              <w:rPr>
                <w:rFonts w:ascii="Times New Roman" w:hAnsi="Times New Roman"/>
                <w:sz w:val="20"/>
                <w:szCs w:val="20"/>
              </w:rPr>
            </w:pPr>
          </w:p>
        </w:tc>
      </w:tr>
      <w:tr w:rsidR="00FB67F9" w14:paraId="606F75DE" w14:textId="77777777">
        <w:tc>
          <w:tcPr>
            <w:tcW w:w="1250" w:type="pct"/>
            <w:shd w:val="clear" w:color="auto" w:fill="auto"/>
            <w:vAlign w:val="center"/>
          </w:tcPr>
          <w:p w14:paraId="606F75CE" w14:textId="77777777" w:rsidR="00FB67F9" w:rsidRDefault="00FB67F9">
            <w:pPr>
              <w:rPr>
                <w:rFonts w:ascii="Times New Roman" w:hAnsi="Times New Roman"/>
                <w:sz w:val="20"/>
                <w:szCs w:val="20"/>
              </w:rPr>
            </w:pPr>
          </w:p>
        </w:tc>
        <w:tc>
          <w:tcPr>
            <w:tcW w:w="50" w:type="pct"/>
            <w:shd w:val="clear" w:color="auto" w:fill="auto"/>
            <w:vAlign w:val="center"/>
          </w:tcPr>
          <w:p w14:paraId="606F75CF" w14:textId="77777777" w:rsidR="00FB67F9" w:rsidRDefault="00FB67F9">
            <w:pPr>
              <w:rPr>
                <w:rFonts w:ascii="Times New Roman" w:hAnsi="Times New Roman"/>
                <w:sz w:val="20"/>
                <w:szCs w:val="20"/>
              </w:rPr>
            </w:pPr>
          </w:p>
        </w:tc>
        <w:tc>
          <w:tcPr>
            <w:tcW w:w="450" w:type="pct"/>
            <w:shd w:val="clear" w:color="auto" w:fill="auto"/>
            <w:vAlign w:val="center"/>
          </w:tcPr>
          <w:p w14:paraId="606F75D0" w14:textId="77777777" w:rsidR="00FB67F9" w:rsidRDefault="00FB67F9">
            <w:pPr>
              <w:rPr>
                <w:rFonts w:ascii="Times New Roman" w:hAnsi="Times New Roman"/>
                <w:sz w:val="20"/>
                <w:szCs w:val="20"/>
              </w:rPr>
            </w:pPr>
          </w:p>
        </w:tc>
        <w:tc>
          <w:tcPr>
            <w:tcW w:w="50" w:type="pct"/>
            <w:shd w:val="clear" w:color="auto" w:fill="auto"/>
            <w:vAlign w:val="center"/>
          </w:tcPr>
          <w:p w14:paraId="606F75D1" w14:textId="77777777" w:rsidR="00FB67F9" w:rsidRDefault="00FB67F9">
            <w:pPr>
              <w:rPr>
                <w:rFonts w:ascii="Times New Roman" w:hAnsi="Times New Roman"/>
                <w:sz w:val="20"/>
                <w:szCs w:val="20"/>
              </w:rPr>
            </w:pPr>
          </w:p>
        </w:tc>
        <w:tc>
          <w:tcPr>
            <w:tcW w:w="50" w:type="pct"/>
            <w:shd w:val="clear" w:color="auto" w:fill="auto"/>
            <w:vAlign w:val="center"/>
          </w:tcPr>
          <w:p w14:paraId="606F75D2" w14:textId="77777777" w:rsidR="00FB67F9" w:rsidRDefault="00FB67F9">
            <w:pPr>
              <w:rPr>
                <w:rFonts w:ascii="Times New Roman" w:hAnsi="Times New Roman"/>
                <w:sz w:val="20"/>
                <w:szCs w:val="20"/>
              </w:rPr>
            </w:pPr>
          </w:p>
        </w:tc>
        <w:tc>
          <w:tcPr>
            <w:tcW w:w="450" w:type="pct"/>
            <w:shd w:val="clear" w:color="auto" w:fill="auto"/>
            <w:vAlign w:val="center"/>
          </w:tcPr>
          <w:p w14:paraId="606F75D3" w14:textId="77777777" w:rsidR="00FB67F9" w:rsidRDefault="00FB67F9">
            <w:pPr>
              <w:rPr>
                <w:rFonts w:ascii="Times New Roman" w:hAnsi="Times New Roman"/>
                <w:sz w:val="20"/>
                <w:szCs w:val="20"/>
              </w:rPr>
            </w:pPr>
          </w:p>
        </w:tc>
        <w:tc>
          <w:tcPr>
            <w:tcW w:w="50" w:type="pct"/>
            <w:shd w:val="clear" w:color="auto" w:fill="auto"/>
            <w:vAlign w:val="center"/>
          </w:tcPr>
          <w:p w14:paraId="606F75D4" w14:textId="77777777" w:rsidR="00FB67F9" w:rsidRDefault="00FB67F9">
            <w:pPr>
              <w:rPr>
                <w:rFonts w:ascii="Times New Roman" w:hAnsi="Times New Roman"/>
                <w:sz w:val="20"/>
                <w:szCs w:val="20"/>
              </w:rPr>
            </w:pPr>
          </w:p>
        </w:tc>
        <w:tc>
          <w:tcPr>
            <w:tcW w:w="50" w:type="pct"/>
            <w:shd w:val="clear" w:color="auto" w:fill="auto"/>
            <w:vAlign w:val="center"/>
          </w:tcPr>
          <w:p w14:paraId="606F75D5" w14:textId="77777777" w:rsidR="00FB67F9" w:rsidRDefault="00FB67F9">
            <w:pPr>
              <w:rPr>
                <w:rFonts w:ascii="Times New Roman" w:hAnsi="Times New Roman"/>
                <w:sz w:val="20"/>
                <w:szCs w:val="20"/>
              </w:rPr>
            </w:pPr>
          </w:p>
        </w:tc>
        <w:tc>
          <w:tcPr>
            <w:tcW w:w="1450" w:type="pct"/>
            <w:shd w:val="clear" w:color="auto" w:fill="auto"/>
            <w:vAlign w:val="center"/>
          </w:tcPr>
          <w:p w14:paraId="606F75D6" w14:textId="77777777" w:rsidR="00FB67F9" w:rsidRDefault="00FB67F9">
            <w:pPr>
              <w:rPr>
                <w:rFonts w:ascii="Times New Roman" w:hAnsi="Times New Roman"/>
                <w:sz w:val="20"/>
                <w:szCs w:val="20"/>
              </w:rPr>
            </w:pPr>
          </w:p>
        </w:tc>
        <w:tc>
          <w:tcPr>
            <w:tcW w:w="50" w:type="pct"/>
            <w:shd w:val="clear" w:color="auto" w:fill="auto"/>
            <w:vAlign w:val="center"/>
          </w:tcPr>
          <w:p w14:paraId="606F75D7" w14:textId="77777777" w:rsidR="00FB67F9" w:rsidRDefault="00FB67F9">
            <w:pPr>
              <w:rPr>
                <w:rFonts w:ascii="Times New Roman" w:hAnsi="Times New Roman"/>
                <w:sz w:val="20"/>
                <w:szCs w:val="20"/>
              </w:rPr>
            </w:pPr>
          </w:p>
        </w:tc>
        <w:tc>
          <w:tcPr>
            <w:tcW w:w="50" w:type="pct"/>
            <w:shd w:val="clear" w:color="auto" w:fill="auto"/>
            <w:vAlign w:val="center"/>
          </w:tcPr>
          <w:p w14:paraId="606F75D8" w14:textId="77777777" w:rsidR="00FB67F9" w:rsidRDefault="00FB67F9">
            <w:pPr>
              <w:rPr>
                <w:rFonts w:ascii="Times New Roman" w:hAnsi="Times New Roman"/>
                <w:sz w:val="20"/>
                <w:szCs w:val="20"/>
              </w:rPr>
            </w:pPr>
          </w:p>
        </w:tc>
        <w:tc>
          <w:tcPr>
            <w:tcW w:w="450" w:type="pct"/>
            <w:shd w:val="clear" w:color="auto" w:fill="auto"/>
            <w:vAlign w:val="center"/>
          </w:tcPr>
          <w:p w14:paraId="606F75D9" w14:textId="77777777" w:rsidR="00FB67F9" w:rsidRDefault="00FB67F9">
            <w:pPr>
              <w:rPr>
                <w:rFonts w:ascii="Times New Roman" w:hAnsi="Times New Roman"/>
                <w:sz w:val="20"/>
                <w:szCs w:val="20"/>
              </w:rPr>
            </w:pPr>
          </w:p>
        </w:tc>
        <w:tc>
          <w:tcPr>
            <w:tcW w:w="50" w:type="pct"/>
            <w:shd w:val="clear" w:color="auto" w:fill="auto"/>
            <w:vAlign w:val="center"/>
          </w:tcPr>
          <w:p w14:paraId="606F75DA" w14:textId="77777777" w:rsidR="00FB67F9" w:rsidRDefault="00FB67F9">
            <w:pPr>
              <w:rPr>
                <w:rFonts w:ascii="Times New Roman" w:hAnsi="Times New Roman"/>
                <w:sz w:val="20"/>
                <w:szCs w:val="20"/>
              </w:rPr>
            </w:pPr>
          </w:p>
        </w:tc>
        <w:tc>
          <w:tcPr>
            <w:tcW w:w="50" w:type="pct"/>
            <w:shd w:val="clear" w:color="auto" w:fill="auto"/>
            <w:vAlign w:val="center"/>
          </w:tcPr>
          <w:p w14:paraId="606F75DB" w14:textId="77777777" w:rsidR="00FB67F9" w:rsidRDefault="00FB67F9">
            <w:pPr>
              <w:rPr>
                <w:rFonts w:ascii="Times New Roman" w:hAnsi="Times New Roman"/>
                <w:sz w:val="20"/>
                <w:szCs w:val="20"/>
              </w:rPr>
            </w:pPr>
          </w:p>
        </w:tc>
        <w:tc>
          <w:tcPr>
            <w:tcW w:w="450" w:type="pct"/>
            <w:shd w:val="clear" w:color="auto" w:fill="auto"/>
            <w:vAlign w:val="center"/>
          </w:tcPr>
          <w:p w14:paraId="606F75DC" w14:textId="77777777" w:rsidR="00FB67F9" w:rsidRDefault="00FB67F9">
            <w:pPr>
              <w:rPr>
                <w:rFonts w:ascii="Times New Roman" w:hAnsi="Times New Roman"/>
                <w:sz w:val="20"/>
                <w:szCs w:val="20"/>
              </w:rPr>
            </w:pPr>
          </w:p>
        </w:tc>
        <w:tc>
          <w:tcPr>
            <w:tcW w:w="50" w:type="pct"/>
            <w:shd w:val="clear" w:color="auto" w:fill="auto"/>
            <w:vAlign w:val="center"/>
          </w:tcPr>
          <w:p w14:paraId="606F75DD" w14:textId="77777777" w:rsidR="00FB67F9" w:rsidRDefault="00FB67F9">
            <w:pPr>
              <w:rPr>
                <w:rFonts w:ascii="Times New Roman" w:hAnsi="Times New Roman"/>
                <w:sz w:val="20"/>
                <w:szCs w:val="20"/>
              </w:rPr>
            </w:pPr>
          </w:p>
        </w:tc>
      </w:tr>
      <w:tr w:rsidR="00FB67F9" w14:paraId="606F75E4" w14:textId="77777777">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606F75DF" w14:textId="77777777" w:rsidR="00FB67F9" w:rsidRDefault="00FB67F9">
            <w:pPr>
              <w:textAlignment w:val="bottom"/>
              <w:rPr>
                <w:rFonts w:ascii="Times New Roman" w:hAnsi="Times New Roman"/>
                <w:sz w:val="17"/>
                <w:szCs w:val="17"/>
              </w:rPr>
            </w:pPr>
          </w:p>
          <w:p w14:paraId="606F75E0"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40" w:type="dxa"/>
              <w:bottom w:w="40" w:type="dxa"/>
            </w:tcMar>
            <w:vAlign w:val="bottom"/>
          </w:tcPr>
          <w:p w14:paraId="606F75E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15"/>
                <w:szCs w:val="15"/>
              </w:rPr>
              <w:t>(1)</w:t>
            </w:r>
          </w:p>
        </w:tc>
        <w:tc>
          <w:tcPr>
            <w:tcW w:w="0" w:type="auto"/>
            <w:shd w:val="clear" w:color="auto" w:fill="auto"/>
            <w:tcMar>
              <w:top w:w="40" w:type="dxa"/>
              <w:left w:w="40" w:type="dxa"/>
              <w:bottom w:w="40" w:type="dxa"/>
              <w:right w:w="40" w:type="dxa"/>
            </w:tcMar>
            <w:vAlign w:val="bottom"/>
          </w:tcPr>
          <w:p w14:paraId="606F75E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606F75E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RECLASSIFIED FROM ACCUMULATED </w:t>
            </w:r>
            <w:r>
              <w:rPr>
                <w:rFonts w:ascii="sans-serif" w:eastAsia="sans-serif" w:hAnsi="sans-serif" w:cs="sans-serif"/>
                <w:b/>
                <w:bCs/>
                <w:color w:val="000000"/>
                <w:sz w:val="17"/>
                <w:szCs w:val="17"/>
              </w:rPr>
              <w:br/>
              <w:t xml:space="preserve">OTHER COMPREHENSIVE </w:t>
            </w:r>
            <w:r>
              <w:rPr>
                <w:rFonts w:ascii="sans-serif" w:eastAsia="sans-serif" w:hAnsi="sans-serif" w:cs="sans-serif"/>
                <w:b/>
                <w:bCs/>
                <w:color w:val="000000"/>
                <w:sz w:val="17"/>
                <w:szCs w:val="17"/>
              </w:rPr>
              <w:br/>
              <w:t>INCOME (LOSS) INTO INCOME</w:t>
            </w:r>
            <w:r>
              <w:rPr>
                <w:rFonts w:ascii="sans-serif" w:eastAsia="sans-serif" w:hAnsi="sans-serif" w:cs="sans-serif"/>
                <w:b/>
                <w:bCs/>
                <w:color w:val="000000"/>
                <w:sz w:val="15"/>
                <w:szCs w:val="15"/>
              </w:rPr>
              <w:t>(1)</w:t>
            </w:r>
          </w:p>
        </w:tc>
      </w:tr>
      <w:tr w:rsidR="00FB67F9" w14:paraId="606F75EB" w14:textId="77777777">
        <w:tc>
          <w:tcPr>
            <w:tcW w:w="0" w:type="auto"/>
            <w:vMerge/>
            <w:tcBorders>
              <w:bottom w:val="single" w:sz="8" w:space="0" w:color="E87722"/>
            </w:tcBorders>
            <w:shd w:val="clear" w:color="auto" w:fill="auto"/>
            <w:tcMar>
              <w:top w:w="40" w:type="dxa"/>
              <w:left w:w="40" w:type="dxa"/>
              <w:bottom w:w="40" w:type="dxa"/>
              <w:right w:w="40" w:type="dxa"/>
            </w:tcMar>
            <w:vAlign w:val="bottom"/>
          </w:tcPr>
          <w:p w14:paraId="606F75E5" w14:textId="77777777" w:rsidR="00FB67F9" w:rsidRDefault="00FB67F9">
            <w:pPr>
              <w:rPr>
                <w:rFonts w:ascii="Times New Roman" w:hAnsi="Times New Roman"/>
                <w:sz w:val="20"/>
                <w:szCs w:val="20"/>
              </w:rPr>
            </w:pP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5E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75E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5E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5E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5E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r>
      <w:tr w:rsidR="00FB67F9" w14:paraId="606F75F4" w14:textId="77777777">
        <w:tc>
          <w:tcPr>
            <w:tcW w:w="0" w:type="auto"/>
            <w:vMerge/>
            <w:tcBorders>
              <w:bottom w:val="single" w:sz="8" w:space="0" w:color="E87722"/>
            </w:tcBorders>
            <w:shd w:val="clear" w:color="auto" w:fill="auto"/>
            <w:tcMar>
              <w:top w:w="40" w:type="dxa"/>
              <w:left w:w="40" w:type="dxa"/>
              <w:bottom w:w="40" w:type="dxa"/>
              <w:right w:w="40" w:type="dxa"/>
            </w:tcMar>
            <w:vAlign w:val="bottom"/>
          </w:tcPr>
          <w:p w14:paraId="606F75EC" w14:textId="77777777" w:rsidR="00FB67F9" w:rsidRDefault="00FB67F9">
            <w:pPr>
              <w:rPr>
                <w:rFonts w:ascii="Times New Roman" w:hAnsi="Times New Roman"/>
                <w:sz w:val="20"/>
                <w:szCs w:val="20"/>
              </w:rPr>
            </w:pP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5E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5E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5E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5F0" w14:textId="77777777" w:rsidR="00FB67F9" w:rsidRDefault="00FB67F9">
            <w:pPr>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5F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5F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5F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5FD" w14:textId="77777777">
        <w:tc>
          <w:tcPr>
            <w:tcW w:w="0" w:type="auto"/>
            <w:shd w:val="clear" w:color="auto" w:fill="auto"/>
            <w:tcMar>
              <w:top w:w="40" w:type="dxa"/>
              <w:left w:w="40" w:type="dxa"/>
              <w:bottom w:w="40" w:type="dxa"/>
              <w:right w:w="40" w:type="dxa"/>
            </w:tcMar>
            <w:vAlign w:val="bottom"/>
          </w:tcPr>
          <w:p w14:paraId="606F75F5"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sz w:val="17"/>
                <w:szCs w:val="17"/>
              </w:rPr>
              <w:t>cash flow hedges:</w:t>
            </w:r>
          </w:p>
        </w:tc>
        <w:tc>
          <w:tcPr>
            <w:tcW w:w="0" w:type="auto"/>
            <w:gridSpan w:val="3"/>
            <w:shd w:val="clear" w:color="auto" w:fill="FFF1E7"/>
            <w:tcMar>
              <w:top w:w="40" w:type="dxa"/>
              <w:left w:w="40" w:type="dxa"/>
              <w:bottom w:w="40" w:type="dxa"/>
              <w:right w:w="40" w:type="dxa"/>
            </w:tcMar>
            <w:vAlign w:val="bottom"/>
          </w:tcPr>
          <w:p w14:paraId="606F75F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5F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5F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5F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5F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5F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5F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60E"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5FE"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tcBorders>
              <w:top w:val="single" w:sz="8" w:space="0" w:color="808080"/>
            </w:tcBorders>
            <w:shd w:val="clear" w:color="auto" w:fill="FFF1E7"/>
            <w:tcMar>
              <w:top w:w="40" w:type="dxa"/>
              <w:left w:w="40" w:type="dxa"/>
              <w:bottom w:w="40" w:type="dxa"/>
            </w:tcMar>
            <w:vAlign w:val="bottom"/>
          </w:tcPr>
          <w:p w14:paraId="606F75F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60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(83</w:t>
            </w:r>
          </w:p>
        </w:tc>
        <w:tc>
          <w:tcPr>
            <w:tcW w:w="0" w:type="auto"/>
            <w:tcBorders>
              <w:top w:val="single" w:sz="8" w:space="0" w:color="808080"/>
            </w:tcBorders>
            <w:shd w:val="clear" w:color="auto" w:fill="FFF1E7"/>
            <w:tcMar>
              <w:top w:w="40" w:type="dxa"/>
              <w:bottom w:w="40" w:type="dxa"/>
              <w:right w:w="40" w:type="dxa"/>
            </w:tcMar>
            <w:vAlign w:val="bottom"/>
          </w:tcPr>
          <w:p w14:paraId="606F760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760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60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606F760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60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0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0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760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60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FFF1E7"/>
            <w:vAlign w:val="bottom"/>
          </w:tcPr>
          <w:p w14:paraId="606F760A"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60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60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606F760D" w14:textId="77777777" w:rsidR="00FB67F9" w:rsidRDefault="00FB67F9">
            <w:pPr>
              <w:textAlignment w:val="bottom"/>
              <w:rPr>
                <w:rFonts w:ascii="Times New Roman" w:hAnsi="Times New Roman"/>
                <w:sz w:val="20"/>
                <w:szCs w:val="20"/>
              </w:rPr>
            </w:pPr>
          </w:p>
        </w:tc>
      </w:tr>
      <w:tr w:rsidR="00FB67F9" w14:paraId="606F761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60F"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tcBorders>
            <w:shd w:val="clear" w:color="auto" w:fill="FFF1E7"/>
            <w:tcMar>
              <w:top w:w="40" w:type="dxa"/>
              <w:left w:w="40" w:type="dxa"/>
              <w:bottom w:w="40" w:type="dxa"/>
            </w:tcMar>
            <w:vAlign w:val="bottom"/>
          </w:tcPr>
          <w:p w14:paraId="606F761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w:t>
            </w:r>
          </w:p>
        </w:tc>
        <w:tc>
          <w:tcPr>
            <w:tcW w:w="0" w:type="auto"/>
            <w:tcBorders>
              <w:top w:val="single" w:sz="8" w:space="0" w:color="808080"/>
            </w:tcBorders>
            <w:shd w:val="clear" w:color="auto" w:fill="FFF1E7"/>
            <w:vAlign w:val="bottom"/>
          </w:tcPr>
          <w:p w14:paraId="606F761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61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173</w:t>
            </w:r>
          </w:p>
        </w:tc>
        <w:tc>
          <w:tcPr>
            <w:tcW w:w="0" w:type="auto"/>
            <w:tcBorders>
              <w:top w:val="single" w:sz="8" w:space="0" w:color="808080"/>
            </w:tcBorders>
            <w:shd w:val="clear" w:color="auto" w:fill="auto"/>
            <w:vAlign w:val="bottom"/>
          </w:tcPr>
          <w:p w14:paraId="606F761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61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1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Cost of sales</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1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61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w:t>
            </w:r>
          </w:p>
        </w:tc>
        <w:tc>
          <w:tcPr>
            <w:tcW w:w="0" w:type="auto"/>
            <w:tcBorders>
              <w:top w:val="single" w:sz="8" w:space="0" w:color="808080"/>
            </w:tcBorders>
            <w:shd w:val="clear" w:color="auto" w:fill="FFF1E7"/>
            <w:vAlign w:val="bottom"/>
          </w:tcPr>
          <w:p w14:paraId="606F761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61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vAlign w:val="bottom"/>
          </w:tcPr>
          <w:p w14:paraId="606F761A" w14:textId="77777777" w:rsidR="00FB67F9" w:rsidRDefault="00FB67F9">
            <w:pPr>
              <w:textAlignment w:val="bottom"/>
              <w:rPr>
                <w:rFonts w:ascii="Times New Roman" w:hAnsi="Times New Roman"/>
                <w:sz w:val="20"/>
                <w:szCs w:val="20"/>
              </w:rPr>
            </w:pPr>
          </w:p>
        </w:tc>
      </w:tr>
      <w:tr w:rsidR="00FB67F9" w14:paraId="606F7628" w14:textId="77777777">
        <w:tc>
          <w:tcPr>
            <w:tcW w:w="0" w:type="auto"/>
            <w:tcBorders>
              <w:top w:val="single" w:sz="8" w:space="0" w:color="808080"/>
            </w:tcBorders>
            <w:shd w:val="clear" w:color="auto" w:fill="auto"/>
            <w:tcMar>
              <w:top w:w="40" w:type="dxa"/>
              <w:left w:w="240" w:type="dxa"/>
              <w:bottom w:w="40" w:type="dxa"/>
              <w:right w:w="40" w:type="dxa"/>
            </w:tcMar>
            <w:vAlign w:val="center"/>
          </w:tcPr>
          <w:p w14:paraId="606F761C" w14:textId="77777777" w:rsidR="00FB67F9" w:rsidRDefault="00E839DF">
            <w:pPr>
              <w:textAlignment w:val="center"/>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tcBorders>
            <w:shd w:val="clear" w:color="auto" w:fill="FFF1E7"/>
            <w:tcMar>
              <w:top w:w="40" w:type="dxa"/>
              <w:left w:w="40" w:type="dxa"/>
              <w:bottom w:w="40" w:type="dxa"/>
            </w:tcMar>
            <w:vAlign w:val="bottom"/>
          </w:tcPr>
          <w:p w14:paraId="606F76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61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61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62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62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2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2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62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FFF1E7"/>
            <w:tcMar>
              <w:top w:w="40" w:type="dxa"/>
              <w:bottom w:w="40" w:type="dxa"/>
              <w:right w:w="40" w:type="dxa"/>
            </w:tcMar>
            <w:vAlign w:val="bottom"/>
          </w:tcPr>
          <w:p w14:paraId="606F762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762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627" w14:textId="77777777" w:rsidR="00FB67F9" w:rsidRDefault="00FB67F9">
            <w:pPr>
              <w:textAlignment w:val="bottom"/>
              <w:rPr>
                <w:rFonts w:ascii="Times New Roman" w:hAnsi="Times New Roman"/>
                <w:sz w:val="20"/>
                <w:szCs w:val="20"/>
              </w:rPr>
            </w:pPr>
          </w:p>
        </w:tc>
      </w:tr>
      <w:tr w:rsidR="00FB67F9" w14:paraId="606F763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629"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62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w:t>
            </w:r>
          </w:p>
        </w:tc>
        <w:tc>
          <w:tcPr>
            <w:tcW w:w="0" w:type="auto"/>
            <w:tcBorders>
              <w:top w:val="single" w:sz="8" w:space="0" w:color="808080"/>
              <w:bottom w:val="single" w:sz="8" w:space="0" w:color="808080"/>
            </w:tcBorders>
            <w:shd w:val="clear" w:color="auto" w:fill="FFF1E7"/>
            <w:vAlign w:val="bottom"/>
          </w:tcPr>
          <w:p w14:paraId="606F762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62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79</w:t>
            </w:r>
          </w:p>
        </w:tc>
        <w:tc>
          <w:tcPr>
            <w:tcW w:w="0" w:type="auto"/>
            <w:tcBorders>
              <w:top w:val="single" w:sz="8" w:space="0" w:color="808080"/>
              <w:bottom w:val="single" w:sz="8" w:space="0" w:color="808080"/>
            </w:tcBorders>
            <w:shd w:val="clear" w:color="auto" w:fill="auto"/>
            <w:vAlign w:val="bottom"/>
          </w:tcPr>
          <w:p w14:paraId="606F762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62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62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63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6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top w:val="single" w:sz="8" w:space="0" w:color="808080"/>
              <w:bottom w:val="single" w:sz="8" w:space="0" w:color="808080"/>
            </w:tcBorders>
            <w:shd w:val="clear" w:color="auto" w:fill="FFF1E7"/>
            <w:vAlign w:val="bottom"/>
          </w:tcPr>
          <w:p w14:paraId="606F763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6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634" w14:textId="77777777" w:rsidR="00FB67F9" w:rsidRDefault="00FB67F9">
            <w:pPr>
              <w:textAlignment w:val="bottom"/>
              <w:rPr>
                <w:rFonts w:ascii="Times New Roman" w:hAnsi="Times New Roman"/>
                <w:sz w:val="20"/>
                <w:szCs w:val="20"/>
              </w:rPr>
            </w:pPr>
          </w:p>
        </w:tc>
      </w:tr>
      <w:tr w:rsidR="00FB67F9" w14:paraId="606F7642" w14:textId="77777777">
        <w:tc>
          <w:tcPr>
            <w:tcW w:w="0" w:type="auto"/>
            <w:shd w:val="clear" w:color="auto" w:fill="auto"/>
            <w:tcMar>
              <w:top w:w="40" w:type="dxa"/>
              <w:left w:w="240" w:type="dxa"/>
              <w:bottom w:w="40" w:type="dxa"/>
              <w:right w:w="40" w:type="dxa"/>
            </w:tcMar>
            <w:vAlign w:val="bottom"/>
          </w:tcPr>
          <w:p w14:paraId="606F7636"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rate swaps</w:t>
            </w:r>
            <w:r>
              <w:rPr>
                <w:rFonts w:ascii="Arial" w:eastAsia="宋体" w:hAnsi="Arial" w:cs="Arial"/>
                <w:sz w:val="15"/>
                <w:szCs w:val="15"/>
              </w:rPr>
              <w:t>(2)</w:t>
            </w:r>
          </w:p>
        </w:tc>
        <w:tc>
          <w:tcPr>
            <w:tcW w:w="0" w:type="auto"/>
            <w:gridSpan w:val="2"/>
            <w:shd w:val="clear" w:color="auto" w:fill="FFF1E7"/>
            <w:tcMar>
              <w:top w:w="40" w:type="dxa"/>
              <w:left w:w="40" w:type="dxa"/>
              <w:bottom w:w="40" w:type="dxa"/>
            </w:tcMar>
            <w:vAlign w:val="bottom"/>
          </w:tcPr>
          <w:p w14:paraId="606F76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63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63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63A"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63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63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shd w:val="clear" w:color="auto" w:fill="auto"/>
            <w:tcMar>
              <w:top w:w="40" w:type="dxa"/>
              <w:left w:w="40" w:type="dxa"/>
              <w:bottom w:w="40" w:type="dxa"/>
              <w:right w:w="40" w:type="dxa"/>
            </w:tcMar>
            <w:vAlign w:val="bottom"/>
          </w:tcPr>
          <w:p w14:paraId="606F763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63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tcMar>
              <w:top w:w="40" w:type="dxa"/>
              <w:bottom w:w="40" w:type="dxa"/>
              <w:right w:w="40" w:type="dxa"/>
            </w:tcMar>
            <w:vAlign w:val="bottom"/>
          </w:tcPr>
          <w:p w14:paraId="606F763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764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606F764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65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4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xml:space="preserve">Total designated cash </w:t>
            </w:r>
            <w:r>
              <w:rPr>
                <w:rFonts w:ascii="Arial" w:eastAsia="宋体" w:hAnsi="Arial" w:cs="Arial"/>
                <w:b/>
                <w:bCs/>
                <w:sz w:val="17"/>
                <w:szCs w:val="17"/>
              </w:rPr>
              <w:br/>
              <w:t>flow hedges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64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64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764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64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64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255</w:t>
            </w:r>
          </w:p>
        </w:tc>
        <w:tc>
          <w:tcPr>
            <w:tcW w:w="0" w:type="auto"/>
            <w:tcBorders>
              <w:top w:val="single" w:sz="8" w:space="0" w:color="E87722"/>
              <w:bottom w:val="single" w:sz="8" w:space="0" w:color="E87722"/>
            </w:tcBorders>
            <w:shd w:val="clear" w:color="auto" w:fill="auto"/>
            <w:vAlign w:val="bottom"/>
          </w:tcPr>
          <w:p w14:paraId="606F764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4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4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4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64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64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130</w:t>
            </w:r>
          </w:p>
        </w:tc>
        <w:tc>
          <w:tcPr>
            <w:tcW w:w="0" w:type="auto"/>
            <w:tcBorders>
              <w:top w:val="single" w:sz="8" w:space="0" w:color="E87722"/>
              <w:bottom w:val="single" w:sz="8" w:space="0" w:color="E87722"/>
            </w:tcBorders>
            <w:shd w:val="clear" w:color="auto" w:fill="FFF1E7"/>
            <w:vAlign w:val="bottom"/>
          </w:tcPr>
          <w:p w14:paraId="606F764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65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65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w:t>
            </w:r>
          </w:p>
        </w:tc>
        <w:tc>
          <w:tcPr>
            <w:tcW w:w="0" w:type="auto"/>
            <w:tcBorders>
              <w:top w:val="single" w:sz="8" w:space="0" w:color="E87722"/>
              <w:bottom w:val="single" w:sz="8" w:space="0" w:color="E87722"/>
            </w:tcBorders>
            <w:shd w:val="clear" w:color="auto" w:fill="auto"/>
            <w:vAlign w:val="bottom"/>
          </w:tcPr>
          <w:p w14:paraId="606F7652" w14:textId="77777777" w:rsidR="00FB67F9" w:rsidRDefault="00FB67F9">
            <w:pPr>
              <w:textAlignment w:val="bottom"/>
              <w:rPr>
                <w:rFonts w:ascii="Times New Roman" w:hAnsi="Times New Roman"/>
                <w:sz w:val="20"/>
                <w:szCs w:val="20"/>
              </w:rPr>
            </w:pPr>
          </w:p>
        </w:tc>
      </w:tr>
    </w:tbl>
    <w:p w14:paraId="606F7654"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657" w14:textId="77777777">
        <w:trPr>
          <w:tblCellSpacing w:w="0" w:type="dxa"/>
        </w:trPr>
        <w:tc>
          <w:tcPr>
            <w:tcW w:w="480" w:type="dxa"/>
            <w:shd w:val="clear" w:color="auto" w:fill="auto"/>
            <w:vAlign w:val="center"/>
          </w:tcPr>
          <w:p w14:paraId="606F7655" w14:textId="77777777" w:rsidR="00FB67F9" w:rsidRDefault="00FB67F9">
            <w:pPr>
              <w:rPr>
                <w:rFonts w:ascii="Times New Roman" w:hAnsi="Times New Roman"/>
                <w:sz w:val="20"/>
                <w:szCs w:val="20"/>
              </w:rPr>
            </w:pPr>
          </w:p>
        </w:tc>
        <w:tc>
          <w:tcPr>
            <w:tcW w:w="0" w:type="auto"/>
            <w:shd w:val="clear" w:color="auto" w:fill="auto"/>
            <w:vAlign w:val="center"/>
          </w:tcPr>
          <w:p w14:paraId="606F7656" w14:textId="77777777" w:rsidR="00FB67F9" w:rsidRDefault="00FB67F9">
            <w:pPr>
              <w:rPr>
                <w:rFonts w:ascii="Times New Roman" w:hAnsi="Times New Roman"/>
                <w:sz w:val="20"/>
                <w:szCs w:val="20"/>
              </w:rPr>
            </w:pPr>
          </w:p>
        </w:tc>
      </w:tr>
      <w:tr w:rsidR="00FB67F9" w14:paraId="606F765A" w14:textId="77777777">
        <w:trPr>
          <w:tblCellSpacing w:w="0" w:type="dxa"/>
        </w:trPr>
        <w:tc>
          <w:tcPr>
            <w:tcW w:w="0" w:type="auto"/>
            <w:shd w:val="clear" w:color="auto" w:fill="auto"/>
          </w:tcPr>
          <w:p w14:paraId="606F765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659"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For the </w:t>
            </w:r>
            <w:r>
              <w:rPr>
                <w:rFonts w:ascii="Arial" w:eastAsia="宋体" w:hAnsi="Arial" w:cs="Arial"/>
                <w:i/>
                <w:iCs/>
                <w:sz w:val="14"/>
                <w:szCs w:val="14"/>
              </w:rPr>
              <w:t>three months ended November 30, 2019</w:t>
            </w:r>
            <w:r>
              <w:rPr>
                <w:rFonts w:ascii="Arial" w:eastAsia="宋体" w:hAnsi="Arial" w:cs="Arial"/>
                <w:i/>
                <w:iCs/>
                <w:color w:val="000000"/>
                <w:sz w:val="14"/>
                <w:szCs w:val="14"/>
              </w:rPr>
              <w:t xml:space="preserve"> and 2018, the amounts recorded in Other (income) expense, net as a result of the discontinuance of cash flow hedges because the forecasted transactions were no longer probable of occurring were immaterial.</w:t>
            </w:r>
          </w:p>
        </w:tc>
      </w:tr>
    </w:tbl>
    <w:p w14:paraId="606F765B"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65E" w14:textId="77777777">
        <w:trPr>
          <w:tblCellSpacing w:w="0" w:type="dxa"/>
        </w:trPr>
        <w:tc>
          <w:tcPr>
            <w:tcW w:w="480" w:type="dxa"/>
            <w:shd w:val="clear" w:color="auto" w:fill="auto"/>
            <w:vAlign w:val="center"/>
          </w:tcPr>
          <w:p w14:paraId="606F765C" w14:textId="77777777" w:rsidR="00FB67F9" w:rsidRDefault="00FB67F9">
            <w:pPr>
              <w:rPr>
                <w:rFonts w:ascii="Times New Roman" w:hAnsi="Times New Roman"/>
                <w:sz w:val="20"/>
                <w:szCs w:val="20"/>
              </w:rPr>
            </w:pPr>
          </w:p>
        </w:tc>
        <w:tc>
          <w:tcPr>
            <w:tcW w:w="0" w:type="auto"/>
            <w:shd w:val="clear" w:color="auto" w:fill="auto"/>
            <w:vAlign w:val="center"/>
          </w:tcPr>
          <w:p w14:paraId="606F765D" w14:textId="77777777" w:rsidR="00FB67F9" w:rsidRDefault="00FB67F9">
            <w:pPr>
              <w:rPr>
                <w:rFonts w:ascii="Times New Roman" w:hAnsi="Times New Roman"/>
                <w:sz w:val="20"/>
                <w:szCs w:val="20"/>
              </w:rPr>
            </w:pPr>
          </w:p>
        </w:tc>
      </w:tr>
      <w:tr w:rsidR="00FB67F9" w14:paraId="606F7661" w14:textId="77777777">
        <w:trPr>
          <w:tblCellSpacing w:w="0" w:type="dxa"/>
        </w:trPr>
        <w:tc>
          <w:tcPr>
            <w:tcW w:w="0" w:type="auto"/>
            <w:shd w:val="clear" w:color="auto" w:fill="auto"/>
          </w:tcPr>
          <w:p w14:paraId="606F765F"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606F7660"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Gains and losses associated with termina</w:t>
            </w:r>
            <w:r>
              <w:rPr>
                <w:rFonts w:ascii="Arial" w:eastAsia="宋体" w:hAnsi="Arial" w:cs="Arial"/>
                <w:i/>
                <w:iCs/>
                <w:color w:val="000000"/>
                <w:sz w:val="14"/>
                <w:szCs w:val="14"/>
              </w:rPr>
              <w:t>ted interest rate swaps, which were previously designated as cash flow hedges and recorded in Accumulated other comprehensive income (loss), will be released through Interest expense (income), net over the term of the issued debt.</w:t>
            </w:r>
          </w:p>
        </w:tc>
      </w:tr>
    </w:tbl>
    <w:p w14:paraId="606F7662" w14:textId="77777777" w:rsidR="00FB67F9" w:rsidRDefault="00FB67F9">
      <w:pPr>
        <w:rPr>
          <w:rFonts w:ascii="Times New Roman" w:hAnsi="Times New Roman"/>
          <w:sz w:val="20"/>
          <w:szCs w:val="20"/>
        </w:rPr>
      </w:pPr>
    </w:p>
    <w:p w14:paraId="606F7663"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15</w:t>
      </w:r>
    </w:p>
    <w:p w14:paraId="606F7664" w14:textId="77777777" w:rsidR="00FB67F9" w:rsidRDefault="00E839DF">
      <w:r>
        <w:rPr>
          <w:rFonts w:ascii="Times New Roman" w:hAnsi="Times New Roman"/>
          <w:sz w:val="17"/>
          <w:szCs w:val="17"/>
        </w:rPr>
        <w:pict w14:anchorId="606F8F8C">
          <v:rect id="_x0000_i1041" style="width:415.3pt;height:1.5pt" o:hralign="center" o:hrstd="t" o:hr="t" fillcolor="#a0a0a0" stroked="f"/>
        </w:pict>
      </w:r>
    </w:p>
    <w:p w14:paraId="606F7665" w14:textId="77777777" w:rsidR="00FB67F9" w:rsidRDefault="00FB67F9">
      <w:pPr>
        <w:rPr>
          <w:rFonts w:ascii="Times New Roman" w:hAnsi="Times New Roman"/>
          <w:sz w:val="17"/>
          <w:szCs w:val="17"/>
        </w:rPr>
      </w:pPr>
    </w:p>
    <w:p w14:paraId="606F7666" w14:textId="77777777" w:rsidR="00FB67F9" w:rsidRDefault="00E839DF">
      <w:pPr>
        <w:rPr>
          <w:rFonts w:ascii="Times New Roman" w:hAnsi="Times New Roman"/>
          <w:sz w:val="17"/>
          <w:szCs w:val="17"/>
        </w:rPr>
      </w:pPr>
      <w:hyperlink r:id="rId85" w:anchor="s42C493F7582652B69E70047AB812E6A5" w:history="1">
        <w:r>
          <w:rPr>
            <w:rStyle w:val="a5"/>
            <w:rFonts w:ascii="sans-serif" w:eastAsia="sans-serif" w:hAnsi="sans-serif" w:cs="sans-serif"/>
            <w:sz w:val="17"/>
            <w:szCs w:val="17"/>
          </w:rPr>
          <w:t>Table of Contents</w:t>
        </w:r>
      </w:hyperlink>
    </w:p>
    <w:p w14:paraId="606F7667" w14:textId="77777777" w:rsidR="00FB67F9" w:rsidRDefault="00FB67F9">
      <w:pPr>
        <w:rPr>
          <w:rFonts w:ascii="Times New Roman" w:hAnsi="Times New Roman"/>
          <w:sz w:val="17"/>
          <w:szCs w:val="17"/>
        </w:rPr>
      </w:pPr>
    </w:p>
    <w:p w14:paraId="606F7668"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027"/>
        <w:gridCol w:w="136"/>
        <w:gridCol w:w="698"/>
        <w:gridCol w:w="98"/>
        <w:gridCol w:w="136"/>
        <w:gridCol w:w="698"/>
        <w:gridCol w:w="57"/>
        <w:gridCol w:w="130"/>
        <w:gridCol w:w="2335"/>
        <w:gridCol w:w="130"/>
        <w:gridCol w:w="135"/>
        <w:gridCol w:w="698"/>
        <w:gridCol w:w="97"/>
        <w:gridCol w:w="135"/>
        <w:gridCol w:w="699"/>
        <w:gridCol w:w="97"/>
      </w:tblGrid>
      <w:tr w:rsidR="00FB67F9" w14:paraId="606F766A" w14:textId="77777777">
        <w:tc>
          <w:tcPr>
            <w:tcW w:w="0" w:type="auto"/>
            <w:gridSpan w:val="16"/>
            <w:shd w:val="clear" w:color="auto" w:fill="auto"/>
            <w:vAlign w:val="center"/>
          </w:tcPr>
          <w:p w14:paraId="606F7669" w14:textId="77777777" w:rsidR="00FB67F9" w:rsidRDefault="00FB67F9">
            <w:pPr>
              <w:rPr>
                <w:rFonts w:ascii="Times New Roman" w:hAnsi="Times New Roman"/>
                <w:sz w:val="20"/>
                <w:szCs w:val="20"/>
              </w:rPr>
            </w:pPr>
          </w:p>
        </w:tc>
      </w:tr>
      <w:tr w:rsidR="00FB67F9" w14:paraId="606F767B" w14:textId="77777777">
        <w:tc>
          <w:tcPr>
            <w:tcW w:w="1250" w:type="pct"/>
            <w:shd w:val="clear" w:color="auto" w:fill="auto"/>
            <w:vAlign w:val="center"/>
          </w:tcPr>
          <w:p w14:paraId="606F766B" w14:textId="77777777" w:rsidR="00FB67F9" w:rsidRDefault="00FB67F9">
            <w:pPr>
              <w:rPr>
                <w:rFonts w:ascii="Times New Roman" w:hAnsi="Times New Roman"/>
                <w:sz w:val="20"/>
                <w:szCs w:val="20"/>
              </w:rPr>
            </w:pPr>
          </w:p>
        </w:tc>
        <w:tc>
          <w:tcPr>
            <w:tcW w:w="50" w:type="pct"/>
            <w:shd w:val="clear" w:color="auto" w:fill="auto"/>
            <w:vAlign w:val="center"/>
          </w:tcPr>
          <w:p w14:paraId="606F766C" w14:textId="77777777" w:rsidR="00FB67F9" w:rsidRDefault="00FB67F9">
            <w:pPr>
              <w:rPr>
                <w:rFonts w:ascii="Times New Roman" w:hAnsi="Times New Roman"/>
                <w:sz w:val="20"/>
                <w:szCs w:val="20"/>
              </w:rPr>
            </w:pPr>
          </w:p>
        </w:tc>
        <w:tc>
          <w:tcPr>
            <w:tcW w:w="450" w:type="pct"/>
            <w:shd w:val="clear" w:color="auto" w:fill="auto"/>
            <w:vAlign w:val="center"/>
          </w:tcPr>
          <w:p w14:paraId="606F766D" w14:textId="77777777" w:rsidR="00FB67F9" w:rsidRDefault="00FB67F9">
            <w:pPr>
              <w:rPr>
                <w:rFonts w:ascii="Times New Roman" w:hAnsi="Times New Roman"/>
                <w:sz w:val="20"/>
                <w:szCs w:val="20"/>
              </w:rPr>
            </w:pPr>
          </w:p>
        </w:tc>
        <w:tc>
          <w:tcPr>
            <w:tcW w:w="50" w:type="pct"/>
            <w:shd w:val="clear" w:color="auto" w:fill="auto"/>
            <w:vAlign w:val="center"/>
          </w:tcPr>
          <w:p w14:paraId="606F766E" w14:textId="77777777" w:rsidR="00FB67F9" w:rsidRDefault="00FB67F9">
            <w:pPr>
              <w:rPr>
                <w:rFonts w:ascii="Times New Roman" w:hAnsi="Times New Roman"/>
                <w:sz w:val="20"/>
                <w:szCs w:val="20"/>
              </w:rPr>
            </w:pPr>
          </w:p>
        </w:tc>
        <w:tc>
          <w:tcPr>
            <w:tcW w:w="50" w:type="pct"/>
            <w:shd w:val="clear" w:color="auto" w:fill="auto"/>
            <w:vAlign w:val="center"/>
          </w:tcPr>
          <w:p w14:paraId="606F766F" w14:textId="77777777" w:rsidR="00FB67F9" w:rsidRDefault="00FB67F9">
            <w:pPr>
              <w:rPr>
                <w:rFonts w:ascii="Times New Roman" w:hAnsi="Times New Roman"/>
                <w:sz w:val="20"/>
                <w:szCs w:val="20"/>
              </w:rPr>
            </w:pPr>
          </w:p>
        </w:tc>
        <w:tc>
          <w:tcPr>
            <w:tcW w:w="450" w:type="pct"/>
            <w:shd w:val="clear" w:color="auto" w:fill="auto"/>
            <w:vAlign w:val="center"/>
          </w:tcPr>
          <w:p w14:paraId="606F7670" w14:textId="77777777" w:rsidR="00FB67F9" w:rsidRDefault="00FB67F9">
            <w:pPr>
              <w:rPr>
                <w:rFonts w:ascii="Times New Roman" w:hAnsi="Times New Roman"/>
                <w:sz w:val="20"/>
                <w:szCs w:val="20"/>
              </w:rPr>
            </w:pPr>
          </w:p>
        </w:tc>
        <w:tc>
          <w:tcPr>
            <w:tcW w:w="50" w:type="pct"/>
            <w:shd w:val="clear" w:color="auto" w:fill="auto"/>
            <w:vAlign w:val="center"/>
          </w:tcPr>
          <w:p w14:paraId="606F7671" w14:textId="77777777" w:rsidR="00FB67F9" w:rsidRDefault="00FB67F9">
            <w:pPr>
              <w:rPr>
                <w:rFonts w:ascii="Times New Roman" w:hAnsi="Times New Roman"/>
                <w:sz w:val="20"/>
                <w:szCs w:val="20"/>
              </w:rPr>
            </w:pPr>
          </w:p>
        </w:tc>
        <w:tc>
          <w:tcPr>
            <w:tcW w:w="50" w:type="pct"/>
            <w:shd w:val="clear" w:color="auto" w:fill="auto"/>
            <w:vAlign w:val="center"/>
          </w:tcPr>
          <w:p w14:paraId="606F7672" w14:textId="77777777" w:rsidR="00FB67F9" w:rsidRDefault="00FB67F9">
            <w:pPr>
              <w:rPr>
                <w:rFonts w:ascii="Times New Roman" w:hAnsi="Times New Roman"/>
                <w:sz w:val="20"/>
                <w:szCs w:val="20"/>
              </w:rPr>
            </w:pPr>
          </w:p>
        </w:tc>
        <w:tc>
          <w:tcPr>
            <w:tcW w:w="1450" w:type="pct"/>
            <w:shd w:val="clear" w:color="auto" w:fill="auto"/>
            <w:vAlign w:val="center"/>
          </w:tcPr>
          <w:p w14:paraId="606F7673" w14:textId="77777777" w:rsidR="00FB67F9" w:rsidRDefault="00FB67F9">
            <w:pPr>
              <w:rPr>
                <w:rFonts w:ascii="Times New Roman" w:hAnsi="Times New Roman"/>
                <w:sz w:val="20"/>
                <w:szCs w:val="20"/>
              </w:rPr>
            </w:pPr>
          </w:p>
        </w:tc>
        <w:tc>
          <w:tcPr>
            <w:tcW w:w="50" w:type="pct"/>
            <w:shd w:val="clear" w:color="auto" w:fill="auto"/>
            <w:vAlign w:val="center"/>
          </w:tcPr>
          <w:p w14:paraId="606F7674" w14:textId="77777777" w:rsidR="00FB67F9" w:rsidRDefault="00FB67F9">
            <w:pPr>
              <w:rPr>
                <w:rFonts w:ascii="Times New Roman" w:hAnsi="Times New Roman"/>
                <w:sz w:val="20"/>
                <w:szCs w:val="20"/>
              </w:rPr>
            </w:pPr>
          </w:p>
        </w:tc>
        <w:tc>
          <w:tcPr>
            <w:tcW w:w="50" w:type="pct"/>
            <w:shd w:val="clear" w:color="auto" w:fill="auto"/>
            <w:vAlign w:val="center"/>
          </w:tcPr>
          <w:p w14:paraId="606F7675" w14:textId="77777777" w:rsidR="00FB67F9" w:rsidRDefault="00FB67F9">
            <w:pPr>
              <w:rPr>
                <w:rFonts w:ascii="Times New Roman" w:hAnsi="Times New Roman"/>
                <w:sz w:val="20"/>
                <w:szCs w:val="20"/>
              </w:rPr>
            </w:pPr>
          </w:p>
        </w:tc>
        <w:tc>
          <w:tcPr>
            <w:tcW w:w="450" w:type="pct"/>
            <w:shd w:val="clear" w:color="auto" w:fill="auto"/>
            <w:vAlign w:val="center"/>
          </w:tcPr>
          <w:p w14:paraId="606F7676" w14:textId="77777777" w:rsidR="00FB67F9" w:rsidRDefault="00FB67F9">
            <w:pPr>
              <w:rPr>
                <w:rFonts w:ascii="Times New Roman" w:hAnsi="Times New Roman"/>
                <w:sz w:val="20"/>
                <w:szCs w:val="20"/>
              </w:rPr>
            </w:pPr>
          </w:p>
        </w:tc>
        <w:tc>
          <w:tcPr>
            <w:tcW w:w="50" w:type="pct"/>
            <w:shd w:val="clear" w:color="auto" w:fill="auto"/>
            <w:vAlign w:val="center"/>
          </w:tcPr>
          <w:p w14:paraId="606F7677" w14:textId="77777777" w:rsidR="00FB67F9" w:rsidRDefault="00FB67F9">
            <w:pPr>
              <w:rPr>
                <w:rFonts w:ascii="Times New Roman" w:hAnsi="Times New Roman"/>
                <w:sz w:val="20"/>
                <w:szCs w:val="20"/>
              </w:rPr>
            </w:pPr>
          </w:p>
        </w:tc>
        <w:tc>
          <w:tcPr>
            <w:tcW w:w="50" w:type="pct"/>
            <w:shd w:val="clear" w:color="auto" w:fill="auto"/>
            <w:vAlign w:val="center"/>
          </w:tcPr>
          <w:p w14:paraId="606F7678" w14:textId="77777777" w:rsidR="00FB67F9" w:rsidRDefault="00FB67F9">
            <w:pPr>
              <w:rPr>
                <w:rFonts w:ascii="Times New Roman" w:hAnsi="Times New Roman"/>
                <w:sz w:val="20"/>
                <w:szCs w:val="20"/>
              </w:rPr>
            </w:pPr>
          </w:p>
        </w:tc>
        <w:tc>
          <w:tcPr>
            <w:tcW w:w="450" w:type="pct"/>
            <w:shd w:val="clear" w:color="auto" w:fill="auto"/>
            <w:vAlign w:val="center"/>
          </w:tcPr>
          <w:p w14:paraId="606F7679" w14:textId="77777777" w:rsidR="00FB67F9" w:rsidRDefault="00FB67F9">
            <w:pPr>
              <w:rPr>
                <w:rFonts w:ascii="Times New Roman" w:hAnsi="Times New Roman"/>
                <w:sz w:val="20"/>
                <w:szCs w:val="20"/>
              </w:rPr>
            </w:pPr>
          </w:p>
        </w:tc>
        <w:tc>
          <w:tcPr>
            <w:tcW w:w="50" w:type="pct"/>
            <w:shd w:val="clear" w:color="auto" w:fill="auto"/>
            <w:vAlign w:val="center"/>
          </w:tcPr>
          <w:p w14:paraId="606F767A" w14:textId="77777777" w:rsidR="00FB67F9" w:rsidRDefault="00FB67F9">
            <w:pPr>
              <w:rPr>
                <w:rFonts w:ascii="Times New Roman" w:hAnsi="Times New Roman"/>
                <w:sz w:val="20"/>
                <w:szCs w:val="20"/>
              </w:rPr>
            </w:pPr>
          </w:p>
        </w:tc>
      </w:tr>
      <w:tr w:rsidR="00FB67F9" w14:paraId="606F7681" w14:textId="77777777">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606F767C" w14:textId="77777777" w:rsidR="00FB67F9" w:rsidRDefault="00FB67F9">
            <w:pPr>
              <w:textAlignment w:val="bottom"/>
              <w:rPr>
                <w:rFonts w:ascii="Times New Roman" w:hAnsi="Times New Roman"/>
                <w:sz w:val="17"/>
                <w:szCs w:val="17"/>
              </w:rPr>
            </w:pPr>
          </w:p>
          <w:p w14:paraId="606F767D"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40" w:type="dxa"/>
              <w:bottom w:w="40" w:type="dxa"/>
            </w:tcMar>
            <w:vAlign w:val="bottom"/>
          </w:tcPr>
          <w:p w14:paraId="606F767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15"/>
                <w:szCs w:val="15"/>
              </w:rPr>
              <w:t>(1)</w:t>
            </w:r>
          </w:p>
        </w:tc>
        <w:tc>
          <w:tcPr>
            <w:tcW w:w="0" w:type="auto"/>
            <w:shd w:val="clear" w:color="auto" w:fill="auto"/>
            <w:tcMar>
              <w:top w:w="40" w:type="dxa"/>
              <w:left w:w="40" w:type="dxa"/>
              <w:bottom w:w="40" w:type="dxa"/>
              <w:right w:w="40" w:type="dxa"/>
            </w:tcMar>
            <w:vAlign w:val="bottom"/>
          </w:tcPr>
          <w:p w14:paraId="606F76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606F768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w:t>
            </w:r>
            <w:r>
              <w:rPr>
                <w:rFonts w:ascii="sans-serif" w:eastAsia="sans-serif" w:hAnsi="sans-serif" w:cs="sans-serif"/>
                <w:b/>
                <w:bCs/>
                <w:color w:val="000000"/>
                <w:sz w:val="17"/>
                <w:szCs w:val="17"/>
              </w:rPr>
              <w:br/>
              <w:t>INCOME (LOSS) INTO INCOME</w:t>
            </w:r>
            <w:r>
              <w:rPr>
                <w:rFonts w:ascii="sans-serif" w:eastAsia="sans-serif" w:hAnsi="sans-serif" w:cs="sans-serif"/>
                <w:b/>
                <w:bCs/>
                <w:color w:val="000000"/>
                <w:sz w:val="15"/>
                <w:szCs w:val="15"/>
              </w:rPr>
              <w:t>(1)</w:t>
            </w:r>
          </w:p>
        </w:tc>
      </w:tr>
      <w:tr w:rsidR="00FB67F9" w14:paraId="606F7688" w14:textId="77777777">
        <w:tc>
          <w:tcPr>
            <w:tcW w:w="0" w:type="auto"/>
            <w:vMerge/>
            <w:tcBorders>
              <w:bottom w:val="single" w:sz="8" w:space="0" w:color="E87722"/>
            </w:tcBorders>
            <w:shd w:val="clear" w:color="auto" w:fill="auto"/>
            <w:tcMar>
              <w:top w:w="40" w:type="dxa"/>
              <w:left w:w="40" w:type="dxa"/>
              <w:bottom w:w="40" w:type="dxa"/>
              <w:right w:w="40" w:type="dxa"/>
            </w:tcMar>
            <w:vAlign w:val="bottom"/>
          </w:tcPr>
          <w:p w14:paraId="606F7682" w14:textId="77777777" w:rsidR="00FB67F9" w:rsidRDefault="00FB67F9">
            <w:pPr>
              <w:rPr>
                <w:rFonts w:ascii="Times New Roman" w:hAnsi="Times New Roman"/>
                <w:sz w:val="20"/>
                <w:szCs w:val="20"/>
              </w:rPr>
            </w:pP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68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c>
          <w:tcPr>
            <w:tcW w:w="0" w:type="auto"/>
            <w:shd w:val="clear" w:color="auto" w:fill="auto"/>
            <w:tcMar>
              <w:top w:w="40" w:type="dxa"/>
              <w:left w:w="40" w:type="dxa"/>
              <w:bottom w:w="40" w:type="dxa"/>
              <w:right w:w="40" w:type="dxa"/>
            </w:tcMar>
            <w:vAlign w:val="bottom"/>
          </w:tcPr>
          <w:p w14:paraId="606F768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8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68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68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7691" w14:textId="77777777">
        <w:tc>
          <w:tcPr>
            <w:tcW w:w="0" w:type="auto"/>
            <w:vMerge/>
            <w:tcBorders>
              <w:bottom w:val="single" w:sz="8" w:space="0" w:color="E87722"/>
            </w:tcBorders>
            <w:shd w:val="clear" w:color="auto" w:fill="auto"/>
            <w:tcMar>
              <w:top w:w="40" w:type="dxa"/>
              <w:left w:w="40" w:type="dxa"/>
              <w:bottom w:w="40" w:type="dxa"/>
              <w:right w:w="40" w:type="dxa"/>
            </w:tcMar>
            <w:vAlign w:val="bottom"/>
          </w:tcPr>
          <w:p w14:paraId="606F7689" w14:textId="77777777" w:rsidR="00FB67F9" w:rsidRDefault="00FB67F9">
            <w:pPr>
              <w:rPr>
                <w:rFonts w:ascii="Times New Roman" w:hAnsi="Times New Roman"/>
                <w:sz w:val="20"/>
                <w:szCs w:val="20"/>
              </w:rPr>
            </w:pP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8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8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68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8D" w14:textId="77777777" w:rsidR="00FB67F9" w:rsidRDefault="00FB67F9">
            <w:pPr>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768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68F"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9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69A" w14:textId="77777777">
        <w:tc>
          <w:tcPr>
            <w:tcW w:w="0" w:type="auto"/>
            <w:shd w:val="clear" w:color="auto" w:fill="auto"/>
            <w:tcMar>
              <w:top w:w="40" w:type="dxa"/>
              <w:left w:w="40" w:type="dxa"/>
              <w:bottom w:w="40" w:type="dxa"/>
              <w:right w:w="40" w:type="dxa"/>
            </w:tcMar>
            <w:vAlign w:val="bottom"/>
          </w:tcPr>
          <w:p w14:paraId="606F7692"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sz w:val="17"/>
                <w:szCs w:val="17"/>
              </w:rPr>
              <w:t>cash flow hedges:</w:t>
            </w:r>
          </w:p>
        </w:tc>
        <w:tc>
          <w:tcPr>
            <w:tcW w:w="0" w:type="auto"/>
            <w:gridSpan w:val="3"/>
            <w:shd w:val="clear" w:color="auto" w:fill="FFF1E7"/>
            <w:tcMar>
              <w:top w:w="40" w:type="dxa"/>
              <w:left w:w="40" w:type="dxa"/>
              <w:bottom w:w="40" w:type="dxa"/>
              <w:right w:w="40" w:type="dxa"/>
            </w:tcMar>
            <w:vAlign w:val="bottom"/>
          </w:tcPr>
          <w:p w14:paraId="606F769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69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69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69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69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69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69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6A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69B"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tcBorders>
              <w:top w:val="single" w:sz="8" w:space="0" w:color="808080"/>
            </w:tcBorders>
            <w:shd w:val="clear" w:color="auto" w:fill="FFF1E7"/>
            <w:tcMar>
              <w:top w:w="40" w:type="dxa"/>
              <w:left w:w="40" w:type="dxa"/>
              <w:bottom w:w="40" w:type="dxa"/>
            </w:tcMar>
            <w:vAlign w:val="bottom"/>
          </w:tcPr>
          <w:p w14:paraId="606F769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69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(62</w:t>
            </w:r>
          </w:p>
        </w:tc>
        <w:tc>
          <w:tcPr>
            <w:tcW w:w="0" w:type="auto"/>
            <w:tcBorders>
              <w:top w:val="single" w:sz="8" w:space="0" w:color="808080"/>
            </w:tcBorders>
            <w:shd w:val="clear" w:color="auto" w:fill="FFF1E7"/>
            <w:tcMar>
              <w:top w:w="40" w:type="dxa"/>
              <w:bottom w:w="40" w:type="dxa"/>
              <w:right w:w="40" w:type="dxa"/>
            </w:tcMar>
            <w:vAlign w:val="bottom"/>
          </w:tcPr>
          <w:p w14:paraId="606F769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769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6A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tcBorders>
            <w:shd w:val="clear" w:color="auto" w:fill="auto"/>
            <w:vAlign w:val="bottom"/>
          </w:tcPr>
          <w:p w14:paraId="606F76A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6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A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A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76A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6A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FFF1E7"/>
            <w:vAlign w:val="bottom"/>
          </w:tcPr>
          <w:p w14:paraId="606F76A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6A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6A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vAlign w:val="bottom"/>
          </w:tcPr>
          <w:p w14:paraId="606F76AA" w14:textId="77777777" w:rsidR="00FB67F9" w:rsidRDefault="00FB67F9">
            <w:pPr>
              <w:textAlignment w:val="bottom"/>
              <w:rPr>
                <w:rFonts w:ascii="Times New Roman" w:hAnsi="Times New Roman"/>
                <w:sz w:val="20"/>
                <w:szCs w:val="20"/>
              </w:rPr>
            </w:pPr>
          </w:p>
        </w:tc>
      </w:tr>
      <w:tr w:rsidR="00FB67F9" w14:paraId="606F76B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6AC"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6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146</w:t>
            </w:r>
          </w:p>
        </w:tc>
        <w:tc>
          <w:tcPr>
            <w:tcW w:w="0" w:type="auto"/>
            <w:tcBorders>
              <w:top w:val="single" w:sz="8" w:space="0" w:color="808080"/>
              <w:bottom w:val="single" w:sz="8" w:space="0" w:color="808080"/>
            </w:tcBorders>
            <w:shd w:val="clear" w:color="auto" w:fill="FFF1E7"/>
            <w:vAlign w:val="bottom"/>
          </w:tcPr>
          <w:p w14:paraId="606F76A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6A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274</w:t>
            </w:r>
          </w:p>
        </w:tc>
        <w:tc>
          <w:tcPr>
            <w:tcW w:w="0" w:type="auto"/>
            <w:tcBorders>
              <w:top w:val="single" w:sz="8" w:space="0" w:color="808080"/>
              <w:bottom w:val="single" w:sz="8" w:space="0" w:color="808080"/>
            </w:tcBorders>
            <w:shd w:val="clear" w:color="auto" w:fill="auto"/>
            <w:vAlign w:val="bottom"/>
          </w:tcPr>
          <w:p w14:paraId="606F76B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6B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Cost of sales</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B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6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177</w:t>
            </w:r>
          </w:p>
        </w:tc>
        <w:tc>
          <w:tcPr>
            <w:tcW w:w="0" w:type="auto"/>
            <w:tcBorders>
              <w:top w:val="single" w:sz="8" w:space="0" w:color="808080"/>
              <w:bottom w:val="single" w:sz="8" w:space="0" w:color="808080"/>
            </w:tcBorders>
            <w:shd w:val="clear" w:color="auto" w:fill="FFF1E7"/>
            <w:vAlign w:val="bottom"/>
          </w:tcPr>
          <w:p w14:paraId="606F76B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6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6B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6C5" w14:textId="77777777">
        <w:tc>
          <w:tcPr>
            <w:tcW w:w="0" w:type="auto"/>
            <w:tcBorders>
              <w:top w:val="single" w:sz="8" w:space="0" w:color="808080"/>
            </w:tcBorders>
            <w:shd w:val="clear" w:color="auto" w:fill="auto"/>
            <w:tcMar>
              <w:top w:w="40" w:type="dxa"/>
              <w:left w:w="240" w:type="dxa"/>
              <w:bottom w:w="40" w:type="dxa"/>
              <w:right w:w="40" w:type="dxa"/>
            </w:tcMar>
            <w:vAlign w:val="center"/>
          </w:tcPr>
          <w:p w14:paraId="606F76B9" w14:textId="77777777" w:rsidR="00FB67F9" w:rsidRDefault="00E839DF">
            <w:pPr>
              <w:textAlignment w:val="center"/>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6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6B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6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6B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6B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6C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6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FFF1E7"/>
            <w:tcMar>
              <w:top w:w="40" w:type="dxa"/>
              <w:bottom w:w="40" w:type="dxa"/>
              <w:right w:w="40" w:type="dxa"/>
            </w:tcMar>
            <w:vAlign w:val="bottom"/>
          </w:tcPr>
          <w:p w14:paraId="606F76C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76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6C4" w14:textId="77777777" w:rsidR="00FB67F9" w:rsidRDefault="00FB67F9">
            <w:pPr>
              <w:textAlignment w:val="bottom"/>
              <w:rPr>
                <w:rFonts w:ascii="Times New Roman" w:hAnsi="Times New Roman"/>
                <w:sz w:val="20"/>
                <w:szCs w:val="20"/>
              </w:rPr>
            </w:pPr>
          </w:p>
        </w:tc>
      </w:tr>
      <w:tr w:rsidR="00FB67F9" w14:paraId="606F76D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6C6"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6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60</w:t>
            </w:r>
          </w:p>
        </w:tc>
        <w:tc>
          <w:tcPr>
            <w:tcW w:w="0" w:type="auto"/>
            <w:tcBorders>
              <w:top w:val="single" w:sz="8" w:space="0" w:color="808080"/>
              <w:bottom w:val="single" w:sz="8" w:space="0" w:color="808080"/>
            </w:tcBorders>
            <w:shd w:val="clear" w:color="auto" w:fill="FFF1E7"/>
            <w:vAlign w:val="bottom"/>
          </w:tcPr>
          <w:p w14:paraId="606F76C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6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105</w:t>
            </w:r>
          </w:p>
        </w:tc>
        <w:tc>
          <w:tcPr>
            <w:tcW w:w="0" w:type="auto"/>
            <w:tcBorders>
              <w:top w:val="single" w:sz="8" w:space="0" w:color="808080"/>
              <w:bottom w:val="single" w:sz="8" w:space="0" w:color="808080"/>
            </w:tcBorders>
            <w:shd w:val="clear" w:color="auto" w:fill="auto"/>
            <w:vAlign w:val="bottom"/>
          </w:tcPr>
          <w:p w14:paraId="606F76C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6C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6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6C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6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77</w:t>
            </w:r>
          </w:p>
        </w:tc>
        <w:tc>
          <w:tcPr>
            <w:tcW w:w="0" w:type="auto"/>
            <w:tcBorders>
              <w:top w:val="single" w:sz="8" w:space="0" w:color="808080"/>
              <w:bottom w:val="single" w:sz="8" w:space="0" w:color="808080"/>
            </w:tcBorders>
            <w:shd w:val="clear" w:color="auto" w:fill="FFF1E7"/>
            <w:vAlign w:val="bottom"/>
          </w:tcPr>
          <w:p w14:paraId="606F76C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6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6D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6DF" w14:textId="77777777">
        <w:tc>
          <w:tcPr>
            <w:tcW w:w="0" w:type="auto"/>
            <w:shd w:val="clear" w:color="auto" w:fill="auto"/>
            <w:tcMar>
              <w:top w:w="40" w:type="dxa"/>
              <w:left w:w="240" w:type="dxa"/>
              <w:bottom w:w="40" w:type="dxa"/>
              <w:right w:w="40" w:type="dxa"/>
            </w:tcMar>
            <w:vAlign w:val="bottom"/>
          </w:tcPr>
          <w:p w14:paraId="606F76D3"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rate swaps</w:t>
            </w:r>
            <w:r>
              <w:rPr>
                <w:rFonts w:ascii="Arial" w:eastAsia="宋体" w:hAnsi="Arial" w:cs="Arial"/>
                <w:sz w:val="15"/>
                <w:szCs w:val="15"/>
              </w:rPr>
              <w:t>(2)</w:t>
            </w:r>
          </w:p>
        </w:tc>
        <w:tc>
          <w:tcPr>
            <w:tcW w:w="0" w:type="auto"/>
            <w:gridSpan w:val="2"/>
            <w:shd w:val="clear" w:color="auto" w:fill="FFF1E7"/>
            <w:tcMar>
              <w:top w:w="40" w:type="dxa"/>
              <w:left w:w="40" w:type="dxa"/>
              <w:bottom w:w="40" w:type="dxa"/>
            </w:tcMar>
            <w:vAlign w:val="bottom"/>
          </w:tcPr>
          <w:p w14:paraId="606F76D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6D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6D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6D7"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6D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6D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shd w:val="clear" w:color="auto" w:fill="auto"/>
            <w:tcMar>
              <w:top w:w="40" w:type="dxa"/>
              <w:left w:w="40" w:type="dxa"/>
              <w:bottom w:w="40" w:type="dxa"/>
              <w:right w:w="40" w:type="dxa"/>
            </w:tcMar>
            <w:vAlign w:val="bottom"/>
          </w:tcPr>
          <w:p w14:paraId="606F76D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6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FFF1E7"/>
            <w:tcMar>
              <w:top w:w="40" w:type="dxa"/>
              <w:bottom w:w="40" w:type="dxa"/>
              <w:right w:w="40" w:type="dxa"/>
            </w:tcMar>
            <w:vAlign w:val="bottom"/>
          </w:tcPr>
          <w:p w14:paraId="606F76D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76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606F76D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6F0"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E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xml:space="preserve">Total designated cash </w:t>
            </w:r>
            <w:r>
              <w:rPr>
                <w:rFonts w:ascii="Arial" w:eastAsia="宋体" w:hAnsi="Arial" w:cs="Arial"/>
                <w:b/>
                <w:bCs/>
                <w:sz w:val="17"/>
                <w:szCs w:val="17"/>
              </w:rPr>
              <w:br/>
              <w:t>flow hedges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6E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6E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144</w:t>
            </w:r>
          </w:p>
        </w:tc>
        <w:tc>
          <w:tcPr>
            <w:tcW w:w="0" w:type="auto"/>
            <w:tcBorders>
              <w:top w:val="single" w:sz="8" w:space="0" w:color="E87722"/>
              <w:bottom w:val="single" w:sz="8" w:space="0" w:color="E87722"/>
            </w:tcBorders>
            <w:shd w:val="clear" w:color="auto" w:fill="FFF1E7"/>
            <w:vAlign w:val="bottom"/>
          </w:tcPr>
          <w:p w14:paraId="606F76E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6E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6E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398</w:t>
            </w:r>
          </w:p>
        </w:tc>
        <w:tc>
          <w:tcPr>
            <w:tcW w:w="0" w:type="auto"/>
            <w:tcBorders>
              <w:top w:val="single" w:sz="8" w:space="0" w:color="E87722"/>
              <w:bottom w:val="single" w:sz="8" w:space="0" w:color="E87722"/>
            </w:tcBorders>
            <w:shd w:val="clear" w:color="auto" w:fill="auto"/>
            <w:vAlign w:val="bottom"/>
          </w:tcPr>
          <w:p w14:paraId="606F76E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E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E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6E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6E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6E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257</w:t>
            </w:r>
          </w:p>
        </w:tc>
        <w:tc>
          <w:tcPr>
            <w:tcW w:w="0" w:type="auto"/>
            <w:tcBorders>
              <w:top w:val="single" w:sz="8" w:space="0" w:color="E87722"/>
              <w:bottom w:val="single" w:sz="8" w:space="0" w:color="E87722"/>
            </w:tcBorders>
            <w:shd w:val="clear" w:color="auto" w:fill="FFF1E7"/>
            <w:vAlign w:val="bottom"/>
          </w:tcPr>
          <w:p w14:paraId="606F76E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6E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6E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6E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bl>
    <w:p w14:paraId="606F76F1"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6F4" w14:textId="77777777">
        <w:trPr>
          <w:tblCellSpacing w:w="0" w:type="dxa"/>
        </w:trPr>
        <w:tc>
          <w:tcPr>
            <w:tcW w:w="480" w:type="dxa"/>
            <w:shd w:val="clear" w:color="auto" w:fill="auto"/>
            <w:vAlign w:val="center"/>
          </w:tcPr>
          <w:p w14:paraId="606F76F2" w14:textId="77777777" w:rsidR="00FB67F9" w:rsidRDefault="00FB67F9">
            <w:pPr>
              <w:rPr>
                <w:rFonts w:ascii="Times New Roman" w:hAnsi="Times New Roman"/>
                <w:sz w:val="20"/>
                <w:szCs w:val="20"/>
              </w:rPr>
            </w:pPr>
          </w:p>
        </w:tc>
        <w:tc>
          <w:tcPr>
            <w:tcW w:w="0" w:type="auto"/>
            <w:shd w:val="clear" w:color="auto" w:fill="auto"/>
            <w:vAlign w:val="center"/>
          </w:tcPr>
          <w:p w14:paraId="606F76F3" w14:textId="77777777" w:rsidR="00FB67F9" w:rsidRDefault="00FB67F9">
            <w:pPr>
              <w:rPr>
                <w:rFonts w:ascii="Times New Roman" w:hAnsi="Times New Roman"/>
                <w:sz w:val="20"/>
                <w:szCs w:val="20"/>
              </w:rPr>
            </w:pPr>
          </w:p>
        </w:tc>
      </w:tr>
      <w:tr w:rsidR="00FB67F9" w14:paraId="606F76F7" w14:textId="77777777">
        <w:trPr>
          <w:tblCellSpacing w:w="0" w:type="dxa"/>
        </w:trPr>
        <w:tc>
          <w:tcPr>
            <w:tcW w:w="0" w:type="auto"/>
            <w:shd w:val="clear" w:color="auto" w:fill="auto"/>
          </w:tcPr>
          <w:p w14:paraId="606F76F5"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6F6"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For the </w:t>
            </w:r>
            <w:r>
              <w:rPr>
                <w:rFonts w:ascii="Arial" w:eastAsia="宋体" w:hAnsi="Arial" w:cs="Arial"/>
                <w:i/>
                <w:iCs/>
                <w:sz w:val="14"/>
                <w:szCs w:val="14"/>
              </w:rPr>
              <w:t>six months ended November 30, 2019</w:t>
            </w:r>
            <w:r>
              <w:rPr>
                <w:rFonts w:ascii="Arial" w:eastAsia="宋体" w:hAnsi="Arial" w:cs="Arial"/>
                <w:i/>
                <w:iCs/>
                <w:color w:val="000000"/>
                <w:sz w:val="14"/>
                <w:szCs w:val="14"/>
              </w:rPr>
              <w:t xml:space="preserve"> and 2018, the amounts recorded in Other (income) expense, net as a result of the discontinuance of cash flow hedges because the forecasted transactions were no longer probable of occurring were immaterial.</w:t>
            </w:r>
          </w:p>
        </w:tc>
      </w:tr>
    </w:tbl>
    <w:p w14:paraId="606F76F8"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6FB" w14:textId="77777777">
        <w:trPr>
          <w:tblCellSpacing w:w="0" w:type="dxa"/>
        </w:trPr>
        <w:tc>
          <w:tcPr>
            <w:tcW w:w="480" w:type="dxa"/>
            <w:shd w:val="clear" w:color="auto" w:fill="auto"/>
            <w:vAlign w:val="center"/>
          </w:tcPr>
          <w:p w14:paraId="606F76F9" w14:textId="77777777" w:rsidR="00FB67F9" w:rsidRDefault="00FB67F9">
            <w:pPr>
              <w:rPr>
                <w:rFonts w:ascii="Times New Roman" w:hAnsi="Times New Roman"/>
                <w:sz w:val="20"/>
                <w:szCs w:val="20"/>
              </w:rPr>
            </w:pPr>
          </w:p>
        </w:tc>
        <w:tc>
          <w:tcPr>
            <w:tcW w:w="0" w:type="auto"/>
            <w:shd w:val="clear" w:color="auto" w:fill="auto"/>
            <w:vAlign w:val="center"/>
          </w:tcPr>
          <w:p w14:paraId="606F76FA" w14:textId="77777777" w:rsidR="00FB67F9" w:rsidRDefault="00FB67F9">
            <w:pPr>
              <w:rPr>
                <w:rFonts w:ascii="Times New Roman" w:hAnsi="Times New Roman"/>
                <w:sz w:val="20"/>
                <w:szCs w:val="20"/>
              </w:rPr>
            </w:pPr>
          </w:p>
        </w:tc>
      </w:tr>
      <w:tr w:rsidR="00FB67F9" w14:paraId="606F76FE" w14:textId="77777777">
        <w:trPr>
          <w:tblCellSpacing w:w="0" w:type="dxa"/>
        </w:trPr>
        <w:tc>
          <w:tcPr>
            <w:tcW w:w="0" w:type="auto"/>
            <w:shd w:val="clear" w:color="auto" w:fill="auto"/>
          </w:tcPr>
          <w:p w14:paraId="606F76FC"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r>
              <w:rPr>
                <w:rFonts w:ascii="Arial" w:eastAsia="宋体" w:hAnsi="Arial" w:cs="Arial"/>
                <w:i/>
                <w:iCs/>
                <w:color w:val="000000"/>
                <w:sz w:val="14"/>
                <w:szCs w:val="14"/>
              </w:rPr>
              <w:t>)</w:t>
            </w:r>
          </w:p>
        </w:tc>
        <w:tc>
          <w:tcPr>
            <w:tcW w:w="0" w:type="auto"/>
            <w:shd w:val="clear" w:color="auto" w:fill="auto"/>
          </w:tcPr>
          <w:p w14:paraId="606F76FD"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Gains and losses associated with terminated interest rate swaps, which were previously designated as cash flow hedges and recorded in Accumulated other comprehensive income (loss), will be released through Interest expense (income), net over the term of </w:t>
            </w:r>
            <w:r>
              <w:rPr>
                <w:rFonts w:ascii="Arial" w:eastAsia="宋体" w:hAnsi="Arial" w:cs="Arial"/>
                <w:i/>
                <w:iCs/>
                <w:color w:val="000000"/>
                <w:sz w:val="14"/>
                <w:szCs w:val="14"/>
              </w:rPr>
              <w:t>the issued debt.</w:t>
            </w:r>
          </w:p>
        </w:tc>
      </w:tr>
    </w:tbl>
    <w:p w14:paraId="606F76FF"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2865"/>
        <w:gridCol w:w="136"/>
        <w:gridCol w:w="622"/>
        <w:gridCol w:w="98"/>
        <w:gridCol w:w="136"/>
        <w:gridCol w:w="623"/>
        <w:gridCol w:w="43"/>
        <w:gridCol w:w="130"/>
        <w:gridCol w:w="135"/>
        <w:gridCol w:w="622"/>
        <w:gridCol w:w="97"/>
        <w:gridCol w:w="135"/>
        <w:gridCol w:w="623"/>
        <w:gridCol w:w="42"/>
        <w:gridCol w:w="130"/>
        <w:gridCol w:w="1869"/>
      </w:tblGrid>
      <w:tr w:rsidR="00FB67F9" w14:paraId="606F7701" w14:textId="77777777">
        <w:tc>
          <w:tcPr>
            <w:tcW w:w="0" w:type="auto"/>
            <w:gridSpan w:val="16"/>
            <w:shd w:val="clear" w:color="auto" w:fill="auto"/>
            <w:vAlign w:val="center"/>
          </w:tcPr>
          <w:p w14:paraId="606F7700" w14:textId="77777777" w:rsidR="00FB67F9" w:rsidRDefault="00FB67F9">
            <w:pPr>
              <w:rPr>
                <w:rFonts w:ascii="Times New Roman" w:hAnsi="Times New Roman"/>
                <w:sz w:val="20"/>
                <w:szCs w:val="20"/>
              </w:rPr>
            </w:pPr>
          </w:p>
        </w:tc>
      </w:tr>
      <w:tr w:rsidR="00FB67F9" w14:paraId="606F7712" w14:textId="77777777">
        <w:tc>
          <w:tcPr>
            <w:tcW w:w="1750" w:type="pct"/>
            <w:shd w:val="clear" w:color="auto" w:fill="auto"/>
            <w:vAlign w:val="center"/>
          </w:tcPr>
          <w:p w14:paraId="606F7702" w14:textId="77777777" w:rsidR="00FB67F9" w:rsidRDefault="00FB67F9">
            <w:pPr>
              <w:rPr>
                <w:rFonts w:ascii="Times New Roman" w:hAnsi="Times New Roman"/>
                <w:sz w:val="20"/>
                <w:szCs w:val="20"/>
              </w:rPr>
            </w:pPr>
          </w:p>
        </w:tc>
        <w:tc>
          <w:tcPr>
            <w:tcW w:w="50" w:type="pct"/>
            <w:shd w:val="clear" w:color="auto" w:fill="auto"/>
            <w:vAlign w:val="center"/>
          </w:tcPr>
          <w:p w14:paraId="606F7703" w14:textId="77777777" w:rsidR="00FB67F9" w:rsidRDefault="00FB67F9">
            <w:pPr>
              <w:rPr>
                <w:rFonts w:ascii="Times New Roman" w:hAnsi="Times New Roman"/>
                <w:sz w:val="20"/>
                <w:szCs w:val="20"/>
              </w:rPr>
            </w:pPr>
          </w:p>
        </w:tc>
        <w:tc>
          <w:tcPr>
            <w:tcW w:w="400" w:type="pct"/>
            <w:shd w:val="clear" w:color="auto" w:fill="auto"/>
            <w:vAlign w:val="center"/>
          </w:tcPr>
          <w:p w14:paraId="606F7704" w14:textId="77777777" w:rsidR="00FB67F9" w:rsidRDefault="00FB67F9">
            <w:pPr>
              <w:rPr>
                <w:rFonts w:ascii="Times New Roman" w:hAnsi="Times New Roman"/>
                <w:sz w:val="20"/>
                <w:szCs w:val="20"/>
              </w:rPr>
            </w:pPr>
          </w:p>
        </w:tc>
        <w:tc>
          <w:tcPr>
            <w:tcW w:w="50" w:type="pct"/>
            <w:shd w:val="clear" w:color="auto" w:fill="auto"/>
            <w:vAlign w:val="center"/>
          </w:tcPr>
          <w:p w14:paraId="606F7705" w14:textId="77777777" w:rsidR="00FB67F9" w:rsidRDefault="00FB67F9">
            <w:pPr>
              <w:rPr>
                <w:rFonts w:ascii="Times New Roman" w:hAnsi="Times New Roman"/>
                <w:sz w:val="20"/>
                <w:szCs w:val="20"/>
              </w:rPr>
            </w:pPr>
          </w:p>
        </w:tc>
        <w:tc>
          <w:tcPr>
            <w:tcW w:w="50" w:type="pct"/>
            <w:shd w:val="clear" w:color="auto" w:fill="auto"/>
            <w:vAlign w:val="center"/>
          </w:tcPr>
          <w:p w14:paraId="606F7706" w14:textId="77777777" w:rsidR="00FB67F9" w:rsidRDefault="00FB67F9">
            <w:pPr>
              <w:rPr>
                <w:rFonts w:ascii="Times New Roman" w:hAnsi="Times New Roman"/>
                <w:sz w:val="20"/>
                <w:szCs w:val="20"/>
              </w:rPr>
            </w:pPr>
          </w:p>
        </w:tc>
        <w:tc>
          <w:tcPr>
            <w:tcW w:w="400" w:type="pct"/>
            <w:shd w:val="clear" w:color="auto" w:fill="auto"/>
            <w:vAlign w:val="center"/>
          </w:tcPr>
          <w:p w14:paraId="606F7707" w14:textId="77777777" w:rsidR="00FB67F9" w:rsidRDefault="00FB67F9">
            <w:pPr>
              <w:rPr>
                <w:rFonts w:ascii="Times New Roman" w:hAnsi="Times New Roman"/>
                <w:sz w:val="20"/>
                <w:szCs w:val="20"/>
              </w:rPr>
            </w:pPr>
          </w:p>
        </w:tc>
        <w:tc>
          <w:tcPr>
            <w:tcW w:w="50" w:type="pct"/>
            <w:shd w:val="clear" w:color="auto" w:fill="auto"/>
            <w:vAlign w:val="center"/>
          </w:tcPr>
          <w:p w14:paraId="606F7708" w14:textId="77777777" w:rsidR="00FB67F9" w:rsidRDefault="00FB67F9">
            <w:pPr>
              <w:rPr>
                <w:rFonts w:ascii="Times New Roman" w:hAnsi="Times New Roman"/>
                <w:sz w:val="20"/>
                <w:szCs w:val="20"/>
              </w:rPr>
            </w:pPr>
          </w:p>
        </w:tc>
        <w:tc>
          <w:tcPr>
            <w:tcW w:w="50" w:type="pct"/>
            <w:shd w:val="clear" w:color="auto" w:fill="auto"/>
            <w:vAlign w:val="center"/>
          </w:tcPr>
          <w:p w14:paraId="606F7709" w14:textId="77777777" w:rsidR="00FB67F9" w:rsidRDefault="00FB67F9">
            <w:pPr>
              <w:rPr>
                <w:rFonts w:ascii="Times New Roman" w:hAnsi="Times New Roman"/>
                <w:sz w:val="20"/>
                <w:szCs w:val="20"/>
              </w:rPr>
            </w:pPr>
          </w:p>
        </w:tc>
        <w:tc>
          <w:tcPr>
            <w:tcW w:w="50" w:type="pct"/>
            <w:shd w:val="clear" w:color="auto" w:fill="auto"/>
            <w:vAlign w:val="center"/>
          </w:tcPr>
          <w:p w14:paraId="606F770A" w14:textId="77777777" w:rsidR="00FB67F9" w:rsidRDefault="00FB67F9">
            <w:pPr>
              <w:rPr>
                <w:rFonts w:ascii="Times New Roman" w:hAnsi="Times New Roman"/>
                <w:sz w:val="20"/>
                <w:szCs w:val="20"/>
              </w:rPr>
            </w:pPr>
          </w:p>
        </w:tc>
        <w:tc>
          <w:tcPr>
            <w:tcW w:w="400" w:type="pct"/>
            <w:shd w:val="clear" w:color="auto" w:fill="auto"/>
            <w:vAlign w:val="center"/>
          </w:tcPr>
          <w:p w14:paraId="606F770B" w14:textId="77777777" w:rsidR="00FB67F9" w:rsidRDefault="00FB67F9">
            <w:pPr>
              <w:rPr>
                <w:rFonts w:ascii="Times New Roman" w:hAnsi="Times New Roman"/>
                <w:sz w:val="20"/>
                <w:szCs w:val="20"/>
              </w:rPr>
            </w:pPr>
          </w:p>
        </w:tc>
        <w:tc>
          <w:tcPr>
            <w:tcW w:w="50" w:type="pct"/>
            <w:shd w:val="clear" w:color="auto" w:fill="auto"/>
            <w:vAlign w:val="center"/>
          </w:tcPr>
          <w:p w14:paraId="606F770C" w14:textId="77777777" w:rsidR="00FB67F9" w:rsidRDefault="00FB67F9">
            <w:pPr>
              <w:rPr>
                <w:rFonts w:ascii="Times New Roman" w:hAnsi="Times New Roman"/>
                <w:sz w:val="20"/>
                <w:szCs w:val="20"/>
              </w:rPr>
            </w:pPr>
          </w:p>
        </w:tc>
        <w:tc>
          <w:tcPr>
            <w:tcW w:w="50" w:type="pct"/>
            <w:shd w:val="clear" w:color="auto" w:fill="auto"/>
            <w:vAlign w:val="center"/>
          </w:tcPr>
          <w:p w14:paraId="606F770D" w14:textId="77777777" w:rsidR="00FB67F9" w:rsidRDefault="00FB67F9">
            <w:pPr>
              <w:rPr>
                <w:rFonts w:ascii="Times New Roman" w:hAnsi="Times New Roman"/>
                <w:sz w:val="20"/>
                <w:szCs w:val="20"/>
              </w:rPr>
            </w:pPr>
          </w:p>
        </w:tc>
        <w:tc>
          <w:tcPr>
            <w:tcW w:w="400" w:type="pct"/>
            <w:shd w:val="clear" w:color="auto" w:fill="auto"/>
            <w:vAlign w:val="center"/>
          </w:tcPr>
          <w:p w14:paraId="606F770E" w14:textId="77777777" w:rsidR="00FB67F9" w:rsidRDefault="00FB67F9">
            <w:pPr>
              <w:rPr>
                <w:rFonts w:ascii="Times New Roman" w:hAnsi="Times New Roman"/>
                <w:sz w:val="20"/>
                <w:szCs w:val="20"/>
              </w:rPr>
            </w:pPr>
          </w:p>
        </w:tc>
        <w:tc>
          <w:tcPr>
            <w:tcW w:w="50" w:type="pct"/>
            <w:shd w:val="clear" w:color="auto" w:fill="auto"/>
            <w:vAlign w:val="center"/>
          </w:tcPr>
          <w:p w14:paraId="606F770F" w14:textId="77777777" w:rsidR="00FB67F9" w:rsidRDefault="00FB67F9">
            <w:pPr>
              <w:rPr>
                <w:rFonts w:ascii="Times New Roman" w:hAnsi="Times New Roman"/>
                <w:sz w:val="20"/>
                <w:szCs w:val="20"/>
              </w:rPr>
            </w:pPr>
          </w:p>
        </w:tc>
        <w:tc>
          <w:tcPr>
            <w:tcW w:w="50" w:type="pct"/>
            <w:shd w:val="clear" w:color="auto" w:fill="auto"/>
            <w:vAlign w:val="center"/>
          </w:tcPr>
          <w:p w14:paraId="606F7710" w14:textId="77777777" w:rsidR="00FB67F9" w:rsidRDefault="00FB67F9">
            <w:pPr>
              <w:rPr>
                <w:rFonts w:ascii="Times New Roman" w:hAnsi="Times New Roman"/>
                <w:sz w:val="20"/>
                <w:szCs w:val="20"/>
              </w:rPr>
            </w:pPr>
          </w:p>
        </w:tc>
        <w:tc>
          <w:tcPr>
            <w:tcW w:w="1150" w:type="pct"/>
            <w:shd w:val="clear" w:color="auto" w:fill="auto"/>
            <w:vAlign w:val="center"/>
          </w:tcPr>
          <w:p w14:paraId="606F7711" w14:textId="77777777" w:rsidR="00FB67F9" w:rsidRDefault="00FB67F9">
            <w:pPr>
              <w:rPr>
                <w:rFonts w:ascii="Times New Roman" w:hAnsi="Times New Roman"/>
                <w:sz w:val="20"/>
                <w:szCs w:val="20"/>
              </w:rPr>
            </w:pPr>
          </w:p>
        </w:tc>
      </w:tr>
      <w:tr w:rsidR="00FB67F9" w14:paraId="606F7717" w14:textId="77777777">
        <w:tc>
          <w:tcPr>
            <w:tcW w:w="0" w:type="auto"/>
            <w:shd w:val="clear" w:color="auto" w:fill="auto"/>
            <w:tcMar>
              <w:top w:w="40" w:type="dxa"/>
              <w:left w:w="40" w:type="dxa"/>
              <w:bottom w:w="40" w:type="dxa"/>
              <w:right w:w="40" w:type="dxa"/>
            </w:tcMar>
            <w:vAlign w:val="bottom"/>
          </w:tcPr>
          <w:p w14:paraId="606F771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shd w:val="clear" w:color="auto" w:fill="auto"/>
            <w:tcMar>
              <w:top w:w="40" w:type="dxa"/>
              <w:left w:w="40" w:type="dxa"/>
              <w:bottom w:w="40" w:type="dxa"/>
            </w:tcMar>
            <w:vAlign w:val="bottom"/>
          </w:tcPr>
          <w:p w14:paraId="606F771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AMOUNT OF GAIN (LOSS) RECOGNIZED</w:t>
            </w:r>
            <w:r>
              <w:rPr>
                <w:rFonts w:ascii="Arial" w:eastAsia="宋体" w:hAnsi="Arial" w:cs="Arial"/>
                <w:sz w:val="17"/>
                <w:szCs w:val="17"/>
              </w:rPr>
              <w:t> </w:t>
            </w:r>
            <w:r>
              <w:rPr>
                <w:rFonts w:ascii="sans-serif" w:eastAsia="sans-serif" w:hAnsi="sans-serif" w:cs="sans-serif"/>
                <w:b/>
                <w:bCs/>
                <w:color w:val="000000"/>
                <w:sz w:val="17"/>
                <w:szCs w:val="17"/>
              </w:rPr>
              <w:br/>
              <w:t>IN INCOME ON DERIVATIVES</w:t>
            </w:r>
          </w:p>
        </w:tc>
        <w:tc>
          <w:tcPr>
            <w:tcW w:w="0" w:type="auto"/>
            <w:shd w:val="clear" w:color="auto" w:fill="auto"/>
            <w:tcMar>
              <w:top w:w="40" w:type="dxa"/>
              <w:left w:w="40" w:type="dxa"/>
              <w:bottom w:w="40" w:type="dxa"/>
              <w:right w:w="40" w:type="dxa"/>
            </w:tcMar>
            <w:vAlign w:val="bottom"/>
          </w:tcPr>
          <w:p w14:paraId="606F771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606F771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t> </w:t>
            </w:r>
            <w:r>
              <w:rPr>
                <w:rFonts w:ascii="Arial" w:eastAsia="宋体" w:hAnsi="Arial" w:cs="Arial"/>
                <w:sz w:val="17"/>
                <w:szCs w:val="17"/>
              </w:rPr>
              <w:t> </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t> </w:t>
            </w:r>
            <w:r>
              <w:rPr>
                <w:rFonts w:ascii="Arial" w:eastAsia="宋体" w:hAnsi="Arial" w:cs="Arial"/>
                <w:sz w:val="17"/>
                <w:szCs w:val="17"/>
              </w:rPr>
              <w:t> </w:t>
            </w:r>
            <w:r>
              <w:rPr>
                <w:rFonts w:ascii="sans-serif" w:eastAsia="sans-serif" w:hAnsi="sans-serif" w:cs="sans-serif"/>
                <w:b/>
                <w:bCs/>
                <w:color w:val="000000"/>
                <w:sz w:val="17"/>
                <w:szCs w:val="17"/>
              </w:rPr>
              <w:br/>
              <w:t>ON DERIVATIVES</w:t>
            </w:r>
          </w:p>
        </w:tc>
      </w:tr>
      <w:tr w:rsidR="00FB67F9" w14:paraId="606F771E" w14:textId="77777777">
        <w:tc>
          <w:tcPr>
            <w:tcW w:w="0" w:type="auto"/>
            <w:shd w:val="clear" w:color="auto" w:fill="auto"/>
            <w:tcMar>
              <w:top w:w="40" w:type="dxa"/>
              <w:left w:w="40" w:type="dxa"/>
              <w:bottom w:w="40" w:type="dxa"/>
              <w:right w:w="40" w:type="dxa"/>
            </w:tcMar>
            <w:vAlign w:val="bottom"/>
          </w:tcPr>
          <w:p w14:paraId="606F771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71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71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71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c>
          <w:tcPr>
            <w:tcW w:w="0" w:type="auto"/>
            <w:shd w:val="clear" w:color="auto" w:fill="auto"/>
            <w:tcMar>
              <w:top w:w="40" w:type="dxa"/>
              <w:left w:w="40" w:type="dxa"/>
              <w:bottom w:w="40" w:type="dxa"/>
              <w:right w:w="40" w:type="dxa"/>
            </w:tcMar>
            <w:vAlign w:val="bottom"/>
          </w:tcPr>
          <w:p w14:paraId="606F771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606F771D" w14:textId="77777777" w:rsidR="00FB67F9" w:rsidRDefault="00FB67F9">
            <w:pPr>
              <w:rPr>
                <w:rFonts w:ascii="Times New Roman" w:hAnsi="Times New Roman"/>
                <w:sz w:val="20"/>
                <w:szCs w:val="20"/>
              </w:rPr>
            </w:pPr>
          </w:p>
        </w:tc>
      </w:tr>
      <w:tr w:rsidR="00FB67F9" w14:paraId="606F772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71F"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72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72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72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72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72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72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606F7726" w14:textId="77777777" w:rsidR="00FB67F9" w:rsidRDefault="00FB67F9">
            <w:pPr>
              <w:rPr>
                <w:rFonts w:ascii="Times New Roman" w:hAnsi="Times New Roman"/>
                <w:sz w:val="20"/>
                <w:szCs w:val="20"/>
              </w:rPr>
            </w:pPr>
          </w:p>
        </w:tc>
      </w:tr>
      <w:tr w:rsidR="00FB67F9" w14:paraId="606F7730" w14:textId="77777777">
        <w:tc>
          <w:tcPr>
            <w:tcW w:w="0" w:type="auto"/>
            <w:shd w:val="clear" w:color="auto" w:fill="auto"/>
            <w:tcMar>
              <w:top w:w="40" w:type="dxa"/>
              <w:left w:w="40" w:type="dxa"/>
              <w:bottom w:w="40" w:type="dxa"/>
              <w:right w:w="40" w:type="dxa"/>
            </w:tcMar>
            <w:vAlign w:val="bottom"/>
          </w:tcPr>
          <w:p w14:paraId="606F7728" w14:textId="77777777" w:rsidR="00FB67F9" w:rsidRDefault="00E839DF">
            <w:pPr>
              <w:textAlignment w:val="bottom"/>
              <w:rPr>
                <w:rFonts w:ascii="Times New Roman" w:hAnsi="Times New Roman"/>
                <w:sz w:val="17"/>
                <w:szCs w:val="17"/>
              </w:rPr>
            </w:pPr>
            <w:r>
              <w:rPr>
                <w:rFonts w:ascii="Arial" w:eastAsia="宋体" w:hAnsi="Arial" w:cs="Arial"/>
                <w:sz w:val="17"/>
                <w:szCs w:val="17"/>
              </w:rPr>
              <w:t>Derivatives not designated as hedging instruments:</w:t>
            </w:r>
          </w:p>
        </w:tc>
        <w:tc>
          <w:tcPr>
            <w:tcW w:w="0" w:type="auto"/>
            <w:gridSpan w:val="3"/>
            <w:tcBorders>
              <w:top w:val="single" w:sz="8" w:space="0" w:color="E87722"/>
              <w:bottom w:val="single" w:sz="8" w:space="0" w:color="808080"/>
            </w:tcBorders>
            <w:shd w:val="clear" w:color="auto" w:fill="FFF1E7"/>
            <w:tcMar>
              <w:top w:w="40" w:type="dxa"/>
              <w:left w:w="40" w:type="dxa"/>
              <w:bottom w:w="40" w:type="dxa"/>
              <w:right w:w="40" w:type="dxa"/>
            </w:tcMar>
            <w:vAlign w:val="bottom"/>
          </w:tcPr>
          <w:p w14:paraId="606F772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auto"/>
            <w:tcMar>
              <w:top w:w="40" w:type="dxa"/>
              <w:left w:w="40" w:type="dxa"/>
              <w:bottom w:w="40" w:type="dxa"/>
              <w:right w:w="40" w:type="dxa"/>
            </w:tcMar>
            <w:vAlign w:val="bottom"/>
          </w:tcPr>
          <w:p w14:paraId="606F772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vAlign w:val="bottom"/>
          </w:tcPr>
          <w:p w14:paraId="606F772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808080"/>
            </w:tcBorders>
            <w:shd w:val="clear" w:color="auto" w:fill="FFF1E7"/>
            <w:tcMar>
              <w:top w:w="40" w:type="dxa"/>
              <w:left w:w="40" w:type="dxa"/>
              <w:bottom w:w="40" w:type="dxa"/>
              <w:right w:w="40" w:type="dxa"/>
            </w:tcMar>
            <w:vAlign w:val="bottom"/>
          </w:tcPr>
          <w:p w14:paraId="606F77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auto"/>
            <w:tcMar>
              <w:top w:w="40" w:type="dxa"/>
              <w:left w:w="40" w:type="dxa"/>
              <w:bottom w:w="40" w:type="dxa"/>
              <w:right w:w="40" w:type="dxa"/>
            </w:tcMar>
            <w:vAlign w:val="bottom"/>
          </w:tcPr>
          <w:p w14:paraId="606F77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72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72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74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731"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73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7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73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808080"/>
            </w:tcBorders>
            <w:shd w:val="clear" w:color="auto" w:fill="auto"/>
            <w:tcMar>
              <w:top w:w="40" w:type="dxa"/>
              <w:left w:w="40" w:type="dxa"/>
              <w:bottom w:w="40" w:type="dxa"/>
            </w:tcMar>
            <w:vAlign w:val="bottom"/>
          </w:tcPr>
          <w:p w14:paraId="606F773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808080"/>
            </w:tcBorders>
            <w:shd w:val="clear" w:color="auto" w:fill="auto"/>
            <w:tcMar>
              <w:top w:w="40" w:type="dxa"/>
              <w:bottom w:w="40" w:type="dxa"/>
            </w:tcMar>
            <w:vAlign w:val="bottom"/>
          </w:tcPr>
          <w:p w14:paraId="606F773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74</w:t>
            </w:r>
          </w:p>
        </w:tc>
        <w:tc>
          <w:tcPr>
            <w:tcW w:w="0" w:type="auto"/>
            <w:tcBorders>
              <w:bottom w:val="single" w:sz="8" w:space="0" w:color="808080"/>
            </w:tcBorders>
            <w:shd w:val="clear" w:color="auto" w:fill="auto"/>
            <w:vAlign w:val="bottom"/>
          </w:tcPr>
          <w:p w14:paraId="606F7737"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right w:w="40" w:type="dxa"/>
            </w:tcMar>
            <w:vAlign w:val="bottom"/>
          </w:tcPr>
          <w:p w14:paraId="606F773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FFF1E7"/>
            <w:tcMar>
              <w:top w:w="40" w:type="dxa"/>
              <w:left w:w="40" w:type="dxa"/>
              <w:bottom w:w="40" w:type="dxa"/>
            </w:tcMar>
            <w:vAlign w:val="bottom"/>
          </w:tcPr>
          <w:p w14:paraId="606F773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808080"/>
            </w:tcBorders>
            <w:shd w:val="clear" w:color="auto" w:fill="FFF1E7"/>
            <w:tcMar>
              <w:top w:w="40" w:type="dxa"/>
              <w:bottom w:w="40" w:type="dxa"/>
            </w:tcMar>
            <w:vAlign w:val="bottom"/>
          </w:tcPr>
          <w:p w14:paraId="606F77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w:t>
            </w:r>
          </w:p>
        </w:tc>
        <w:tc>
          <w:tcPr>
            <w:tcW w:w="0" w:type="auto"/>
            <w:tcBorders>
              <w:bottom w:val="single" w:sz="8" w:space="0" w:color="808080"/>
            </w:tcBorders>
            <w:shd w:val="clear" w:color="auto" w:fill="FFF1E7"/>
            <w:tcMar>
              <w:top w:w="40" w:type="dxa"/>
              <w:bottom w:w="40" w:type="dxa"/>
              <w:right w:w="40" w:type="dxa"/>
            </w:tcMar>
            <w:vAlign w:val="bottom"/>
          </w:tcPr>
          <w:p w14:paraId="606F773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808080"/>
            </w:tcBorders>
            <w:shd w:val="clear" w:color="auto" w:fill="auto"/>
            <w:tcMar>
              <w:top w:w="40" w:type="dxa"/>
              <w:left w:w="40" w:type="dxa"/>
              <w:bottom w:w="40" w:type="dxa"/>
            </w:tcMar>
            <w:vAlign w:val="bottom"/>
          </w:tcPr>
          <w:p w14:paraId="606F773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808080"/>
            </w:tcBorders>
            <w:shd w:val="clear" w:color="auto" w:fill="auto"/>
            <w:tcMar>
              <w:top w:w="40" w:type="dxa"/>
              <w:bottom w:w="40" w:type="dxa"/>
            </w:tcMar>
            <w:vAlign w:val="bottom"/>
          </w:tcPr>
          <w:p w14:paraId="606F773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188</w:t>
            </w:r>
          </w:p>
        </w:tc>
        <w:tc>
          <w:tcPr>
            <w:tcW w:w="0" w:type="auto"/>
            <w:tcBorders>
              <w:bottom w:val="single" w:sz="8" w:space="0" w:color="808080"/>
            </w:tcBorders>
            <w:shd w:val="clear" w:color="auto" w:fill="auto"/>
            <w:vAlign w:val="bottom"/>
          </w:tcPr>
          <w:p w14:paraId="606F773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73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74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Other (income) expense, net</w:t>
            </w:r>
          </w:p>
        </w:tc>
      </w:tr>
      <w:tr w:rsidR="00FB67F9" w14:paraId="606F774E"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7742" w14:textId="77777777" w:rsidR="00FB67F9" w:rsidRDefault="00E839DF">
            <w:pPr>
              <w:textAlignment w:val="bottom"/>
              <w:rPr>
                <w:rFonts w:ascii="Times New Roman" w:hAnsi="Times New Roman"/>
                <w:sz w:val="17"/>
                <w:szCs w:val="17"/>
              </w:rPr>
            </w:pPr>
            <w:r>
              <w:rPr>
                <w:rFonts w:ascii="Arial" w:eastAsia="宋体" w:hAnsi="Arial" w:cs="Arial"/>
                <w:sz w:val="17"/>
                <w:szCs w:val="17"/>
              </w:rPr>
              <w:t>Embedded de</w:t>
            </w:r>
            <w:r>
              <w:rPr>
                <w:rFonts w:ascii="Arial" w:eastAsia="宋体" w:hAnsi="Arial" w:cs="Arial"/>
                <w:sz w:val="17"/>
                <w:szCs w:val="17"/>
              </w:rPr>
              <w:t>rivatives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7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bottom w:val="single" w:sz="8" w:space="0" w:color="E87722"/>
            </w:tcBorders>
            <w:shd w:val="clear" w:color="auto" w:fill="FFF1E7"/>
            <w:tcMar>
              <w:top w:w="40" w:type="dxa"/>
              <w:bottom w:w="40" w:type="dxa"/>
              <w:right w:w="40" w:type="dxa"/>
            </w:tcMar>
            <w:vAlign w:val="bottom"/>
          </w:tcPr>
          <w:p w14:paraId="606F774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77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bottom w:val="single" w:sz="8" w:space="0" w:color="E87722"/>
            </w:tcBorders>
            <w:shd w:val="clear" w:color="auto" w:fill="auto"/>
            <w:vAlign w:val="bottom"/>
          </w:tcPr>
          <w:p w14:paraId="606F7746"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74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74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bottom w:val="single" w:sz="8" w:space="0" w:color="E87722"/>
            </w:tcBorders>
            <w:shd w:val="clear" w:color="auto" w:fill="FFF1E7"/>
            <w:tcMar>
              <w:top w:w="40" w:type="dxa"/>
              <w:bottom w:w="40" w:type="dxa"/>
              <w:right w:w="40" w:type="dxa"/>
            </w:tcMar>
            <w:vAlign w:val="bottom"/>
          </w:tcPr>
          <w:p w14:paraId="606F774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77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bottom w:val="single" w:sz="8" w:space="0" w:color="E87722"/>
            </w:tcBorders>
            <w:shd w:val="clear" w:color="auto" w:fill="auto"/>
            <w:vAlign w:val="bottom"/>
          </w:tcPr>
          <w:p w14:paraId="606F774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74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74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Other (income) expense, net</w:t>
            </w:r>
          </w:p>
        </w:tc>
      </w:tr>
    </w:tbl>
    <w:p w14:paraId="606F774F" w14:textId="77777777" w:rsidR="00FB67F9" w:rsidRDefault="00FB67F9">
      <w:pPr>
        <w:spacing w:line="312" w:lineRule="auto"/>
        <w:rPr>
          <w:rFonts w:ascii="Times New Roman" w:hAnsi="Times New Roman"/>
          <w:sz w:val="20"/>
          <w:szCs w:val="20"/>
        </w:rPr>
      </w:pPr>
    </w:p>
    <w:p w14:paraId="606F7750"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CASH FLOW HEDGES</w:t>
      </w:r>
    </w:p>
    <w:p w14:paraId="606F775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All changes in fair value of derivatives designated as cash flow hedges are recorded in </w:t>
      </w:r>
      <w:r>
        <w:rPr>
          <w:rFonts w:ascii="Arial" w:eastAsia="宋体" w:hAnsi="Arial" w:cs="Arial"/>
          <w:i/>
          <w:iCs/>
          <w:sz w:val="17"/>
          <w:szCs w:val="17"/>
        </w:rPr>
        <w:t>Accumulated other comprehensive income (loss)</w:t>
      </w:r>
      <w:r>
        <w:rPr>
          <w:rFonts w:ascii="Arial" w:eastAsia="宋体" w:hAnsi="Arial" w:cs="Arial"/>
          <w:sz w:val="17"/>
          <w:szCs w:val="17"/>
        </w:rPr>
        <w:t> until </w:t>
      </w:r>
      <w:r>
        <w:rPr>
          <w:rFonts w:ascii="Arial" w:eastAsia="宋体" w:hAnsi="Arial" w:cs="Arial"/>
          <w:i/>
          <w:iCs/>
          <w:sz w:val="17"/>
          <w:szCs w:val="17"/>
        </w:rPr>
        <w:t>Net income</w:t>
      </w:r>
      <w:r>
        <w:rPr>
          <w:rFonts w:ascii="Arial" w:eastAsia="宋体" w:hAnsi="Arial" w:cs="Arial"/>
          <w:sz w:val="17"/>
          <w:szCs w:val="17"/>
        </w:rPr>
        <w:t> is affected by the variability of cash flows of the hedged transaction. Effective hedge results are classified in the Unaudited Condensed Consolidated Statements of Income in the same manner as the underlying exposure. Derivative instruments designated as</w:t>
      </w:r>
      <w:r>
        <w:rPr>
          <w:rFonts w:ascii="Arial" w:eastAsia="宋体" w:hAnsi="Arial" w:cs="Arial"/>
          <w:sz w:val="17"/>
          <w:szCs w:val="17"/>
        </w:rPr>
        <w:t xml:space="preserve"> cash flow hedges must be discontinued when it is no longer probable the forecasted hedged transaction will occur in the initially identified time period. The gains and losses associated with discontinued derivative instruments in </w:t>
      </w:r>
      <w:r>
        <w:rPr>
          <w:rFonts w:ascii="Arial" w:eastAsia="宋体" w:hAnsi="Arial" w:cs="Arial"/>
          <w:i/>
          <w:iCs/>
          <w:sz w:val="17"/>
          <w:szCs w:val="17"/>
        </w:rPr>
        <w:t>Accumulated other compreh</w:t>
      </w:r>
      <w:r>
        <w:rPr>
          <w:rFonts w:ascii="Arial" w:eastAsia="宋体" w:hAnsi="Arial" w:cs="Arial"/>
          <w:i/>
          <w:iCs/>
          <w:sz w:val="17"/>
          <w:szCs w:val="17"/>
        </w:rPr>
        <w:t>ensive income (loss)</w:t>
      </w:r>
      <w:r>
        <w:rPr>
          <w:rFonts w:ascii="Arial" w:eastAsia="宋体" w:hAnsi="Arial" w:cs="Arial"/>
          <w:sz w:val="17"/>
          <w:szCs w:val="17"/>
        </w:rPr>
        <w:t xml:space="preserve"> will be recognized immediately in </w:t>
      </w:r>
      <w:r>
        <w:rPr>
          <w:rFonts w:ascii="Arial" w:eastAsia="宋体" w:hAnsi="Arial" w:cs="Arial"/>
          <w:i/>
          <w:iCs/>
          <w:sz w:val="17"/>
          <w:szCs w:val="17"/>
        </w:rPr>
        <w:t>Other (income) expense, net</w:t>
      </w:r>
      <w:r>
        <w:rPr>
          <w:rFonts w:ascii="Arial" w:eastAsia="宋体" w:hAnsi="Arial" w:cs="Arial"/>
          <w:sz w:val="17"/>
          <w:szCs w:val="17"/>
        </w:rPr>
        <w:t>, if it is probable the forecasted hedged transaction will not occur by the end of the initially identified time period or within an additional two-month period thereafter. I</w:t>
      </w:r>
      <w:r>
        <w:rPr>
          <w:rFonts w:ascii="Arial" w:eastAsia="宋体" w:hAnsi="Arial" w:cs="Arial"/>
          <w:sz w:val="17"/>
          <w:szCs w:val="17"/>
        </w:rPr>
        <w:t xml:space="preserve">n all situations in which hedge accounting is discontinued and the derivative remains outstanding, the Company accounts for the derivative as an undesignated instrument as discussed below. </w:t>
      </w:r>
    </w:p>
    <w:p w14:paraId="606F775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total notional amount of outstanding foreign currency derivati</w:t>
      </w:r>
      <w:r>
        <w:rPr>
          <w:rFonts w:ascii="Arial" w:eastAsia="宋体" w:hAnsi="Arial" w:cs="Arial"/>
          <w:sz w:val="17"/>
          <w:szCs w:val="17"/>
        </w:rPr>
        <w:t xml:space="preserve">ves designated as cash flow hedges was approximately $9.0 billion as of November 30, 2019. Approximately $389 million of deferred net gains (net of tax) on both outstanding and matured derivatives in </w:t>
      </w:r>
      <w:r>
        <w:rPr>
          <w:rFonts w:ascii="Arial" w:eastAsia="宋体" w:hAnsi="Arial" w:cs="Arial"/>
          <w:i/>
          <w:iCs/>
          <w:sz w:val="17"/>
          <w:szCs w:val="17"/>
        </w:rPr>
        <w:t xml:space="preserve">Accumulated other comprehensive income (loss) </w:t>
      </w:r>
      <w:r>
        <w:rPr>
          <w:rFonts w:ascii="Arial" w:eastAsia="宋体" w:hAnsi="Arial" w:cs="Arial"/>
          <w:sz w:val="17"/>
          <w:szCs w:val="17"/>
        </w:rPr>
        <w:t>as of Nove</w:t>
      </w:r>
      <w:r>
        <w:rPr>
          <w:rFonts w:ascii="Arial" w:eastAsia="宋体" w:hAnsi="Arial" w:cs="Arial"/>
          <w:sz w:val="17"/>
          <w:szCs w:val="17"/>
        </w:rPr>
        <w:t xml:space="preserve">mber 30, 2019, are expected to be reclassified to </w:t>
      </w:r>
      <w:r>
        <w:rPr>
          <w:rFonts w:ascii="Arial" w:eastAsia="宋体" w:hAnsi="Arial" w:cs="Arial"/>
          <w:i/>
          <w:iCs/>
          <w:sz w:val="17"/>
          <w:szCs w:val="17"/>
        </w:rPr>
        <w:t>Net income</w:t>
      </w:r>
      <w:r>
        <w:rPr>
          <w:rFonts w:ascii="Arial" w:eastAsia="宋体" w:hAnsi="Arial" w:cs="Arial"/>
          <w:sz w:val="17"/>
          <w:szCs w:val="17"/>
        </w:rPr>
        <w:t xml:space="preserve"> during the next 12 months concurrent with the underlying hedged transactions also being recorded in </w:t>
      </w:r>
      <w:r>
        <w:rPr>
          <w:rFonts w:ascii="Arial" w:eastAsia="宋体" w:hAnsi="Arial" w:cs="Arial"/>
          <w:i/>
          <w:iCs/>
          <w:sz w:val="17"/>
          <w:szCs w:val="17"/>
        </w:rPr>
        <w:t>Net income</w:t>
      </w:r>
      <w:r>
        <w:rPr>
          <w:rFonts w:ascii="Arial" w:eastAsia="宋体" w:hAnsi="Arial" w:cs="Arial"/>
          <w:sz w:val="17"/>
          <w:szCs w:val="17"/>
        </w:rPr>
        <w:t xml:space="preserve">. Actual amounts ultimately reclassified to </w:t>
      </w:r>
      <w:r>
        <w:rPr>
          <w:rFonts w:ascii="Arial" w:eastAsia="宋体" w:hAnsi="Arial" w:cs="Arial"/>
          <w:i/>
          <w:iCs/>
          <w:sz w:val="17"/>
          <w:szCs w:val="17"/>
        </w:rPr>
        <w:t>Net income</w:t>
      </w:r>
      <w:r>
        <w:rPr>
          <w:rFonts w:ascii="Arial" w:eastAsia="宋体" w:hAnsi="Arial" w:cs="Arial"/>
          <w:sz w:val="17"/>
          <w:szCs w:val="17"/>
        </w:rPr>
        <w:t xml:space="preserve"> are dependent on the exchange </w:t>
      </w:r>
      <w:r>
        <w:rPr>
          <w:rFonts w:ascii="Arial" w:eastAsia="宋体" w:hAnsi="Arial" w:cs="Arial"/>
          <w:sz w:val="17"/>
          <w:szCs w:val="17"/>
        </w:rPr>
        <w:t>rates in effect when derivative contracts currently outstanding mature. As of November 30, 2019, the maximum term over which the Company hedges exposures to the variability of cash flows for its forecasted transactions was 18 months.</w:t>
      </w:r>
    </w:p>
    <w:p w14:paraId="606F7753" w14:textId="77777777" w:rsidR="00FB67F9" w:rsidRDefault="00FB67F9">
      <w:pPr>
        <w:rPr>
          <w:rFonts w:ascii="Times New Roman" w:hAnsi="Times New Roman"/>
          <w:sz w:val="20"/>
          <w:szCs w:val="20"/>
        </w:rPr>
      </w:pPr>
    </w:p>
    <w:p w14:paraId="606F7754"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16</w:t>
      </w:r>
      <w:r>
        <w:rPr>
          <w:rFonts w:ascii="sans-serif" w:eastAsia="sans-serif" w:hAnsi="sans-serif" w:cs="sans-serif"/>
          <w:sz w:val="17"/>
          <w:szCs w:val="17"/>
        </w:rPr>
        <w:t xml:space="preserve"> </w:t>
      </w:r>
    </w:p>
    <w:p w14:paraId="606F7755" w14:textId="77777777" w:rsidR="00FB67F9" w:rsidRDefault="00E839DF">
      <w:r>
        <w:rPr>
          <w:rFonts w:ascii="Times New Roman" w:hAnsi="Times New Roman"/>
          <w:sz w:val="17"/>
          <w:szCs w:val="17"/>
        </w:rPr>
        <w:pict w14:anchorId="606F8F8D">
          <v:rect id="_x0000_i1042" style="width:415.3pt;height:1.5pt" o:hralign="center" o:hrstd="t" o:hr="t" fillcolor="#a0a0a0" stroked="f"/>
        </w:pict>
      </w:r>
    </w:p>
    <w:p w14:paraId="606F7756" w14:textId="77777777" w:rsidR="00FB67F9" w:rsidRDefault="00FB67F9">
      <w:pPr>
        <w:rPr>
          <w:rFonts w:ascii="Times New Roman" w:hAnsi="Times New Roman"/>
          <w:sz w:val="17"/>
          <w:szCs w:val="17"/>
        </w:rPr>
      </w:pPr>
    </w:p>
    <w:p w14:paraId="606F7757" w14:textId="77777777" w:rsidR="00FB67F9" w:rsidRDefault="00E839DF">
      <w:pPr>
        <w:rPr>
          <w:rFonts w:ascii="Times New Roman" w:hAnsi="Times New Roman"/>
          <w:sz w:val="17"/>
          <w:szCs w:val="17"/>
        </w:rPr>
      </w:pPr>
      <w:hyperlink r:id="rId86" w:anchor="s42C493F7582652B69E70047AB812E6A5" w:history="1">
        <w:r>
          <w:rPr>
            <w:rStyle w:val="a5"/>
            <w:rFonts w:ascii="sans-serif" w:eastAsia="sans-serif" w:hAnsi="sans-serif" w:cs="sans-serif"/>
            <w:sz w:val="17"/>
            <w:szCs w:val="17"/>
          </w:rPr>
          <w:t>Table of Contents</w:t>
        </w:r>
      </w:hyperlink>
    </w:p>
    <w:p w14:paraId="606F7758" w14:textId="77777777" w:rsidR="00FB67F9" w:rsidRDefault="00FB67F9">
      <w:pPr>
        <w:rPr>
          <w:rFonts w:ascii="Times New Roman" w:hAnsi="Times New Roman"/>
          <w:sz w:val="17"/>
          <w:szCs w:val="17"/>
        </w:rPr>
      </w:pPr>
    </w:p>
    <w:p w14:paraId="606F7759" w14:textId="77777777" w:rsidR="00FB67F9" w:rsidRDefault="00FB67F9">
      <w:pPr>
        <w:rPr>
          <w:rFonts w:ascii="Times New Roman" w:hAnsi="Times New Roman"/>
          <w:sz w:val="20"/>
          <w:szCs w:val="20"/>
        </w:rPr>
      </w:pPr>
    </w:p>
    <w:p w14:paraId="606F775A"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UNDESIGNATED DERIVATIVE INSTRUMENTS</w:t>
      </w:r>
    </w:p>
    <w:p w14:paraId="606F775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Company may elect to enter into foreign exchange forwards to mitigate the change in fair value of specific assets and liabilities on the Unaudited Condensed Consolidated Balance Sheets and/or the embedded derivative contracts. These undesignated instru</w:t>
      </w:r>
      <w:r>
        <w:rPr>
          <w:rFonts w:ascii="Arial" w:eastAsia="宋体" w:hAnsi="Arial" w:cs="Arial"/>
          <w:sz w:val="17"/>
          <w:szCs w:val="17"/>
        </w:rPr>
        <w:t xml:space="preserve">ments are recorded at fair value as a derivative asset or liability on the Unaudited Condensed Consolidated Balance Sheets with their corresponding change in fair value recognized in </w:t>
      </w:r>
      <w:r>
        <w:rPr>
          <w:rFonts w:ascii="Arial" w:eastAsia="宋体" w:hAnsi="Arial" w:cs="Arial"/>
          <w:i/>
          <w:iCs/>
          <w:sz w:val="17"/>
          <w:szCs w:val="17"/>
        </w:rPr>
        <w:t>Other (income) expense, net</w:t>
      </w:r>
      <w:r>
        <w:rPr>
          <w:rFonts w:ascii="Arial" w:eastAsia="宋体" w:hAnsi="Arial" w:cs="Arial"/>
          <w:sz w:val="17"/>
          <w:szCs w:val="17"/>
        </w:rPr>
        <w:t>, together with the re-measurement gain or los</w:t>
      </w:r>
      <w:r>
        <w:rPr>
          <w:rFonts w:ascii="Arial" w:eastAsia="宋体" w:hAnsi="Arial" w:cs="Arial"/>
          <w:sz w:val="17"/>
          <w:szCs w:val="17"/>
        </w:rPr>
        <w:t>s from the hedged balance sheet position and/or embedded derivative contract. The total notional amount of outstanding undesignated derivative instruments was $3.9 billion as of November 30, 2019.</w:t>
      </w:r>
    </w:p>
    <w:p w14:paraId="606F775C"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EMBEDDED DERIVATIVES</w:t>
      </w:r>
    </w:p>
    <w:p w14:paraId="606F775D"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Embedded derivative contracts are trea</w:t>
      </w:r>
      <w:r>
        <w:rPr>
          <w:rFonts w:ascii="Arial" w:eastAsia="宋体" w:hAnsi="Arial" w:cs="Arial"/>
          <w:sz w:val="17"/>
          <w:szCs w:val="17"/>
        </w:rPr>
        <w:t>ted as foreign currency forward contracts that are bifurcated from the related contract and recorded at fair value as a derivative asset or liability on the Unaudited Condensed Consolidated Balance Sheets with their corresponding change in fair value recog</w:t>
      </w:r>
      <w:r>
        <w:rPr>
          <w:rFonts w:ascii="Arial" w:eastAsia="宋体" w:hAnsi="Arial" w:cs="Arial"/>
          <w:sz w:val="17"/>
          <w:szCs w:val="17"/>
        </w:rPr>
        <w:t>nized in </w:t>
      </w:r>
      <w:r>
        <w:rPr>
          <w:rFonts w:ascii="Arial" w:eastAsia="宋体" w:hAnsi="Arial" w:cs="Arial"/>
          <w:i/>
          <w:iCs/>
          <w:sz w:val="17"/>
          <w:szCs w:val="17"/>
        </w:rPr>
        <w:t>Other (income) expense, net</w:t>
      </w:r>
      <w:r>
        <w:rPr>
          <w:rFonts w:ascii="Arial" w:eastAsia="宋体" w:hAnsi="Arial" w:cs="Arial"/>
          <w:sz w:val="17"/>
          <w:szCs w:val="17"/>
        </w:rPr>
        <w:t xml:space="preserve">, through the date the foreign currency fluctuations cease to exist. </w:t>
      </w:r>
    </w:p>
    <w:p w14:paraId="606F775E"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At November 30, 2019, the total notional amount of embedded derivatives outstanding was approximately $363 million.</w:t>
      </w:r>
    </w:p>
    <w:p w14:paraId="606F775F"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CREDIT RISK</w:t>
      </w:r>
    </w:p>
    <w:p w14:paraId="606F776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Company's bilatera</w:t>
      </w:r>
      <w:r>
        <w:rPr>
          <w:rFonts w:ascii="Arial" w:eastAsia="宋体" w:hAnsi="Arial" w:cs="Arial"/>
          <w:sz w:val="17"/>
          <w:szCs w:val="17"/>
        </w:rPr>
        <w:t>l credit-related contingent features generally require the owing entity, either the Company or the derivative counterparty, to post collateral for the portion of the fair value in excess of $50 million should the fair value of outstanding derivatives per c</w:t>
      </w:r>
      <w:r>
        <w:rPr>
          <w:rFonts w:ascii="Arial" w:eastAsia="宋体" w:hAnsi="Arial" w:cs="Arial"/>
          <w:sz w:val="17"/>
          <w:szCs w:val="17"/>
        </w:rPr>
        <w:t xml:space="preserve">ounterparty be greater than $50 million. Additionally, a certain level of decline in credit rating of either the Company or the counterparty could also trigger collateral requirements. As of November 30, 2019, the Company was in compliance with all credit </w:t>
      </w:r>
      <w:r>
        <w:rPr>
          <w:rFonts w:ascii="Arial" w:eastAsia="宋体" w:hAnsi="Arial" w:cs="Arial"/>
          <w:sz w:val="17"/>
          <w:szCs w:val="17"/>
        </w:rPr>
        <w:t>risk-related contingent features, and derivative instruments with such features were in a net liability position of $20 million. Accordingly, the Company was not required to post any collateral as a result of these contingent features. Further, as of Novem</w:t>
      </w:r>
      <w:r>
        <w:rPr>
          <w:rFonts w:ascii="Arial" w:eastAsia="宋体" w:hAnsi="Arial" w:cs="Arial"/>
          <w:sz w:val="17"/>
          <w:szCs w:val="17"/>
        </w:rPr>
        <w:t>ber 30, 2019, the Company had $122 million of cash collateral received from various counterparties to its derivative contracts. The Company considers the impact of the risk of counterparty default to be immaterial.</w:t>
      </w:r>
    </w:p>
    <w:p w14:paraId="606F776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For additional information related to the</w:t>
      </w:r>
      <w:r>
        <w:rPr>
          <w:rFonts w:ascii="Arial" w:eastAsia="宋体" w:hAnsi="Arial" w:cs="Arial"/>
          <w:sz w:val="17"/>
          <w:szCs w:val="17"/>
        </w:rPr>
        <w:t xml:space="preserve"> Company's derivative financial instruments and collateral, refer to Note 4 — Fair Value Measurements.</w:t>
      </w:r>
    </w:p>
    <w:tbl>
      <w:tblPr>
        <w:tblW w:w="5000" w:type="pct"/>
        <w:tblCellMar>
          <w:left w:w="0" w:type="dxa"/>
          <w:right w:w="0" w:type="dxa"/>
        </w:tblCellMar>
        <w:tblLook w:val="04A0" w:firstRow="1" w:lastRow="0" w:firstColumn="1" w:lastColumn="0" w:noHBand="0" w:noVBand="1"/>
      </w:tblPr>
      <w:tblGrid>
        <w:gridCol w:w="8306"/>
      </w:tblGrid>
      <w:tr w:rsidR="00FB67F9" w14:paraId="606F7763" w14:textId="77777777">
        <w:tc>
          <w:tcPr>
            <w:tcW w:w="0" w:type="auto"/>
            <w:shd w:val="clear" w:color="auto" w:fill="auto"/>
            <w:vAlign w:val="center"/>
          </w:tcPr>
          <w:p w14:paraId="606F7762" w14:textId="77777777" w:rsidR="00FB67F9" w:rsidRDefault="00FB67F9">
            <w:pPr>
              <w:rPr>
                <w:rFonts w:ascii="Times New Roman" w:hAnsi="Times New Roman"/>
                <w:sz w:val="20"/>
                <w:szCs w:val="20"/>
              </w:rPr>
            </w:pPr>
          </w:p>
        </w:tc>
      </w:tr>
      <w:tr w:rsidR="00FB67F9" w14:paraId="606F7765" w14:textId="77777777">
        <w:tc>
          <w:tcPr>
            <w:tcW w:w="5000" w:type="pct"/>
            <w:shd w:val="clear" w:color="auto" w:fill="auto"/>
            <w:vAlign w:val="center"/>
          </w:tcPr>
          <w:p w14:paraId="606F7764" w14:textId="77777777" w:rsidR="00FB67F9" w:rsidRDefault="00FB67F9">
            <w:pPr>
              <w:rPr>
                <w:rFonts w:ascii="Times New Roman" w:hAnsi="Times New Roman"/>
                <w:sz w:val="20"/>
                <w:szCs w:val="20"/>
              </w:rPr>
            </w:pPr>
          </w:p>
        </w:tc>
      </w:tr>
      <w:tr w:rsidR="00FB67F9" w14:paraId="606F7767" w14:textId="77777777">
        <w:tc>
          <w:tcPr>
            <w:tcW w:w="0" w:type="auto"/>
            <w:shd w:val="clear" w:color="auto" w:fill="auto"/>
            <w:tcMar>
              <w:top w:w="40" w:type="dxa"/>
              <w:left w:w="40" w:type="dxa"/>
              <w:bottom w:w="40" w:type="dxa"/>
              <w:right w:w="40" w:type="dxa"/>
            </w:tcMar>
            <w:vAlign w:val="bottom"/>
          </w:tcPr>
          <w:p w14:paraId="606F7766"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10 — ACCUMULATED OTHER COMPREHENSIVE INCOME (LOSS)</w:t>
            </w:r>
          </w:p>
        </w:tc>
      </w:tr>
    </w:tbl>
    <w:p w14:paraId="606F776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changes in </w:t>
      </w:r>
      <w:r>
        <w:rPr>
          <w:rFonts w:ascii="Arial" w:eastAsia="宋体" w:hAnsi="Arial" w:cs="Arial"/>
          <w:i/>
          <w:iCs/>
          <w:sz w:val="17"/>
          <w:szCs w:val="17"/>
        </w:rPr>
        <w:t>Accumulated other comprehensive income (loss)</w:t>
      </w:r>
      <w:r>
        <w:rPr>
          <w:rFonts w:ascii="Arial" w:eastAsia="宋体" w:hAnsi="Arial" w:cs="Arial"/>
          <w:sz w:val="17"/>
          <w:szCs w:val="17"/>
        </w:rPr>
        <w:t xml:space="preserve">, net of tax, were as </w:t>
      </w:r>
      <w:r>
        <w:rPr>
          <w:rFonts w:ascii="Arial" w:eastAsia="宋体" w:hAnsi="Arial" w:cs="Arial"/>
          <w:sz w:val="17"/>
          <w:szCs w:val="17"/>
        </w:rPr>
        <w:t>follows:</w:t>
      </w:r>
    </w:p>
    <w:tbl>
      <w:tblPr>
        <w:tblW w:w="5000" w:type="pct"/>
        <w:tblCellMar>
          <w:left w:w="0" w:type="dxa"/>
          <w:right w:w="0" w:type="dxa"/>
        </w:tblCellMar>
        <w:tblLook w:val="04A0" w:firstRow="1" w:lastRow="0" w:firstColumn="1" w:lastColumn="0" w:noHBand="0" w:noVBand="1"/>
      </w:tblPr>
      <w:tblGrid>
        <w:gridCol w:w="3835"/>
        <w:gridCol w:w="136"/>
        <w:gridCol w:w="1072"/>
        <w:gridCol w:w="97"/>
        <w:gridCol w:w="136"/>
        <w:gridCol w:w="541"/>
        <w:gridCol w:w="97"/>
        <w:gridCol w:w="136"/>
        <w:gridCol w:w="864"/>
        <w:gridCol w:w="6"/>
        <w:gridCol w:w="136"/>
        <w:gridCol w:w="467"/>
        <w:gridCol w:w="97"/>
        <w:gridCol w:w="136"/>
        <w:gridCol w:w="453"/>
        <w:gridCol w:w="97"/>
      </w:tblGrid>
      <w:tr w:rsidR="00FB67F9" w14:paraId="606F776A" w14:textId="77777777">
        <w:tc>
          <w:tcPr>
            <w:tcW w:w="0" w:type="auto"/>
            <w:gridSpan w:val="16"/>
            <w:shd w:val="clear" w:color="auto" w:fill="auto"/>
            <w:vAlign w:val="center"/>
          </w:tcPr>
          <w:p w14:paraId="606F7769" w14:textId="77777777" w:rsidR="00FB67F9" w:rsidRDefault="00FB67F9">
            <w:pPr>
              <w:rPr>
                <w:rFonts w:ascii="Times New Roman" w:hAnsi="Times New Roman"/>
                <w:sz w:val="20"/>
                <w:szCs w:val="20"/>
              </w:rPr>
            </w:pPr>
          </w:p>
        </w:tc>
      </w:tr>
      <w:tr w:rsidR="00FB67F9" w14:paraId="606F777B" w14:textId="77777777">
        <w:tc>
          <w:tcPr>
            <w:tcW w:w="2400" w:type="pct"/>
            <w:shd w:val="clear" w:color="auto" w:fill="auto"/>
            <w:vAlign w:val="center"/>
          </w:tcPr>
          <w:p w14:paraId="606F776B" w14:textId="77777777" w:rsidR="00FB67F9" w:rsidRDefault="00FB67F9">
            <w:pPr>
              <w:rPr>
                <w:rFonts w:ascii="Times New Roman" w:hAnsi="Times New Roman"/>
                <w:sz w:val="20"/>
                <w:szCs w:val="20"/>
              </w:rPr>
            </w:pPr>
          </w:p>
        </w:tc>
        <w:tc>
          <w:tcPr>
            <w:tcW w:w="50" w:type="pct"/>
            <w:shd w:val="clear" w:color="auto" w:fill="auto"/>
            <w:vAlign w:val="center"/>
          </w:tcPr>
          <w:p w14:paraId="606F776C" w14:textId="77777777" w:rsidR="00FB67F9" w:rsidRDefault="00FB67F9">
            <w:pPr>
              <w:rPr>
                <w:rFonts w:ascii="Times New Roman" w:hAnsi="Times New Roman"/>
                <w:sz w:val="20"/>
                <w:szCs w:val="20"/>
              </w:rPr>
            </w:pPr>
          </w:p>
        </w:tc>
        <w:tc>
          <w:tcPr>
            <w:tcW w:w="500" w:type="pct"/>
            <w:shd w:val="clear" w:color="auto" w:fill="auto"/>
            <w:vAlign w:val="center"/>
          </w:tcPr>
          <w:p w14:paraId="606F776D" w14:textId="77777777" w:rsidR="00FB67F9" w:rsidRDefault="00FB67F9">
            <w:pPr>
              <w:rPr>
                <w:rFonts w:ascii="Times New Roman" w:hAnsi="Times New Roman"/>
                <w:sz w:val="20"/>
                <w:szCs w:val="20"/>
              </w:rPr>
            </w:pPr>
          </w:p>
        </w:tc>
        <w:tc>
          <w:tcPr>
            <w:tcW w:w="50" w:type="pct"/>
            <w:shd w:val="clear" w:color="auto" w:fill="auto"/>
            <w:vAlign w:val="center"/>
          </w:tcPr>
          <w:p w14:paraId="606F776E" w14:textId="77777777" w:rsidR="00FB67F9" w:rsidRDefault="00FB67F9">
            <w:pPr>
              <w:rPr>
                <w:rFonts w:ascii="Times New Roman" w:hAnsi="Times New Roman"/>
                <w:sz w:val="20"/>
                <w:szCs w:val="20"/>
              </w:rPr>
            </w:pPr>
          </w:p>
        </w:tc>
        <w:tc>
          <w:tcPr>
            <w:tcW w:w="50" w:type="pct"/>
            <w:shd w:val="clear" w:color="auto" w:fill="auto"/>
            <w:vAlign w:val="center"/>
          </w:tcPr>
          <w:p w14:paraId="606F776F" w14:textId="77777777" w:rsidR="00FB67F9" w:rsidRDefault="00FB67F9">
            <w:pPr>
              <w:rPr>
                <w:rFonts w:ascii="Times New Roman" w:hAnsi="Times New Roman"/>
                <w:sz w:val="20"/>
                <w:szCs w:val="20"/>
              </w:rPr>
            </w:pPr>
          </w:p>
        </w:tc>
        <w:tc>
          <w:tcPr>
            <w:tcW w:w="400" w:type="pct"/>
            <w:shd w:val="clear" w:color="auto" w:fill="auto"/>
            <w:vAlign w:val="center"/>
          </w:tcPr>
          <w:p w14:paraId="606F7770" w14:textId="77777777" w:rsidR="00FB67F9" w:rsidRDefault="00FB67F9">
            <w:pPr>
              <w:rPr>
                <w:rFonts w:ascii="Times New Roman" w:hAnsi="Times New Roman"/>
                <w:sz w:val="20"/>
                <w:szCs w:val="20"/>
              </w:rPr>
            </w:pPr>
          </w:p>
        </w:tc>
        <w:tc>
          <w:tcPr>
            <w:tcW w:w="50" w:type="pct"/>
            <w:shd w:val="clear" w:color="auto" w:fill="auto"/>
            <w:vAlign w:val="center"/>
          </w:tcPr>
          <w:p w14:paraId="606F7771" w14:textId="77777777" w:rsidR="00FB67F9" w:rsidRDefault="00FB67F9">
            <w:pPr>
              <w:rPr>
                <w:rFonts w:ascii="Times New Roman" w:hAnsi="Times New Roman"/>
                <w:sz w:val="20"/>
                <w:szCs w:val="20"/>
              </w:rPr>
            </w:pPr>
          </w:p>
        </w:tc>
        <w:tc>
          <w:tcPr>
            <w:tcW w:w="50" w:type="pct"/>
            <w:shd w:val="clear" w:color="auto" w:fill="auto"/>
            <w:vAlign w:val="center"/>
          </w:tcPr>
          <w:p w14:paraId="606F7772" w14:textId="77777777" w:rsidR="00FB67F9" w:rsidRDefault="00FB67F9">
            <w:pPr>
              <w:rPr>
                <w:rFonts w:ascii="Times New Roman" w:hAnsi="Times New Roman"/>
                <w:sz w:val="20"/>
                <w:szCs w:val="20"/>
              </w:rPr>
            </w:pPr>
          </w:p>
        </w:tc>
        <w:tc>
          <w:tcPr>
            <w:tcW w:w="400" w:type="pct"/>
            <w:shd w:val="clear" w:color="auto" w:fill="auto"/>
            <w:vAlign w:val="center"/>
          </w:tcPr>
          <w:p w14:paraId="606F7773" w14:textId="77777777" w:rsidR="00FB67F9" w:rsidRDefault="00FB67F9">
            <w:pPr>
              <w:rPr>
                <w:rFonts w:ascii="Times New Roman" w:hAnsi="Times New Roman"/>
                <w:sz w:val="20"/>
                <w:szCs w:val="20"/>
              </w:rPr>
            </w:pPr>
          </w:p>
        </w:tc>
        <w:tc>
          <w:tcPr>
            <w:tcW w:w="50" w:type="pct"/>
            <w:shd w:val="clear" w:color="auto" w:fill="auto"/>
            <w:vAlign w:val="center"/>
          </w:tcPr>
          <w:p w14:paraId="606F7774" w14:textId="77777777" w:rsidR="00FB67F9" w:rsidRDefault="00FB67F9">
            <w:pPr>
              <w:rPr>
                <w:rFonts w:ascii="Times New Roman" w:hAnsi="Times New Roman"/>
                <w:sz w:val="20"/>
                <w:szCs w:val="20"/>
              </w:rPr>
            </w:pPr>
          </w:p>
        </w:tc>
        <w:tc>
          <w:tcPr>
            <w:tcW w:w="50" w:type="pct"/>
            <w:shd w:val="clear" w:color="auto" w:fill="auto"/>
            <w:vAlign w:val="center"/>
          </w:tcPr>
          <w:p w14:paraId="606F7775" w14:textId="77777777" w:rsidR="00FB67F9" w:rsidRDefault="00FB67F9">
            <w:pPr>
              <w:rPr>
                <w:rFonts w:ascii="Times New Roman" w:hAnsi="Times New Roman"/>
                <w:sz w:val="20"/>
                <w:szCs w:val="20"/>
              </w:rPr>
            </w:pPr>
          </w:p>
        </w:tc>
        <w:tc>
          <w:tcPr>
            <w:tcW w:w="400" w:type="pct"/>
            <w:shd w:val="clear" w:color="auto" w:fill="auto"/>
            <w:vAlign w:val="center"/>
          </w:tcPr>
          <w:p w14:paraId="606F7776" w14:textId="77777777" w:rsidR="00FB67F9" w:rsidRDefault="00FB67F9">
            <w:pPr>
              <w:rPr>
                <w:rFonts w:ascii="Times New Roman" w:hAnsi="Times New Roman"/>
                <w:sz w:val="20"/>
                <w:szCs w:val="20"/>
              </w:rPr>
            </w:pPr>
          </w:p>
        </w:tc>
        <w:tc>
          <w:tcPr>
            <w:tcW w:w="50" w:type="pct"/>
            <w:shd w:val="clear" w:color="auto" w:fill="auto"/>
            <w:vAlign w:val="center"/>
          </w:tcPr>
          <w:p w14:paraId="606F7777" w14:textId="77777777" w:rsidR="00FB67F9" w:rsidRDefault="00FB67F9">
            <w:pPr>
              <w:rPr>
                <w:rFonts w:ascii="Times New Roman" w:hAnsi="Times New Roman"/>
                <w:sz w:val="20"/>
                <w:szCs w:val="20"/>
              </w:rPr>
            </w:pPr>
          </w:p>
        </w:tc>
        <w:tc>
          <w:tcPr>
            <w:tcW w:w="50" w:type="pct"/>
            <w:shd w:val="clear" w:color="auto" w:fill="auto"/>
            <w:vAlign w:val="center"/>
          </w:tcPr>
          <w:p w14:paraId="606F7778" w14:textId="77777777" w:rsidR="00FB67F9" w:rsidRDefault="00FB67F9">
            <w:pPr>
              <w:rPr>
                <w:rFonts w:ascii="Times New Roman" w:hAnsi="Times New Roman"/>
                <w:sz w:val="20"/>
                <w:szCs w:val="20"/>
              </w:rPr>
            </w:pPr>
          </w:p>
        </w:tc>
        <w:tc>
          <w:tcPr>
            <w:tcW w:w="400" w:type="pct"/>
            <w:shd w:val="clear" w:color="auto" w:fill="auto"/>
            <w:vAlign w:val="center"/>
          </w:tcPr>
          <w:p w14:paraId="606F7779" w14:textId="77777777" w:rsidR="00FB67F9" w:rsidRDefault="00FB67F9">
            <w:pPr>
              <w:rPr>
                <w:rFonts w:ascii="Times New Roman" w:hAnsi="Times New Roman"/>
                <w:sz w:val="20"/>
                <w:szCs w:val="20"/>
              </w:rPr>
            </w:pPr>
          </w:p>
        </w:tc>
        <w:tc>
          <w:tcPr>
            <w:tcW w:w="50" w:type="pct"/>
            <w:shd w:val="clear" w:color="auto" w:fill="auto"/>
            <w:vAlign w:val="center"/>
          </w:tcPr>
          <w:p w14:paraId="606F777A" w14:textId="77777777" w:rsidR="00FB67F9" w:rsidRDefault="00FB67F9">
            <w:pPr>
              <w:rPr>
                <w:rFonts w:ascii="Times New Roman" w:hAnsi="Times New Roman"/>
                <w:sz w:val="20"/>
                <w:szCs w:val="20"/>
              </w:rPr>
            </w:pPr>
          </w:p>
        </w:tc>
      </w:tr>
      <w:tr w:rsidR="00FB67F9" w14:paraId="606F7787" w14:textId="77777777">
        <w:tc>
          <w:tcPr>
            <w:tcW w:w="0" w:type="auto"/>
            <w:shd w:val="clear" w:color="auto" w:fill="auto"/>
            <w:tcMar>
              <w:top w:w="40" w:type="dxa"/>
              <w:left w:w="40" w:type="dxa"/>
              <w:bottom w:w="40" w:type="dxa"/>
              <w:right w:w="40" w:type="dxa"/>
            </w:tcMar>
            <w:vAlign w:val="bottom"/>
          </w:tcPr>
          <w:p w14:paraId="606F777C"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shd w:val="clear" w:color="auto" w:fill="auto"/>
            <w:tcMar>
              <w:top w:w="40" w:type="dxa"/>
              <w:left w:w="40" w:type="dxa"/>
              <w:bottom w:w="40" w:type="dxa"/>
            </w:tcMar>
            <w:vAlign w:val="bottom"/>
          </w:tcPr>
          <w:p w14:paraId="606F777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5"/>
                <w:szCs w:val="15"/>
              </w:rPr>
              <w:t>(1)</w:t>
            </w:r>
          </w:p>
        </w:tc>
        <w:tc>
          <w:tcPr>
            <w:tcW w:w="0" w:type="auto"/>
            <w:shd w:val="clear" w:color="auto" w:fill="auto"/>
            <w:vAlign w:val="bottom"/>
          </w:tcPr>
          <w:p w14:paraId="606F777E"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77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CASH FLOW HEDGES</w:t>
            </w:r>
          </w:p>
        </w:tc>
        <w:tc>
          <w:tcPr>
            <w:tcW w:w="0" w:type="auto"/>
            <w:shd w:val="clear" w:color="auto" w:fill="auto"/>
            <w:vAlign w:val="bottom"/>
          </w:tcPr>
          <w:p w14:paraId="606F7780"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78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5"/>
                <w:szCs w:val="15"/>
              </w:rPr>
              <w:t>(1)</w:t>
            </w:r>
          </w:p>
        </w:tc>
        <w:tc>
          <w:tcPr>
            <w:tcW w:w="0" w:type="auto"/>
            <w:shd w:val="clear" w:color="auto" w:fill="auto"/>
            <w:vAlign w:val="bottom"/>
          </w:tcPr>
          <w:p w14:paraId="606F7782"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78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w:t>
            </w:r>
          </w:p>
        </w:tc>
        <w:tc>
          <w:tcPr>
            <w:tcW w:w="0" w:type="auto"/>
            <w:shd w:val="clear" w:color="auto" w:fill="auto"/>
            <w:vAlign w:val="bottom"/>
          </w:tcPr>
          <w:p w14:paraId="606F7784"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78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606F7786" w14:textId="77777777" w:rsidR="00FB67F9" w:rsidRDefault="00FB67F9">
            <w:pPr>
              <w:textAlignment w:val="bottom"/>
              <w:rPr>
                <w:rFonts w:ascii="Times New Roman" w:hAnsi="Times New Roman"/>
                <w:sz w:val="20"/>
                <w:szCs w:val="20"/>
              </w:rPr>
            </w:pPr>
          </w:p>
        </w:tc>
      </w:tr>
      <w:tr w:rsidR="00FB67F9" w14:paraId="606F7798"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78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August 31, 2019</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78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78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(435</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778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78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78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556</w:t>
            </w:r>
          </w:p>
        </w:tc>
        <w:tc>
          <w:tcPr>
            <w:tcW w:w="0" w:type="auto"/>
            <w:tcBorders>
              <w:top w:val="single" w:sz="8" w:space="0" w:color="E87722"/>
              <w:bottom w:val="single" w:sz="8" w:space="0" w:color="808080"/>
            </w:tcBorders>
            <w:shd w:val="clear" w:color="auto" w:fill="auto"/>
            <w:vAlign w:val="bottom"/>
          </w:tcPr>
          <w:p w14:paraId="606F778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78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79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808080"/>
            </w:tcBorders>
            <w:shd w:val="clear" w:color="auto" w:fill="auto"/>
            <w:vAlign w:val="bottom"/>
          </w:tcPr>
          <w:p w14:paraId="606F779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79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79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(56</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779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779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779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180</w:t>
            </w:r>
          </w:p>
        </w:tc>
        <w:tc>
          <w:tcPr>
            <w:tcW w:w="0" w:type="auto"/>
            <w:tcBorders>
              <w:top w:val="single" w:sz="8" w:space="0" w:color="E87722"/>
              <w:bottom w:val="single" w:sz="8" w:space="0" w:color="808080"/>
            </w:tcBorders>
            <w:shd w:val="clear" w:color="auto" w:fill="auto"/>
            <w:vAlign w:val="bottom"/>
          </w:tcPr>
          <w:p w14:paraId="606F7797" w14:textId="77777777" w:rsidR="00FB67F9" w:rsidRDefault="00FB67F9">
            <w:pPr>
              <w:textAlignment w:val="bottom"/>
              <w:rPr>
                <w:rFonts w:ascii="Times New Roman" w:hAnsi="Times New Roman"/>
                <w:sz w:val="20"/>
                <w:szCs w:val="20"/>
              </w:rPr>
            </w:pPr>
          </w:p>
        </w:tc>
      </w:tr>
      <w:tr w:rsidR="00FB67F9" w14:paraId="606F779F" w14:textId="77777777">
        <w:tc>
          <w:tcPr>
            <w:tcW w:w="0" w:type="auto"/>
            <w:tcBorders>
              <w:top w:val="single" w:sz="8" w:space="0" w:color="808080"/>
            </w:tcBorders>
            <w:shd w:val="clear" w:color="auto" w:fill="auto"/>
            <w:tcMar>
              <w:top w:w="40" w:type="dxa"/>
              <w:left w:w="40" w:type="dxa"/>
              <w:bottom w:w="40" w:type="dxa"/>
              <w:right w:w="40" w:type="dxa"/>
            </w:tcMar>
            <w:vAlign w:val="center"/>
          </w:tcPr>
          <w:p w14:paraId="606F7799" w14:textId="77777777" w:rsidR="00FB67F9" w:rsidRDefault="00E839DF">
            <w:pPr>
              <w:textAlignment w:val="center"/>
              <w:rPr>
                <w:rFonts w:ascii="Times New Roman" w:hAnsi="Times New Roman"/>
                <w:sz w:val="17"/>
                <w:szCs w:val="17"/>
              </w:rPr>
            </w:pPr>
            <w:r>
              <w:rPr>
                <w:rFonts w:ascii="Arial" w:eastAsia="宋体" w:hAnsi="Arial" w:cs="Arial"/>
                <w:sz w:val="17"/>
                <w:szCs w:val="17"/>
              </w:rPr>
              <w:t xml:space="preserve">Other comprehensive income </w:t>
            </w:r>
            <w:r>
              <w:rPr>
                <w:rFonts w:ascii="Arial" w:eastAsia="宋体" w:hAnsi="Arial" w:cs="Arial"/>
                <w:sz w:val="17"/>
                <w:szCs w:val="17"/>
              </w:rPr>
              <w:t>(loss):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79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79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79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79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79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7AB"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center"/>
          </w:tcPr>
          <w:p w14:paraId="606F77A0" w14:textId="77777777" w:rsidR="00FB67F9" w:rsidRDefault="00E839DF">
            <w:pPr>
              <w:textAlignment w:val="center"/>
              <w:rPr>
                <w:rFonts w:ascii="Times New Roman" w:hAnsi="Times New Roman"/>
                <w:sz w:val="17"/>
                <w:szCs w:val="17"/>
              </w:rPr>
            </w:pPr>
            <w:r>
              <w:rPr>
                <w:rFonts w:ascii="Arial" w:eastAsia="宋体" w:hAnsi="Arial" w:cs="Arial"/>
                <w:sz w:val="17"/>
                <w:szCs w:val="17"/>
              </w:rPr>
              <w:t>Other comprehensive gains (losses) before reclassifications</w:t>
            </w:r>
            <w:r>
              <w:rPr>
                <w:rFonts w:ascii="Arial" w:eastAsia="宋体" w:hAnsi="Arial" w:cs="Arial"/>
                <w:sz w:val="15"/>
                <w:szCs w:val="15"/>
              </w:rPr>
              <w:t>(2)</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7A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bottom w:val="single" w:sz="8" w:space="0" w:color="808080"/>
            </w:tcBorders>
            <w:shd w:val="clear" w:color="auto" w:fill="FFF1E7"/>
            <w:vAlign w:val="bottom"/>
          </w:tcPr>
          <w:p w14:paraId="606F77A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7A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7A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7A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7A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7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7A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7A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7AA" w14:textId="77777777" w:rsidR="00FB67F9" w:rsidRDefault="00FB67F9">
            <w:pPr>
              <w:textAlignment w:val="bottom"/>
              <w:rPr>
                <w:rFonts w:ascii="Times New Roman" w:hAnsi="Times New Roman"/>
                <w:sz w:val="20"/>
                <w:szCs w:val="20"/>
              </w:rPr>
            </w:pPr>
          </w:p>
        </w:tc>
      </w:tr>
      <w:tr w:rsidR="00FB67F9" w14:paraId="606F77B7" w14:textId="77777777">
        <w:tc>
          <w:tcPr>
            <w:tcW w:w="0" w:type="auto"/>
            <w:shd w:val="clear" w:color="auto" w:fill="auto"/>
            <w:tcMar>
              <w:top w:w="40" w:type="dxa"/>
              <w:left w:w="240" w:type="dxa"/>
              <w:bottom w:w="40" w:type="dxa"/>
              <w:right w:w="40" w:type="dxa"/>
            </w:tcMar>
            <w:vAlign w:val="center"/>
          </w:tcPr>
          <w:p w14:paraId="606F77AC" w14:textId="77777777" w:rsidR="00FB67F9" w:rsidRDefault="00E839DF">
            <w:pPr>
              <w:textAlignment w:val="center"/>
              <w:rPr>
                <w:rFonts w:ascii="Times New Roman" w:hAnsi="Times New Roman"/>
                <w:sz w:val="17"/>
                <w:szCs w:val="17"/>
              </w:rPr>
            </w:pPr>
            <w:r>
              <w:rPr>
                <w:rFonts w:ascii="Arial" w:eastAsia="宋体" w:hAnsi="Arial" w:cs="Arial"/>
                <w:sz w:val="17"/>
                <w:szCs w:val="17"/>
              </w:rPr>
              <w:t>Reclassifications to net income of previously deferred (gains) losses</w:t>
            </w:r>
            <w:r>
              <w:rPr>
                <w:rFonts w:ascii="Arial" w:eastAsia="宋体" w:hAnsi="Arial" w:cs="Arial"/>
                <w:sz w:val="15"/>
                <w:szCs w:val="15"/>
              </w:rPr>
              <w:t>(3)</w:t>
            </w:r>
          </w:p>
        </w:tc>
        <w:tc>
          <w:tcPr>
            <w:tcW w:w="0" w:type="auto"/>
            <w:gridSpan w:val="2"/>
            <w:shd w:val="clear" w:color="auto" w:fill="FFF1E7"/>
            <w:tcMar>
              <w:top w:w="40" w:type="dxa"/>
              <w:left w:w="40" w:type="dxa"/>
              <w:bottom w:w="40" w:type="dxa"/>
            </w:tcMar>
            <w:vAlign w:val="bottom"/>
          </w:tcPr>
          <w:p w14:paraId="606F77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7AE"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7A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(129</w:t>
            </w:r>
          </w:p>
        </w:tc>
        <w:tc>
          <w:tcPr>
            <w:tcW w:w="0" w:type="auto"/>
            <w:shd w:val="clear" w:color="auto" w:fill="FFF1E7"/>
            <w:tcMar>
              <w:top w:w="40" w:type="dxa"/>
              <w:bottom w:w="40" w:type="dxa"/>
              <w:right w:w="40" w:type="dxa"/>
            </w:tcMar>
            <w:vAlign w:val="bottom"/>
          </w:tcPr>
          <w:p w14:paraId="606F77B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FFF1E7"/>
            <w:tcMar>
              <w:top w:w="40" w:type="dxa"/>
              <w:left w:w="40" w:type="dxa"/>
              <w:bottom w:w="40" w:type="dxa"/>
            </w:tcMar>
            <w:vAlign w:val="bottom"/>
          </w:tcPr>
          <w:p w14:paraId="606F77B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7B2"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7B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606F77B4"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7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(128</w:t>
            </w:r>
          </w:p>
        </w:tc>
        <w:tc>
          <w:tcPr>
            <w:tcW w:w="0" w:type="auto"/>
            <w:shd w:val="clear" w:color="auto" w:fill="FFF1E7"/>
            <w:tcMar>
              <w:top w:w="40" w:type="dxa"/>
              <w:bottom w:w="40" w:type="dxa"/>
              <w:right w:w="40" w:type="dxa"/>
            </w:tcMar>
            <w:vAlign w:val="bottom"/>
          </w:tcPr>
          <w:p w14:paraId="606F77B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7C3"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7B8"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other comprehensive income (loss)</w:t>
            </w:r>
          </w:p>
        </w:tc>
        <w:tc>
          <w:tcPr>
            <w:tcW w:w="0" w:type="auto"/>
            <w:gridSpan w:val="2"/>
            <w:tcBorders>
              <w:top w:val="single" w:sz="8" w:space="0" w:color="E87722"/>
            </w:tcBorders>
            <w:shd w:val="clear" w:color="auto" w:fill="FFF1E7"/>
            <w:tcMar>
              <w:top w:w="40" w:type="dxa"/>
              <w:left w:w="40" w:type="dxa"/>
              <w:bottom w:w="40" w:type="dxa"/>
            </w:tcMar>
            <w:vAlign w:val="bottom"/>
          </w:tcPr>
          <w:p w14:paraId="606F77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E87722"/>
            </w:tcBorders>
            <w:shd w:val="clear" w:color="auto" w:fill="FFF1E7"/>
            <w:vAlign w:val="bottom"/>
          </w:tcPr>
          <w:p w14:paraId="606F77BA"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606F77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(155</w:t>
            </w:r>
          </w:p>
        </w:tc>
        <w:tc>
          <w:tcPr>
            <w:tcW w:w="0" w:type="auto"/>
            <w:tcBorders>
              <w:top w:val="single" w:sz="8" w:space="0" w:color="E87722"/>
            </w:tcBorders>
            <w:shd w:val="clear" w:color="auto" w:fill="FFF1E7"/>
            <w:tcMar>
              <w:top w:w="40" w:type="dxa"/>
              <w:bottom w:w="40" w:type="dxa"/>
              <w:right w:w="40" w:type="dxa"/>
            </w:tcMar>
            <w:vAlign w:val="bottom"/>
          </w:tcPr>
          <w:p w14:paraId="606F77B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FFF1E7"/>
            <w:tcMar>
              <w:top w:w="40" w:type="dxa"/>
              <w:left w:w="40" w:type="dxa"/>
              <w:bottom w:w="40" w:type="dxa"/>
            </w:tcMar>
            <w:vAlign w:val="bottom"/>
          </w:tcPr>
          <w:p w14:paraId="606F77B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vAlign w:val="bottom"/>
          </w:tcPr>
          <w:p w14:paraId="606F77BE"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606F77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tcBorders>
            <w:shd w:val="clear" w:color="auto" w:fill="FFF1E7"/>
            <w:tcMar>
              <w:top w:w="40" w:type="dxa"/>
              <w:bottom w:w="40" w:type="dxa"/>
              <w:right w:w="40" w:type="dxa"/>
            </w:tcMar>
            <w:vAlign w:val="bottom"/>
          </w:tcPr>
          <w:p w14:paraId="606F77C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FFF1E7"/>
            <w:tcMar>
              <w:top w:w="40" w:type="dxa"/>
              <w:left w:w="40" w:type="dxa"/>
              <w:bottom w:w="40" w:type="dxa"/>
            </w:tcMar>
            <w:vAlign w:val="bottom"/>
          </w:tcPr>
          <w:p w14:paraId="606F77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(128</w:t>
            </w:r>
          </w:p>
        </w:tc>
        <w:tc>
          <w:tcPr>
            <w:tcW w:w="0" w:type="auto"/>
            <w:tcBorders>
              <w:top w:val="single" w:sz="8" w:space="0" w:color="E87722"/>
            </w:tcBorders>
            <w:shd w:val="clear" w:color="auto" w:fill="FFF1E7"/>
            <w:tcMar>
              <w:top w:w="40" w:type="dxa"/>
              <w:bottom w:w="40" w:type="dxa"/>
              <w:right w:w="40" w:type="dxa"/>
            </w:tcMar>
            <w:vAlign w:val="bottom"/>
          </w:tcPr>
          <w:p w14:paraId="606F77C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7D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7C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November 30, 2019</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7C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7C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(407</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77C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7C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7C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401</w:t>
            </w:r>
          </w:p>
        </w:tc>
        <w:tc>
          <w:tcPr>
            <w:tcW w:w="0" w:type="auto"/>
            <w:tcBorders>
              <w:top w:val="single" w:sz="8" w:space="0" w:color="E87722"/>
              <w:bottom w:val="single" w:sz="8" w:space="0" w:color="E87722"/>
            </w:tcBorders>
            <w:shd w:val="clear" w:color="auto" w:fill="FFF1E7"/>
            <w:vAlign w:val="bottom"/>
          </w:tcPr>
          <w:p w14:paraId="606F77C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7C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7C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FFF1E7"/>
            <w:vAlign w:val="bottom"/>
          </w:tcPr>
          <w:p w14:paraId="606F77C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7C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7C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(57</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77D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7D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7D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52</w:t>
            </w:r>
          </w:p>
        </w:tc>
        <w:tc>
          <w:tcPr>
            <w:tcW w:w="0" w:type="auto"/>
            <w:tcBorders>
              <w:top w:val="single" w:sz="8" w:space="0" w:color="E87722"/>
              <w:bottom w:val="single" w:sz="8" w:space="0" w:color="E87722"/>
            </w:tcBorders>
            <w:shd w:val="clear" w:color="auto" w:fill="FFF1E7"/>
            <w:vAlign w:val="bottom"/>
          </w:tcPr>
          <w:p w14:paraId="606F77D3" w14:textId="77777777" w:rsidR="00FB67F9" w:rsidRDefault="00FB67F9">
            <w:pPr>
              <w:textAlignment w:val="bottom"/>
              <w:rPr>
                <w:rFonts w:ascii="Times New Roman" w:hAnsi="Times New Roman"/>
                <w:sz w:val="20"/>
                <w:szCs w:val="20"/>
              </w:rPr>
            </w:pPr>
          </w:p>
        </w:tc>
      </w:tr>
    </w:tbl>
    <w:p w14:paraId="606F77D5"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7D8" w14:textId="77777777">
        <w:trPr>
          <w:tblCellSpacing w:w="0" w:type="dxa"/>
        </w:trPr>
        <w:tc>
          <w:tcPr>
            <w:tcW w:w="480" w:type="dxa"/>
            <w:shd w:val="clear" w:color="auto" w:fill="auto"/>
            <w:vAlign w:val="center"/>
          </w:tcPr>
          <w:p w14:paraId="606F77D6" w14:textId="77777777" w:rsidR="00FB67F9" w:rsidRDefault="00FB67F9">
            <w:pPr>
              <w:rPr>
                <w:rFonts w:ascii="Times New Roman" w:hAnsi="Times New Roman"/>
                <w:sz w:val="20"/>
                <w:szCs w:val="20"/>
              </w:rPr>
            </w:pPr>
          </w:p>
        </w:tc>
        <w:tc>
          <w:tcPr>
            <w:tcW w:w="0" w:type="auto"/>
            <w:shd w:val="clear" w:color="auto" w:fill="auto"/>
            <w:vAlign w:val="center"/>
          </w:tcPr>
          <w:p w14:paraId="606F77D7" w14:textId="77777777" w:rsidR="00FB67F9" w:rsidRDefault="00FB67F9">
            <w:pPr>
              <w:rPr>
                <w:rFonts w:ascii="Times New Roman" w:hAnsi="Times New Roman"/>
                <w:sz w:val="20"/>
                <w:szCs w:val="20"/>
              </w:rPr>
            </w:pPr>
          </w:p>
        </w:tc>
      </w:tr>
      <w:tr w:rsidR="00FB67F9" w14:paraId="606F77DB" w14:textId="77777777">
        <w:trPr>
          <w:tblCellSpacing w:w="0" w:type="dxa"/>
        </w:trPr>
        <w:tc>
          <w:tcPr>
            <w:tcW w:w="0" w:type="auto"/>
            <w:shd w:val="clear" w:color="auto" w:fill="auto"/>
          </w:tcPr>
          <w:p w14:paraId="606F77D9"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7DA"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accumulated foreign currency translation adjustment and net investment hedge gains/losses related to an investment in a foreign subsidiary are </w:t>
            </w:r>
            <w:r>
              <w:rPr>
                <w:rFonts w:ascii="Arial" w:eastAsia="宋体" w:hAnsi="Arial" w:cs="Arial"/>
                <w:i/>
                <w:iCs/>
                <w:color w:val="000000"/>
                <w:sz w:val="14"/>
                <w:szCs w:val="14"/>
              </w:rPr>
              <w:t>reclassified to Net income upon sale or upon complete or substantially complete liquidation of the respective entity.</w:t>
            </w:r>
          </w:p>
        </w:tc>
      </w:tr>
    </w:tbl>
    <w:p w14:paraId="606F77DC"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459"/>
      </w:tblGrid>
      <w:tr w:rsidR="00FB67F9" w14:paraId="606F77DF" w14:textId="77777777">
        <w:trPr>
          <w:tblCellSpacing w:w="0" w:type="dxa"/>
        </w:trPr>
        <w:tc>
          <w:tcPr>
            <w:tcW w:w="480" w:type="dxa"/>
            <w:shd w:val="clear" w:color="auto" w:fill="auto"/>
            <w:vAlign w:val="center"/>
          </w:tcPr>
          <w:p w14:paraId="606F77DD" w14:textId="77777777" w:rsidR="00FB67F9" w:rsidRDefault="00FB67F9">
            <w:pPr>
              <w:rPr>
                <w:rFonts w:ascii="Times New Roman" w:hAnsi="Times New Roman"/>
                <w:sz w:val="20"/>
                <w:szCs w:val="20"/>
              </w:rPr>
            </w:pPr>
          </w:p>
        </w:tc>
        <w:tc>
          <w:tcPr>
            <w:tcW w:w="0" w:type="auto"/>
            <w:shd w:val="clear" w:color="auto" w:fill="auto"/>
            <w:vAlign w:val="center"/>
          </w:tcPr>
          <w:p w14:paraId="606F77DE" w14:textId="77777777" w:rsidR="00FB67F9" w:rsidRDefault="00FB67F9">
            <w:pPr>
              <w:rPr>
                <w:rFonts w:ascii="Times New Roman" w:hAnsi="Times New Roman"/>
                <w:sz w:val="20"/>
                <w:szCs w:val="20"/>
              </w:rPr>
            </w:pPr>
          </w:p>
        </w:tc>
      </w:tr>
      <w:tr w:rsidR="00FB67F9" w14:paraId="606F77E2" w14:textId="77777777">
        <w:trPr>
          <w:tblCellSpacing w:w="0" w:type="dxa"/>
        </w:trPr>
        <w:tc>
          <w:tcPr>
            <w:tcW w:w="0" w:type="auto"/>
            <w:shd w:val="clear" w:color="auto" w:fill="auto"/>
          </w:tcPr>
          <w:p w14:paraId="606F77E0"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606F77E1"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Net of tax benefit (expense) of $0 million, $(7) million, $0 million, $0 million and $(7) million, respectively.</w:t>
            </w:r>
          </w:p>
        </w:tc>
      </w:tr>
    </w:tbl>
    <w:p w14:paraId="606F77E3"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272"/>
      </w:tblGrid>
      <w:tr w:rsidR="00FB67F9" w14:paraId="606F77E6" w14:textId="77777777">
        <w:trPr>
          <w:tblCellSpacing w:w="0" w:type="dxa"/>
        </w:trPr>
        <w:tc>
          <w:tcPr>
            <w:tcW w:w="480" w:type="dxa"/>
            <w:shd w:val="clear" w:color="auto" w:fill="auto"/>
            <w:vAlign w:val="center"/>
          </w:tcPr>
          <w:p w14:paraId="606F77E4" w14:textId="77777777" w:rsidR="00FB67F9" w:rsidRDefault="00FB67F9">
            <w:pPr>
              <w:rPr>
                <w:rFonts w:ascii="Times New Roman" w:hAnsi="Times New Roman"/>
                <w:sz w:val="20"/>
                <w:szCs w:val="20"/>
              </w:rPr>
            </w:pPr>
          </w:p>
        </w:tc>
        <w:tc>
          <w:tcPr>
            <w:tcW w:w="0" w:type="auto"/>
            <w:shd w:val="clear" w:color="auto" w:fill="auto"/>
            <w:vAlign w:val="center"/>
          </w:tcPr>
          <w:p w14:paraId="606F77E5" w14:textId="77777777" w:rsidR="00FB67F9" w:rsidRDefault="00FB67F9">
            <w:pPr>
              <w:rPr>
                <w:rFonts w:ascii="Times New Roman" w:hAnsi="Times New Roman"/>
                <w:sz w:val="20"/>
                <w:szCs w:val="20"/>
              </w:rPr>
            </w:pPr>
          </w:p>
        </w:tc>
      </w:tr>
      <w:tr w:rsidR="00FB67F9" w14:paraId="606F77E9" w14:textId="77777777">
        <w:trPr>
          <w:tblCellSpacing w:w="0" w:type="dxa"/>
        </w:trPr>
        <w:tc>
          <w:tcPr>
            <w:tcW w:w="0" w:type="auto"/>
            <w:shd w:val="clear" w:color="auto" w:fill="auto"/>
          </w:tcPr>
          <w:p w14:paraId="606F77E7"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606F77E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of tax (benefit) expense of $0 million, $1 million, $0 million, $0 million and $1 million, respectively. </w:t>
            </w:r>
          </w:p>
        </w:tc>
      </w:tr>
    </w:tbl>
    <w:p w14:paraId="606F77EA" w14:textId="77777777" w:rsidR="00FB67F9" w:rsidRDefault="00FB67F9">
      <w:pPr>
        <w:rPr>
          <w:rFonts w:ascii="Times New Roman" w:hAnsi="Times New Roman"/>
          <w:sz w:val="20"/>
          <w:szCs w:val="20"/>
        </w:rPr>
      </w:pPr>
    </w:p>
    <w:p w14:paraId="606F77EB"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17</w:t>
      </w:r>
    </w:p>
    <w:p w14:paraId="606F77EC" w14:textId="77777777" w:rsidR="00FB67F9" w:rsidRDefault="00E839DF">
      <w:r>
        <w:rPr>
          <w:rFonts w:ascii="Times New Roman" w:hAnsi="Times New Roman"/>
          <w:sz w:val="17"/>
          <w:szCs w:val="17"/>
        </w:rPr>
        <w:pict w14:anchorId="606F8F8E">
          <v:rect id="_x0000_i1043" style="width:415.3pt;height:1.5pt" o:hralign="center" o:hrstd="t" o:hr="t" fillcolor="#a0a0a0" stroked="f"/>
        </w:pict>
      </w:r>
    </w:p>
    <w:p w14:paraId="606F77ED" w14:textId="77777777" w:rsidR="00FB67F9" w:rsidRDefault="00FB67F9">
      <w:pPr>
        <w:rPr>
          <w:rFonts w:ascii="Times New Roman" w:hAnsi="Times New Roman"/>
          <w:sz w:val="17"/>
          <w:szCs w:val="17"/>
        </w:rPr>
      </w:pPr>
    </w:p>
    <w:p w14:paraId="606F77EE" w14:textId="77777777" w:rsidR="00FB67F9" w:rsidRDefault="00E839DF">
      <w:pPr>
        <w:rPr>
          <w:rFonts w:ascii="Times New Roman" w:hAnsi="Times New Roman"/>
          <w:sz w:val="17"/>
          <w:szCs w:val="17"/>
        </w:rPr>
      </w:pPr>
      <w:hyperlink r:id="rId87" w:anchor="s42C493F7582652B69E70047AB812E6A5" w:history="1">
        <w:r>
          <w:rPr>
            <w:rStyle w:val="a5"/>
            <w:rFonts w:ascii="sans-serif" w:eastAsia="sans-serif" w:hAnsi="sans-serif" w:cs="sans-serif"/>
            <w:sz w:val="17"/>
            <w:szCs w:val="17"/>
          </w:rPr>
          <w:t>Table of Contents</w:t>
        </w:r>
      </w:hyperlink>
    </w:p>
    <w:p w14:paraId="606F77EF" w14:textId="77777777" w:rsidR="00FB67F9" w:rsidRDefault="00FB67F9">
      <w:pPr>
        <w:rPr>
          <w:rFonts w:ascii="Times New Roman" w:hAnsi="Times New Roman"/>
          <w:sz w:val="17"/>
          <w:szCs w:val="17"/>
        </w:rPr>
      </w:pPr>
    </w:p>
    <w:p w14:paraId="606F77F0"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835"/>
        <w:gridCol w:w="136"/>
        <w:gridCol w:w="1072"/>
        <w:gridCol w:w="97"/>
        <w:gridCol w:w="136"/>
        <w:gridCol w:w="541"/>
        <w:gridCol w:w="97"/>
        <w:gridCol w:w="136"/>
        <w:gridCol w:w="864"/>
        <w:gridCol w:w="6"/>
        <w:gridCol w:w="136"/>
        <w:gridCol w:w="467"/>
        <w:gridCol w:w="97"/>
        <w:gridCol w:w="136"/>
        <w:gridCol w:w="453"/>
        <w:gridCol w:w="97"/>
      </w:tblGrid>
      <w:tr w:rsidR="00FB67F9" w14:paraId="606F77F2" w14:textId="77777777">
        <w:tc>
          <w:tcPr>
            <w:tcW w:w="0" w:type="auto"/>
            <w:gridSpan w:val="16"/>
            <w:shd w:val="clear" w:color="auto" w:fill="auto"/>
            <w:vAlign w:val="center"/>
          </w:tcPr>
          <w:p w14:paraId="606F77F1" w14:textId="77777777" w:rsidR="00FB67F9" w:rsidRDefault="00FB67F9">
            <w:pPr>
              <w:rPr>
                <w:rFonts w:ascii="Times New Roman" w:hAnsi="Times New Roman"/>
                <w:sz w:val="20"/>
                <w:szCs w:val="20"/>
              </w:rPr>
            </w:pPr>
          </w:p>
        </w:tc>
      </w:tr>
      <w:tr w:rsidR="00FB67F9" w14:paraId="606F7803" w14:textId="77777777">
        <w:tc>
          <w:tcPr>
            <w:tcW w:w="2400" w:type="pct"/>
            <w:shd w:val="clear" w:color="auto" w:fill="auto"/>
            <w:vAlign w:val="center"/>
          </w:tcPr>
          <w:p w14:paraId="606F77F3" w14:textId="77777777" w:rsidR="00FB67F9" w:rsidRDefault="00FB67F9">
            <w:pPr>
              <w:rPr>
                <w:rFonts w:ascii="Times New Roman" w:hAnsi="Times New Roman"/>
                <w:sz w:val="20"/>
                <w:szCs w:val="20"/>
              </w:rPr>
            </w:pPr>
          </w:p>
        </w:tc>
        <w:tc>
          <w:tcPr>
            <w:tcW w:w="50" w:type="pct"/>
            <w:shd w:val="clear" w:color="auto" w:fill="auto"/>
            <w:vAlign w:val="center"/>
          </w:tcPr>
          <w:p w14:paraId="606F77F4" w14:textId="77777777" w:rsidR="00FB67F9" w:rsidRDefault="00FB67F9">
            <w:pPr>
              <w:rPr>
                <w:rFonts w:ascii="Times New Roman" w:hAnsi="Times New Roman"/>
                <w:sz w:val="20"/>
                <w:szCs w:val="20"/>
              </w:rPr>
            </w:pPr>
          </w:p>
        </w:tc>
        <w:tc>
          <w:tcPr>
            <w:tcW w:w="500" w:type="pct"/>
            <w:shd w:val="clear" w:color="auto" w:fill="auto"/>
            <w:vAlign w:val="center"/>
          </w:tcPr>
          <w:p w14:paraId="606F77F5" w14:textId="77777777" w:rsidR="00FB67F9" w:rsidRDefault="00FB67F9">
            <w:pPr>
              <w:rPr>
                <w:rFonts w:ascii="Times New Roman" w:hAnsi="Times New Roman"/>
                <w:sz w:val="20"/>
                <w:szCs w:val="20"/>
              </w:rPr>
            </w:pPr>
          </w:p>
        </w:tc>
        <w:tc>
          <w:tcPr>
            <w:tcW w:w="50" w:type="pct"/>
            <w:shd w:val="clear" w:color="auto" w:fill="auto"/>
            <w:vAlign w:val="center"/>
          </w:tcPr>
          <w:p w14:paraId="606F77F6" w14:textId="77777777" w:rsidR="00FB67F9" w:rsidRDefault="00FB67F9">
            <w:pPr>
              <w:rPr>
                <w:rFonts w:ascii="Times New Roman" w:hAnsi="Times New Roman"/>
                <w:sz w:val="20"/>
                <w:szCs w:val="20"/>
              </w:rPr>
            </w:pPr>
          </w:p>
        </w:tc>
        <w:tc>
          <w:tcPr>
            <w:tcW w:w="50" w:type="pct"/>
            <w:shd w:val="clear" w:color="auto" w:fill="auto"/>
            <w:vAlign w:val="center"/>
          </w:tcPr>
          <w:p w14:paraId="606F77F7" w14:textId="77777777" w:rsidR="00FB67F9" w:rsidRDefault="00FB67F9">
            <w:pPr>
              <w:rPr>
                <w:rFonts w:ascii="Times New Roman" w:hAnsi="Times New Roman"/>
                <w:sz w:val="20"/>
                <w:szCs w:val="20"/>
              </w:rPr>
            </w:pPr>
          </w:p>
        </w:tc>
        <w:tc>
          <w:tcPr>
            <w:tcW w:w="400" w:type="pct"/>
            <w:shd w:val="clear" w:color="auto" w:fill="auto"/>
            <w:vAlign w:val="center"/>
          </w:tcPr>
          <w:p w14:paraId="606F77F8" w14:textId="77777777" w:rsidR="00FB67F9" w:rsidRDefault="00FB67F9">
            <w:pPr>
              <w:rPr>
                <w:rFonts w:ascii="Times New Roman" w:hAnsi="Times New Roman"/>
                <w:sz w:val="20"/>
                <w:szCs w:val="20"/>
              </w:rPr>
            </w:pPr>
          </w:p>
        </w:tc>
        <w:tc>
          <w:tcPr>
            <w:tcW w:w="50" w:type="pct"/>
            <w:shd w:val="clear" w:color="auto" w:fill="auto"/>
            <w:vAlign w:val="center"/>
          </w:tcPr>
          <w:p w14:paraId="606F77F9" w14:textId="77777777" w:rsidR="00FB67F9" w:rsidRDefault="00FB67F9">
            <w:pPr>
              <w:rPr>
                <w:rFonts w:ascii="Times New Roman" w:hAnsi="Times New Roman"/>
                <w:sz w:val="20"/>
                <w:szCs w:val="20"/>
              </w:rPr>
            </w:pPr>
          </w:p>
        </w:tc>
        <w:tc>
          <w:tcPr>
            <w:tcW w:w="50" w:type="pct"/>
            <w:shd w:val="clear" w:color="auto" w:fill="auto"/>
            <w:vAlign w:val="center"/>
          </w:tcPr>
          <w:p w14:paraId="606F77FA" w14:textId="77777777" w:rsidR="00FB67F9" w:rsidRDefault="00FB67F9">
            <w:pPr>
              <w:rPr>
                <w:rFonts w:ascii="Times New Roman" w:hAnsi="Times New Roman"/>
                <w:sz w:val="20"/>
                <w:szCs w:val="20"/>
              </w:rPr>
            </w:pPr>
          </w:p>
        </w:tc>
        <w:tc>
          <w:tcPr>
            <w:tcW w:w="400" w:type="pct"/>
            <w:shd w:val="clear" w:color="auto" w:fill="auto"/>
            <w:vAlign w:val="center"/>
          </w:tcPr>
          <w:p w14:paraId="606F77FB" w14:textId="77777777" w:rsidR="00FB67F9" w:rsidRDefault="00FB67F9">
            <w:pPr>
              <w:rPr>
                <w:rFonts w:ascii="Times New Roman" w:hAnsi="Times New Roman"/>
                <w:sz w:val="20"/>
                <w:szCs w:val="20"/>
              </w:rPr>
            </w:pPr>
          </w:p>
        </w:tc>
        <w:tc>
          <w:tcPr>
            <w:tcW w:w="50" w:type="pct"/>
            <w:shd w:val="clear" w:color="auto" w:fill="auto"/>
            <w:vAlign w:val="center"/>
          </w:tcPr>
          <w:p w14:paraId="606F77FC" w14:textId="77777777" w:rsidR="00FB67F9" w:rsidRDefault="00FB67F9">
            <w:pPr>
              <w:rPr>
                <w:rFonts w:ascii="Times New Roman" w:hAnsi="Times New Roman"/>
                <w:sz w:val="20"/>
                <w:szCs w:val="20"/>
              </w:rPr>
            </w:pPr>
          </w:p>
        </w:tc>
        <w:tc>
          <w:tcPr>
            <w:tcW w:w="50" w:type="pct"/>
            <w:shd w:val="clear" w:color="auto" w:fill="auto"/>
            <w:vAlign w:val="center"/>
          </w:tcPr>
          <w:p w14:paraId="606F77FD" w14:textId="77777777" w:rsidR="00FB67F9" w:rsidRDefault="00FB67F9">
            <w:pPr>
              <w:rPr>
                <w:rFonts w:ascii="Times New Roman" w:hAnsi="Times New Roman"/>
                <w:sz w:val="20"/>
                <w:szCs w:val="20"/>
              </w:rPr>
            </w:pPr>
          </w:p>
        </w:tc>
        <w:tc>
          <w:tcPr>
            <w:tcW w:w="400" w:type="pct"/>
            <w:shd w:val="clear" w:color="auto" w:fill="auto"/>
            <w:vAlign w:val="center"/>
          </w:tcPr>
          <w:p w14:paraId="606F77FE" w14:textId="77777777" w:rsidR="00FB67F9" w:rsidRDefault="00FB67F9">
            <w:pPr>
              <w:rPr>
                <w:rFonts w:ascii="Times New Roman" w:hAnsi="Times New Roman"/>
                <w:sz w:val="20"/>
                <w:szCs w:val="20"/>
              </w:rPr>
            </w:pPr>
          </w:p>
        </w:tc>
        <w:tc>
          <w:tcPr>
            <w:tcW w:w="50" w:type="pct"/>
            <w:shd w:val="clear" w:color="auto" w:fill="auto"/>
            <w:vAlign w:val="center"/>
          </w:tcPr>
          <w:p w14:paraId="606F77FF" w14:textId="77777777" w:rsidR="00FB67F9" w:rsidRDefault="00FB67F9">
            <w:pPr>
              <w:rPr>
                <w:rFonts w:ascii="Times New Roman" w:hAnsi="Times New Roman"/>
                <w:sz w:val="20"/>
                <w:szCs w:val="20"/>
              </w:rPr>
            </w:pPr>
          </w:p>
        </w:tc>
        <w:tc>
          <w:tcPr>
            <w:tcW w:w="50" w:type="pct"/>
            <w:shd w:val="clear" w:color="auto" w:fill="auto"/>
            <w:vAlign w:val="center"/>
          </w:tcPr>
          <w:p w14:paraId="606F7800" w14:textId="77777777" w:rsidR="00FB67F9" w:rsidRDefault="00FB67F9">
            <w:pPr>
              <w:rPr>
                <w:rFonts w:ascii="Times New Roman" w:hAnsi="Times New Roman"/>
                <w:sz w:val="20"/>
                <w:szCs w:val="20"/>
              </w:rPr>
            </w:pPr>
          </w:p>
        </w:tc>
        <w:tc>
          <w:tcPr>
            <w:tcW w:w="400" w:type="pct"/>
            <w:shd w:val="clear" w:color="auto" w:fill="auto"/>
            <w:vAlign w:val="center"/>
          </w:tcPr>
          <w:p w14:paraId="606F7801" w14:textId="77777777" w:rsidR="00FB67F9" w:rsidRDefault="00FB67F9">
            <w:pPr>
              <w:rPr>
                <w:rFonts w:ascii="Times New Roman" w:hAnsi="Times New Roman"/>
                <w:sz w:val="20"/>
                <w:szCs w:val="20"/>
              </w:rPr>
            </w:pPr>
          </w:p>
        </w:tc>
        <w:tc>
          <w:tcPr>
            <w:tcW w:w="50" w:type="pct"/>
            <w:shd w:val="clear" w:color="auto" w:fill="auto"/>
            <w:vAlign w:val="center"/>
          </w:tcPr>
          <w:p w14:paraId="606F7802" w14:textId="77777777" w:rsidR="00FB67F9" w:rsidRDefault="00FB67F9">
            <w:pPr>
              <w:rPr>
                <w:rFonts w:ascii="Times New Roman" w:hAnsi="Times New Roman"/>
                <w:sz w:val="20"/>
                <w:szCs w:val="20"/>
              </w:rPr>
            </w:pPr>
          </w:p>
        </w:tc>
      </w:tr>
      <w:tr w:rsidR="00FB67F9" w14:paraId="606F780F" w14:textId="77777777">
        <w:tc>
          <w:tcPr>
            <w:tcW w:w="0" w:type="auto"/>
            <w:shd w:val="clear" w:color="auto" w:fill="auto"/>
            <w:tcMar>
              <w:top w:w="40" w:type="dxa"/>
              <w:left w:w="40" w:type="dxa"/>
              <w:bottom w:w="40" w:type="dxa"/>
              <w:right w:w="40" w:type="dxa"/>
            </w:tcMar>
            <w:vAlign w:val="bottom"/>
          </w:tcPr>
          <w:p w14:paraId="606F7804"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shd w:val="clear" w:color="auto" w:fill="auto"/>
            <w:tcMar>
              <w:top w:w="40" w:type="dxa"/>
              <w:left w:w="40" w:type="dxa"/>
              <w:bottom w:w="40" w:type="dxa"/>
            </w:tcMar>
            <w:vAlign w:val="bottom"/>
          </w:tcPr>
          <w:p w14:paraId="606F780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5"/>
                <w:szCs w:val="15"/>
              </w:rPr>
              <w:t>(1)</w:t>
            </w:r>
          </w:p>
        </w:tc>
        <w:tc>
          <w:tcPr>
            <w:tcW w:w="0" w:type="auto"/>
            <w:shd w:val="clear" w:color="auto" w:fill="auto"/>
            <w:vAlign w:val="bottom"/>
          </w:tcPr>
          <w:p w14:paraId="606F780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0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CASH FLOW HEDGES</w:t>
            </w:r>
          </w:p>
        </w:tc>
        <w:tc>
          <w:tcPr>
            <w:tcW w:w="0" w:type="auto"/>
            <w:shd w:val="clear" w:color="auto" w:fill="auto"/>
            <w:vAlign w:val="bottom"/>
          </w:tcPr>
          <w:p w14:paraId="606F780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0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5"/>
                <w:szCs w:val="15"/>
              </w:rPr>
              <w:t>(1)</w:t>
            </w:r>
          </w:p>
        </w:tc>
        <w:tc>
          <w:tcPr>
            <w:tcW w:w="0" w:type="auto"/>
            <w:shd w:val="clear" w:color="auto" w:fill="auto"/>
            <w:vAlign w:val="bottom"/>
          </w:tcPr>
          <w:p w14:paraId="606F780A"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0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w:t>
            </w:r>
          </w:p>
        </w:tc>
        <w:tc>
          <w:tcPr>
            <w:tcW w:w="0" w:type="auto"/>
            <w:shd w:val="clear" w:color="auto" w:fill="auto"/>
            <w:vAlign w:val="bottom"/>
          </w:tcPr>
          <w:p w14:paraId="606F780C"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0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606F780E" w14:textId="77777777" w:rsidR="00FB67F9" w:rsidRDefault="00FB67F9">
            <w:pPr>
              <w:textAlignment w:val="bottom"/>
              <w:rPr>
                <w:rFonts w:ascii="Times New Roman" w:hAnsi="Times New Roman"/>
                <w:sz w:val="20"/>
                <w:szCs w:val="20"/>
              </w:rPr>
            </w:pPr>
          </w:p>
        </w:tc>
      </w:tr>
      <w:tr w:rsidR="00FB67F9" w14:paraId="606F7820"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81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May 31, 2019</w:t>
            </w:r>
          </w:p>
        </w:tc>
        <w:tc>
          <w:tcPr>
            <w:tcW w:w="0" w:type="auto"/>
            <w:tcBorders>
              <w:top w:val="single" w:sz="8" w:space="0" w:color="E87722"/>
            </w:tcBorders>
            <w:shd w:val="clear" w:color="auto" w:fill="auto"/>
            <w:tcMar>
              <w:top w:w="40" w:type="dxa"/>
              <w:left w:w="40" w:type="dxa"/>
              <w:bottom w:w="40" w:type="dxa"/>
            </w:tcMar>
            <w:vAlign w:val="bottom"/>
          </w:tcPr>
          <w:p w14:paraId="606F781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606F781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(346</w:t>
            </w:r>
          </w:p>
        </w:tc>
        <w:tc>
          <w:tcPr>
            <w:tcW w:w="0" w:type="auto"/>
            <w:tcBorders>
              <w:top w:val="single" w:sz="8" w:space="0" w:color="E87722"/>
            </w:tcBorders>
            <w:shd w:val="clear" w:color="auto" w:fill="auto"/>
            <w:tcMar>
              <w:top w:w="40" w:type="dxa"/>
              <w:bottom w:w="40" w:type="dxa"/>
              <w:right w:w="40" w:type="dxa"/>
            </w:tcMar>
            <w:vAlign w:val="bottom"/>
          </w:tcPr>
          <w:p w14:paraId="606F781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606F781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606F781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520</w:t>
            </w:r>
          </w:p>
        </w:tc>
        <w:tc>
          <w:tcPr>
            <w:tcW w:w="0" w:type="auto"/>
            <w:tcBorders>
              <w:top w:val="single" w:sz="8" w:space="0" w:color="E87722"/>
            </w:tcBorders>
            <w:shd w:val="clear" w:color="auto" w:fill="auto"/>
            <w:vAlign w:val="bottom"/>
          </w:tcPr>
          <w:p w14:paraId="606F7816"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781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606F781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tcBorders>
            <w:shd w:val="clear" w:color="auto" w:fill="auto"/>
            <w:vAlign w:val="bottom"/>
          </w:tcPr>
          <w:p w14:paraId="606F7819"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781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606F781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(58</w:t>
            </w:r>
          </w:p>
        </w:tc>
        <w:tc>
          <w:tcPr>
            <w:tcW w:w="0" w:type="auto"/>
            <w:tcBorders>
              <w:top w:val="single" w:sz="8" w:space="0" w:color="E87722"/>
            </w:tcBorders>
            <w:shd w:val="clear" w:color="auto" w:fill="auto"/>
            <w:tcMar>
              <w:top w:w="40" w:type="dxa"/>
              <w:bottom w:w="40" w:type="dxa"/>
              <w:right w:w="40" w:type="dxa"/>
            </w:tcMar>
            <w:vAlign w:val="bottom"/>
          </w:tcPr>
          <w:p w14:paraId="606F781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606F781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606F781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231</w:t>
            </w:r>
          </w:p>
        </w:tc>
        <w:tc>
          <w:tcPr>
            <w:tcW w:w="0" w:type="auto"/>
            <w:tcBorders>
              <w:top w:val="single" w:sz="8" w:space="0" w:color="E87722"/>
            </w:tcBorders>
            <w:shd w:val="clear" w:color="auto" w:fill="auto"/>
            <w:vAlign w:val="bottom"/>
          </w:tcPr>
          <w:p w14:paraId="606F781F" w14:textId="77777777" w:rsidR="00FB67F9" w:rsidRDefault="00FB67F9">
            <w:pPr>
              <w:textAlignment w:val="bottom"/>
              <w:rPr>
                <w:rFonts w:ascii="Times New Roman" w:hAnsi="Times New Roman"/>
                <w:sz w:val="20"/>
                <w:szCs w:val="20"/>
              </w:rPr>
            </w:pPr>
          </w:p>
        </w:tc>
      </w:tr>
      <w:tr w:rsidR="00FB67F9" w14:paraId="606F7827" w14:textId="77777777">
        <w:tc>
          <w:tcPr>
            <w:tcW w:w="0" w:type="auto"/>
            <w:tcBorders>
              <w:top w:val="single" w:sz="8" w:space="0" w:color="808080"/>
            </w:tcBorders>
            <w:shd w:val="clear" w:color="auto" w:fill="auto"/>
            <w:tcMar>
              <w:top w:w="40" w:type="dxa"/>
              <w:left w:w="40" w:type="dxa"/>
              <w:bottom w:w="40" w:type="dxa"/>
              <w:right w:w="40" w:type="dxa"/>
            </w:tcMar>
            <w:vAlign w:val="center"/>
          </w:tcPr>
          <w:p w14:paraId="606F7821" w14:textId="77777777" w:rsidR="00FB67F9" w:rsidRDefault="00E839DF">
            <w:pPr>
              <w:textAlignment w:val="center"/>
              <w:rPr>
                <w:rFonts w:ascii="Times New Roman" w:hAnsi="Times New Roman"/>
                <w:sz w:val="17"/>
                <w:szCs w:val="17"/>
              </w:rPr>
            </w:pPr>
            <w:r>
              <w:rPr>
                <w:rFonts w:ascii="Arial" w:eastAsia="宋体" w:hAnsi="Arial" w:cs="Arial"/>
                <w:sz w:val="17"/>
                <w:szCs w:val="17"/>
              </w:rPr>
              <w:t xml:space="preserve">Other </w:t>
            </w:r>
            <w:r>
              <w:rPr>
                <w:rFonts w:ascii="Arial" w:eastAsia="宋体" w:hAnsi="Arial" w:cs="Arial"/>
                <w:sz w:val="17"/>
                <w:szCs w:val="17"/>
              </w:rPr>
              <w:t>comprehensive income (loss):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82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82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82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82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782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83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center"/>
          </w:tcPr>
          <w:p w14:paraId="606F7828" w14:textId="77777777" w:rsidR="00FB67F9" w:rsidRDefault="00E839DF">
            <w:pPr>
              <w:textAlignment w:val="center"/>
              <w:rPr>
                <w:rFonts w:ascii="Times New Roman" w:hAnsi="Times New Roman"/>
                <w:sz w:val="17"/>
                <w:szCs w:val="17"/>
              </w:rPr>
            </w:pPr>
            <w:r>
              <w:rPr>
                <w:rFonts w:ascii="Arial" w:eastAsia="宋体" w:hAnsi="Arial" w:cs="Arial"/>
                <w:sz w:val="17"/>
                <w:szCs w:val="17"/>
              </w:rPr>
              <w:t>Other comprehensive gains (losses) before reclassifications</w:t>
            </w:r>
            <w:r>
              <w:rPr>
                <w:rFonts w:ascii="Arial" w:eastAsia="宋体" w:hAnsi="Arial" w:cs="Arial"/>
                <w:sz w:val="15"/>
                <w:szCs w:val="15"/>
              </w:rPr>
              <w:t>(2)</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82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82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82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137</w:t>
            </w:r>
          </w:p>
        </w:tc>
        <w:tc>
          <w:tcPr>
            <w:tcW w:w="0" w:type="auto"/>
            <w:tcBorders>
              <w:top w:val="single" w:sz="8" w:space="0" w:color="808080"/>
              <w:bottom w:val="single" w:sz="8" w:space="0" w:color="808080"/>
            </w:tcBorders>
            <w:shd w:val="clear" w:color="auto" w:fill="FFF1E7"/>
            <w:vAlign w:val="bottom"/>
          </w:tcPr>
          <w:p w14:paraId="606F782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82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82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82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FFF1E7"/>
            <w:vAlign w:val="bottom"/>
          </w:tcPr>
          <w:p w14:paraId="606F783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8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77</w:t>
            </w:r>
          </w:p>
        </w:tc>
        <w:tc>
          <w:tcPr>
            <w:tcW w:w="0" w:type="auto"/>
            <w:tcBorders>
              <w:top w:val="single" w:sz="8" w:space="0" w:color="808080"/>
              <w:bottom w:val="single" w:sz="8" w:space="0" w:color="808080"/>
            </w:tcBorders>
            <w:shd w:val="clear" w:color="auto" w:fill="FFF1E7"/>
            <w:vAlign w:val="bottom"/>
          </w:tcPr>
          <w:p w14:paraId="606F7832" w14:textId="77777777" w:rsidR="00FB67F9" w:rsidRDefault="00FB67F9">
            <w:pPr>
              <w:textAlignment w:val="bottom"/>
              <w:rPr>
                <w:rFonts w:ascii="Times New Roman" w:hAnsi="Times New Roman"/>
                <w:sz w:val="20"/>
                <w:szCs w:val="20"/>
              </w:rPr>
            </w:pPr>
          </w:p>
        </w:tc>
      </w:tr>
      <w:tr w:rsidR="00FB67F9" w14:paraId="606F783F" w14:textId="77777777">
        <w:tc>
          <w:tcPr>
            <w:tcW w:w="0" w:type="auto"/>
            <w:shd w:val="clear" w:color="auto" w:fill="auto"/>
            <w:tcMar>
              <w:top w:w="40" w:type="dxa"/>
              <w:left w:w="240" w:type="dxa"/>
              <w:bottom w:w="40" w:type="dxa"/>
              <w:right w:w="40" w:type="dxa"/>
            </w:tcMar>
            <w:vAlign w:val="center"/>
          </w:tcPr>
          <w:p w14:paraId="606F7834" w14:textId="77777777" w:rsidR="00FB67F9" w:rsidRDefault="00E839DF">
            <w:pPr>
              <w:textAlignment w:val="center"/>
              <w:rPr>
                <w:rFonts w:ascii="Times New Roman" w:hAnsi="Times New Roman"/>
                <w:sz w:val="17"/>
                <w:szCs w:val="17"/>
              </w:rPr>
            </w:pPr>
            <w:r>
              <w:rPr>
                <w:rFonts w:ascii="Arial" w:eastAsia="宋体" w:hAnsi="Arial" w:cs="Arial"/>
                <w:sz w:val="17"/>
                <w:szCs w:val="17"/>
              </w:rPr>
              <w:t>Reclassifications to net income of previously deferred (gains) losses</w:t>
            </w:r>
            <w:r>
              <w:rPr>
                <w:rFonts w:ascii="Arial" w:eastAsia="宋体" w:hAnsi="Arial" w:cs="Arial"/>
                <w:sz w:val="15"/>
                <w:szCs w:val="15"/>
              </w:rPr>
              <w:t>(3)</w:t>
            </w:r>
          </w:p>
        </w:tc>
        <w:tc>
          <w:tcPr>
            <w:tcW w:w="0" w:type="auto"/>
            <w:gridSpan w:val="2"/>
            <w:shd w:val="clear" w:color="auto" w:fill="FFF1E7"/>
            <w:tcMar>
              <w:top w:w="40" w:type="dxa"/>
              <w:left w:w="40" w:type="dxa"/>
              <w:bottom w:w="40" w:type="dxa"/>
            </w:tcMar>
            <w:vAlign w:val="bottom"/>
          </w:tcPr>
          <w:p w14:paraId="606F783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836"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8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(256</w:t>
            </w:r>
          </w:p>
        </w:tc>
        <w:tc>
          <w:tcPr>
            <w:tcW w:w="0" w:type="auto"/>
            <w:shd w:val="clear" w:color="auto" w:fill="FFF1E7"/>
            <w:tcMar>
              <w:top w:w="40" w:type="dxa"/>
              <w:bottom w:w="40" w:type="dxa"/>
              <w:right w:w="40" w:type="dxa"/>
            </w:tcMar>
            <w:vAlign w:val="bottom"/>
          </w:tcPr>
          <w:p w14:paraId="606F783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FFF1E7"/>
            <w:tcMar>
              <w:top w:w="40" w:type="dxa"/>
              <w:left w:w="40" w:type="dxa"/>
              <w:bottom w:w="40" w:type="dxa"/>
            </w:tcMar>
            <w:vAlign w:val="bottom"/>
          </w:tcPr>
          <w:p w14:paraId="606F783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83A"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83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83C"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83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(256</w:t>
            </w:r>
          </w:p>
        </w:tc>
        <w:tc>
          <w:tcPr>
            <w:tcW w:w="0" w:type="auto"/>
            <w:shd w:val="clear" w:color="auto" w:fill="FFF1E7"/>
            <w:tcMar>
              <w:top w:w="40" w:type="dxa"/>
              <w:bottom w:w="40" w:type="dxa"/>
              <w:right w:w="40" w:type="dxa"/>
            </w:tcMar>
            <w:vAlign w:val="bottom"/>
          </w:tcPr>
          <w:p w14:paraId="606F783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84B"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840"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Total other </w:t>
            </w:r>
            <w:r>
              <w:rPr>
                <w:rFonts w:ascii="Arial" w:eastAsia="宋体" w:hAnsi="Arial" w:cs="Arial"/>
                <w:sz w:val="17"/>
                <w:szCs w:val="17"/>
              </w:rPr>
              <w:t>comprehensive income (loss)</w:t>
            </w:r>
          </w:p>
        </w:tc>
        <w:tc>
          <w:tcPr>
            <w:tcW w:w="0" w:type="auto"/>
            <w:gridSpan w:val="2"/>
            <w:tcBorders>
              <w:top w:val="single" w:sz="8" w:space="0" w:color="E87722"/>
            </w:tcBorders>
            <w:shd w:val="clear" w:color="auto" w:fill="FFF1E7"/>
            <w:tcMar>
              <w:top w:w="40" w:type="dxa"/>
              <w:left w:w="40" w:type="dxa"/>
              <w:bottom w:w="40" w:type="dxa"/>
            </w:tcMar>
            <w:vAlign w:val="bottom"/>
          </w:tcPr>
          <w:p w14:paraId="606F784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w:t>
            </w:r>
          </w:p>
        </w:tc>
        <w:tc>
          <w:tcPr>
            <w:tcW w:w="0" w:type="auto"/>
            <w:tcBorders>
              <w:top w:val="single" w:sz="8" w:space="0" w:color="E87722"/>
            </w:tcBorders>
            <w:shd w:val="clear" w:color="auto" w:fill="FFF1E7"/>
            <w:tcMar>
              <w:top w:w="40" w:type="dxa"/>
              <w:bottom w:w="40" w:type="dxa"/>
              <w:right w:w="40" w:type="dxa"/>
            </w:tcMar>
            <w:vAlign w:val="bottom"/>
          </w:tcPr>
          <w:p w14:paraId="606F784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FFF1E7"/>
            <w:tcMar>
              <w:top w:w="40" w:type="dxa"/>
              <w:left w:w="40" w:type="dxa"/>
              <w:bottom w:w="40" w:type="dxa"/>
            </w:tcMar>
            <w:vAlign w:val="bottom"/>
          </w:tcPr>
          <w:p w14:paraId="606F78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(119</w:t>
            </w:r>
          </w:p>
        </w:tc>
        <w:tc>
          <w:tcPr>
            <w:tcW w:w="0" w:type="auto"/>
            <w:tcBorders>
              <w:top w:val="single" w:sz="8" w:space="0" w:color="E87722"/>
            </w:tcBorders>
            <w:shd w:val="clear" w:color="auto" w:fill="FFF1E7"/>
            <w:tcMar>
              <w:top w:w="40" w:type="dxa"/>
              <w:bottom w:w="40" w:type="dxa"/>
              <w:right w:w="40" w:type="dxa"/>
            </w:tcMar>
            <w:vAlign w:val="bottom"/>
          </w:tcPr>
          <w:p w14:paraId="606F784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FFF1E7"/>
            <w:tcMar>
              <w:top w:w="40" w:type="dxa"/>
              <w:left w:w="40" w:type="dxa"/>
              <w:bottom w:w="40" w:type="dxa"/>
            </w:tcMar>
            <w:vAlign w:val="bottom"/>
          </w:tcPr>
          <w:p w14:paraId="606F78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vAlign w:val="bottom"/>
          </w:tcPr>
          <w:p w14:paraId="606F7846"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606F784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tcBorders>
            <w:shd w:val="clear" w:color="auto" w:fill="FFF1E7"/>
            <w:vAlign w:val="bottom"/>
          </w:tcPr>
          <w:p w14:paraId="606F7848"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606F784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(179</w:t>
            </w:r>
          </w:p>
        </w:tc>
        <w:tc>
          <w:tcPr>
            <w:tcW w:w="0" w:type="auto"/>
            <w:tcBorders>
              <w:top w:val="single" w:sz="8" w:space="0" w:color="E87722"/>
            </w:tcBorders>
            <w:shd w:val="clear" w:color="auto" w:fill="FFF1E7"/>
            <w:tcMar>
              <w:top w:w="40" w:type="dxa"/>
              <w:bottom w:w="40" w:type="dxa"/>
              <w:right w:w="40" w:type="dxa"/>
            </w:tcMar>
            <w:vAlign w:val="bottom"/>
          </w:tcPr>
          <w:p w14:paraId="606F784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85C"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84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November 30, 2019</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84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84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(407</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784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85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85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401</w:t>
            </w:r>
          </w:p>
        </w:tc>
        <w:tc>
          <w:tcPr>
            <w:tcW w:w="0" w:type="auto"/>
            <w:tcBorders>
              <w:top w:val="single" w:sz="8" w:space="0" w:color="E87722"/>
              <w:bottom w:val="single" w:sz="8" w:space="0" w:color="E87722"/>
            </w:tcBorders>
            <w:shd w:val="clear" w:color="auto" w:fill="FFF1E7"/>
            <w:vAlign w:val="bottom"/>
          </w:tcPr>
          <w:p w14:paraId="606F785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85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85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FFF1E7"/>
            <w:vAlign w:val="bottom"/>
          </w:tcPr>
          <w:p w14:paraId="606F785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85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85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(57</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785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85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85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52</w:t>
            </w:r>
          </w:p>
        </w:tc>
        <w:tc>
          <w:tcPr>
            <w:tcW w:w="0" w:type="auto"/>
            <w:tcBorders>
              <w:top w:val="single" w:sz="8" w:space="0" w:color="E87722"/>
              <w:bottom w:val="single" w:sz="8" w:space="0" w:color="E87722"/>
            </w:tcBorders>
            <w:shd w:val="clear" w:color="auto" w:fill="FFF1E7"/>
            <w:vAlign w:val="bottom"/>
          </w:tcPr>
          <w:p w14:paraId="606F785B" w14:textId="77777777" w:rsidR="00FB67F9" w:rsidRDefault="00FB67F9">
            <w:pPr>
              <w:textAlignment w:val="bottom"/>
              <w:rPr>
                <w:rFonts w:ascii="Times New Roman" w:hAnsi="Times New Roman"/>
                <w:sz w:val="20"/>
                <w:szCs w:val="20"/>
              </w:rPr>
            </w:pPr>
          </w:p>
        </w:tc>
      </w:tr>
    </w:tbl>
    <w:p w14:paraId="606F785D"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860" w14:textId="77777777">
        <w:trPr>
          <w:tblCellSpacing w:w="0" w:type="dxa"/>
        </w:trPr>
        <w:tc>
          <w:tcPr>
            <w:tcW w:w="480" w:type="dxa"/>
            <w:shd w:val="clear" w:color="auto" w:fill="auto"/>
            <w:vAlign w:val="center"/>
          </w:tcPr>
          <w:p w14:paraId="606F785E" w14:textId="77777777" w:rsidR="00FB67F9" w:rsidRDefault="00FB67F9">
            <w:pPr>
              <w:rPr>
                <w:rFonts w:ascii="Times New Roman" w:hAnsi="Times New Roman"/>
                <w:sz w:val="20"/>
                <w:szCs w:val="20"/>
              </w:rPr>
            </w:pPr>
          </w:p>
        </w:tc>
        <w:tc>
          <w:tcPr>
            <w:tcW w:w="0" w:type="auto"/>
            <w:shd w:val="clear" w:color="auto" w:fill="auto"/>
            <w:vAlign w:val="center"/>
          </w:tcPr>
          <w:p w14:paraId="606F785F" w14:textId="77777777" w:rsidR="00FB67F9" w:rsidRDefault="00FB67F9">
            <w:pPr>
              <w:rPr>
                <w:rFonts w:ascii="Times New Roman" w:hAnsi="Times New Roman"/>
                <w:sz w:val="20"/>
                <w:szCs w:val="20"/>
              </w:rPr>
            </w:pPr>
          </w:p>
        </w:tc>
      </w:tr>
      <w:tr w:rsidR="00FB67F9" w14:paraId="606F7863" w14:textId="77777777">
        <w:trPr>
          <w:tblCellSpacing w:w="0" w:type="dxa"/>
        </w:trPr>
        <w:tc>
          <w:tcPr>
            <w:tcW w:w="0" w:type="auto"/>
            <w:shd w:val="clear" w:color="auto" w:fill="auto"/>
          </w:tcPr>
          <w:p w14:paraId="606F7861"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862"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accumulated foreign currency translation adjustment and net investment hedge gains/losses related to an </w:t>
            </w:r>
            <w:r>
              <w:rPr>
                <w:rFonts w:ascii="Arial" w:eastAsia="宋体" w:hAnsi="Arial" w:cs="Arial"/>
                <w:i/>
                <w:iCs/>
                <w:color w:val="000000"/>
                <w:sz w:val="14"/>
                <w:szCs w:val="14"/>
              </w:rPr>
              <w:t>investment in a foreign subsidiary are reclassified to Net income upon sale or upon complete or substantially complete liquidation of the respective entity.</w:t>
            </w:r>
          </w:p>
        </w:tc>
      </w:tr>
    </w:tbl>
    <w:p w14:paraId="606F7864"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459"/>
      </w:tblGrid>
      <w:tr w:rsidR="00FB67F9" w14:paraId="606F7867" w14:textId="77777777">
        <w:trPr>
          <w:tblCellSpacing w:w="0" w:type="dxa"/>
        </w:trPr>
        <w:tc>
          <w:tcPr>
            <w:tcW w:w="480" w:type="dxa"/>
            <w:shd w:val="clear" w:color="auto" w:fill="auto"/>
            <w:vAlign w:val="center"/>
          </w:tcPr>
          <w:p w14:paraId="606F7865" w14:textId="77777777" w:rsidR="00FB67F9" w:rsidRDefault="00FB67F9">
            <w:pPr>
              <w:rPr>
                <w:rFonts w:ascii="Times New Roman" w:hAnsi="Times New Roman"/>
                <w:sz w:val="20"/>
                <w:szCs w:val="20"/>
              </w:rPr>
            </w:pPr>
          </w:p>
        </w:tc>
        <w:tc>
          <w:tcPr>
            <w:tcW w:w="0" w:type="auto"/>
            <w:shd w:val="clear" w:color="auto" w:fill="auto"/>
            <w:vAlign w:val="center"/>
          </w:tcPr>
          <w:p w14:paraId="606F7866" w14:textId="77777777" w:rsidR="00FB67F9" w:rsidRDefault="00FB67F9">
            <w:pPr>
              <w:rPr>
                <w:rFonts w:ascii="Times New Roman" w:hAnsi="Times New Roman"/>
                <w:sz w:val="20"/>
                <w:szCs w:val="20"/>
              </w:rPr>
            </w:pPr>
          </w:p>
        </w:tc>
      </w:tr>
      <w:tr w:rsidR="00FB67F9" w14:paraId="606F786A" w14:textId="77777777">
        <w:trPr>
          <w:tblCellSpacing w:w="0" w:type="dxa"/>
        </w:trPr>
        <w:tc>
          <w:tcPr>
            <w:tcW w:w="0" w:type="auto"/>
            <w:shd w:val="clear" w:color="auto" w:fill="auto"/>
          </w:tcPr>
          <w:p w14:paraId="606F786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606F7869"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of tax benefit (expense) of $0 million, $(7) million, $0 million, $0 million and </w:t>
            </w:r>
            <w:r>
              <w:rPr>
                <w:rFonts w:ascii="Arial" w:eastAsia="宋体" w:hAnsi="Arial" w:cs="Arial"/>
                <w:i/>
                <w:iCs/>
                <w:color w:val="000000"/>
                <w:sz w:val="14"/>
                <w:szCs w:val="14"/>
              </w:rPr>
              <w:t>$(7) million, respectively.</w:t>
            </w:r>
          </w:p>
        </w:tc>
      </w:tr>
    </w:tbl>
    <w:p w14:paraId="606F786B"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272"/>
      </w:tblGrid>
      <w:tr w:rsidR="00FB67F9" w14:paraId="606F786E" w14:textId="77777777">
        <w:trPr>
          <w:tblCellSpacing w:w="0" w:type="dxa"/>
        </w:trPr>
        <w:tc>
          <w:tcPr>
            <w:tcW w:w="480" w:type="dxa"/>
            <w:shd w:val="clear" w:color="auto" w:fill="auto"/>
            <w:vAlign w:val="center"/>
          </w:tcPr>
          <w:p w14:paraId="606F786C" w14:textId="77777777" w:rsidR="00FB67F9" w:rsidRDefault="00FB67F9">
            <w:pPr>
              <w:rPr>
                <w:rFonts w:ascii="Times New Roman" w:hAnsi="Times New Roman"/>
                <w:sz w:val="20"/>
                <w:szCs w:val="20"/>
              </w:rPr>
            </w:pPr>
          </w:p>
        </w:tc>
        <w:tc>
          <w:tcPr>
            <w:tcW w:w="0" w:type="auto"/>
            <w:shd w:val="clear" w:color="auto" w:fill="auto"/>
            <w:vAlign w:val="center"/>
          </w:tcPr>
          <w:p w14:paraId="606F786D" w14:textId="77777777" w:rsidR="00FB67F9" w:rsidRDefault="00FB67F9">
            <w:pPr>
              <w:rPr>
                <w:rFonts w:ascii="Times New Roman" w:hAnsi="Times New Roman"/>
                <w:sz w:val="20"/>
                <w:szCs w:val="20"/>
              </w:rPr>
            </w:pPr>
          </w:p>
        </w:tc>
      </w:tr>
      <w:tr w:rsidR="00FB67F9" w14:paraId="606F7871" w14:textId="77777777">
        <w:trPr>
          <w:tblCellSpacing w:w="0" w:type="dxa"/>
        </w:trPr>
        <w:tc>
          <w:tcPr>
            <w:tcW w:w="0" w:type="auto"/>
            <w:shd w:val="clear" w:color="auto" w:fill="auto"/>
          </w:tcPr>
          <w:p w14:paraId="606F786F"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606F7870"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of tax (benefit) expense of $0 million, $1 million, $0 million, $0 million and $1 million, respectively. </w:t>
            </w:r>
          </w:p>
        </w:tc>
      </w:tr>
    </w:tbl>
    <w:p w14:paraId="606F7872"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3835"/>
        <w:gridCol w:w="136"/>
        <w:gridCol w:w="1072"/>
        <w:gridCol w:w="97"/>
        <w:gridCol w:w="136"/>
        <w:gridCol w:w="541"/>
        <w:gridCol w:w="97"/>
        <w:gridCol w:w="136"/>
        <w:gridCol w:w="864"/>
        <w:gridCol w:w="6"/>
        <w:gridCol w:w="136"/>
        <w:gridCol w:w="467"/>
        <w:gridCol w:w="97"/>
        <w:gridCol w:w="136"/>
        <w:gridCol w:w="453"/>
        <w:gridCol w:w="97"/>
      </w:tblGrid>
      <w:tr w:rsidR="00FB67F9" w14:paraId="606F7874" w14:textId="77777777">
        <w:tc>
          <w:tcPr>
            <w:tcW w:w="0" w:type="auto"/>
            <w:gridSpan w:val="16"/>
            <w:shd w:val="clear" w:color="auto" w:fill="auto"/>
            <w:vAlign w:val="center"/>
          </w:tcPr>
          <w:p w14:paraId="606F7873" w14:textId="77777777" w:rsidR="00FB67F9" w:rsidRDefault="00FB67F9">
            <w:pPr>
              <w:rPr>
                <w:rFonts w:ascii="Times New Roman" w:hAnsi="Times New Roman"/>
                <w:sz w:val="20"/>
                <w:szCs w:val="20"/>
              </w:rPr>
            </w:pPr>
          </w:p>
        </w:tc>
      </w:tr>
      <w:tr w:rsidR="00FB67F9" w14:paraId="606F7885" w14:textId="77777777">
        <w:tc>
          <w:tcPr>
            <w:tcW w:w="2400" w:type="pct"/>
            <w:shd w:val="clear" w:color="auto" w:fill="auto"/>
            <w:vAlign w:val="center"/>
          </w:tcPr>
          <w:p w14:paraId="606F7875" w14:textId="77777777" w:rsidR="00FB67F9" w:rsidRDefault="00FB67F9">
            <w:pPr>
              <w:rPr>
                <w:rFonts w:ascii="Times New Roman" w:hAnsi="Times New Roman"/>
                <w:sz w:val="20"/>
                <w:szCs w:val="20"/>
              </w:rPr>
            </w:pPr>
          </w:p>
        </w:tc>
        <w:tc>
          <w:tcPr>
            <w:tcW w:w="50" w:type="pct"/>
            <w:shd w:val="clear" w:color="auto" w:fill="auto"/>
            <w:vAlign w:val="center"/>
          </w:tcPr>
          <w:p w14:paraId="606F7876" w14:textId="77777777" w:rsidR="00FB67F9" w:rsidRDefault="00FB67F9">
            <w:pPr>
              <w:rPr>
                <w:rFonts w:ascii="Times New Roman" w:hAnsi="Times New Roman"/>
                <w:sz w:val="20"/>
                <w:szCs w:val="20"/>
              </w:rPr>
            </w:pPr>
          </w:p>
        </w:tc>
        <w:tc>
          <w:tcPr>
            <w:tcW w:w="500" w:type="pct"/>
            <w:shd w:val="clear" w:color="auto" w:fill="auto"/>
            <w:vAlign w:val="center"/>
          </w:tcPr>
          <w:p w14:paraId="606F7877" w14:textId="77777777" w:rsidR="00FB67F9" w:rsidRDefault="00FB67F9">
            <w:pPr>
              <w:rPr>
                <w:rFonts w:ascii="Times New Roman" w:hAnsi="Times New Roman"/>
                <w:sz w:val="20"/>
                <w:szCs w:val="20"/>
              </w:rPr>
            </w:pPr>
          </w:p>
        </w:tc>
        <w:tc>
          <w:tcPr>
            <w:tcW w:w="50" w:type="pct"/>
            <w:shd w:val="clear" w:color="auto" w:fill="auto"/>
            <w:vAlign w:val="center"/>
          </w:tcPr>
          <w:p w14:paraId="606F7878" w14:textId="77777777" w:rsidR="00FB67F9" w:rsidRDefault="00FB67F9">
            <w:pPr>
              <w:rPr>
                <w:rFonts w:ascii="Times New Roman" w:hAnsi="Times New Roman"/>
                <w:sz w:val="20"/>
                <w:szCs w:val="20"/>
              </w:rPr>
            </w:pPr>
          </w:p>
        </w:tc>
        <w:tc>
          <w:tcPr>
            <w:tcW w:w="50" w:type="pct"/>
            <w:shd w:val="clear" w:color="auto" w:fill="auto"/>
            <w:vAlign w:val="center"/>
          </w:tcPr>
          <w:p w14:paraId="606F7879" w14:textId="77777777" w:rsidR="00FB67F9" w:rsidRDefault="00FB67F9">
            <w:pPr>
              <w:rPr>
                <w:rFonts w:ascii="Times New Roman" w:hAnsi="Times New Roman"/>
                <w:sz w:val="20"/>
                <w:szCs w:val="20"/>
              </w:rPr>
            </w:pPr>
          </w:p>
        </w:tc>
        <w:tc>
          <w:tcPr>
            <w:tcW w:w="400" w:type="pct"/>
            <w:shd w:val="clear" w:color="auto" w:fill="auto"/>
            <w:vAlign w:val="center"/>
          </w:tcPr>
          <w:p w14:paraId="606F787A" w14:textId="77777777" w:rsidR="00FB67F9" w:rsidRDefault="00FB67F9">
            <w:pPr>
              <w:rPr>
                <w:rFonts w:ascii="Times New Roman" w:hAnsi="Times New Roman"/>
                <w:sz w:val="20"/>
                <w:szCs w:val="20"/>
              </w:rPr>
            </w:pPr>
          </w:p>
        </w:tc>
        <w:tc>
          <w:tcPr>
            <w:tcW w:w="50" w:type="pct"/>
            <w:shd w:val="clear" w:color="auto" w:fill="auto"/>
            <w:vAlign w:val="center"/>
          </w:tcPr>
          <w:p w14:paraId="606F787B" w14:textId="77777777" w:rsidR="00FB67F9" w:rsidRDefault="00FB67F9">
            <w:pPr>
              <w:rPr>
                <w:rFonts w:ascii="Times New Roman" w:hAnsi="Times New Roman"/>
                <w:sz w:val="20"/>
                <w:szCs w:val="20"/>
              </w:rPr>
            </w:pPr>
          </w:p>
        </w:tc>
        <w:tc>
          <w:tcPr>
            <w:tcW w:w="50" w:type="pct"/>
            <w:shd w:val="clear" w:color="auto" w:fill="auto"/>
            <w:vAlign w:val="center"/>
          </w:tcPr>
          <w:p w14:paraId="606F787C" w14:textId="77777777" w:rsidR="00FB67F9" w:rsidRDefault="00FB67F9">
            <w:pPr>
              <w:rPr>
                <w:rFonts w:ascii="Times New Roman" w:hAnsi="Times New Roman"/>
                <w:sz w:val="20"/>
                <w:szCs w:val="20"/>
              </w:rPr>
            </w:pPr>
          </w:p>
        </w:tc>
        <w:tc>
          <w:tcPr>
            <w:tcW w:w="400" w:type="pct"/>
            <w:shd w:val="clear" w:color="auto" w:fill="auto"/>
            <w:vAlign w:val="center"/>
          </w:tcPr>
          <w:p w14:paraId="606F787D" w14:textId="77777777" w:rsidR="00FB67F9" w:rsidRDefault="00FB67F9">
            <w:pPr>
              <w:rPr>
                <w:rFonts w:ascii="Times New Roman" w:hAnsi="Times New Roman"/>
                <w:sz w:val="20"/>
                <w:szCs w:val="20"/>
              </w:rPr>
            </w:pPr>
          </w:p>
        </w:tc>
        <w:tc>
          <w:tcPr>
            <w:tcW w:w="50" w:type="pct"/>
            <w:shd w:val="clear" w:color="auto" w:fill="auto"/>
            <w:vAlign w:val="center"/>
          </w:tcPr>
          <w:p w14:paraId="606F787E" w14:textId="77777777" w:rsidR="00FB67F9" w:rsidRDefault="00FB67F9">
            <w:pPr>
              <w:rPr>
                <w:rFonts w:ascii="Times New Roman" w:hAnsi="Times New Roman"/>
                <w:sz w:val="20"/>
                <w:szCs w:val="20"/>
              </w:rPr>
            </w:pPr>
          </w:p>
        </w:tc>
        <w:tc>
          <w:tcPr>
            <w:tcW w:w="50" w:type="pct"/>
            <w:shd w:val="clear" w:color="auto" w:fill="auto"/>
            <w:vAlign w:val="center"/>
          </w:tcPr>
          <w:p w14:paraId="606F787F" w14:textId="77777777" w:rsidR="00FB67F9" w:rsidRDefault="00FB67F9">
            <w:pPr>
              <w:rPr>
                <w:rFonts w:ascii="Times New Roman" w:hAnsi="Times New Roman"/>
                <w:sz w:val="20"/>
                <w:szCs w:val="20"/>
              </w:rPr>
            </w:pPr>
          </w:p>
        </w:tc>
        <w:tc>
          <w:tcPr>
            <w:tcW w:w="400" w:type="pct"/>
            <w:shd w:val="clear" w:color="auto" w:fill="auto"/>
            <w:vAlign w:val="center"/>
          </w:tcPr>
          <w:p w14:paraId="606F7880" w14:textId="77777777" w:rsidR="00FB67F9" w:rsidRDefault="00FB67F9">
            <w:pPr>
              <w:rPr>
                <w:rFonts w:ascii="Times New Roman" w:hAnsi="Times New Roman"/>
                <w:sz w:val="20"/>
                <w:szCs w:val="20"/>
              </w:rPr>
            </w:pPr>
          </w:p>
        </w:tc>
        <w:tc>
          <w:tcPr>
            <w:tcW w:w="50" w:type="pct"/>
            <w:shd w:val="clear" w:color="auto" w:fill="auto"/>
            <w:vAlign w:val="center"/>
          </w:tcPr>
          <w:p w14:paraId="606F7881" w14:textId="77777777" w:rsidR="00FB67F9" w:rsidRDefault="00FB67F9">
            <w:pPr>
              <w:rPr>
                <w:rFonts w:ascii="Times New Roman" w:hAnsi="Times New Roman"/>
                <w:sz w:val="20"/>
                <w:szCs w:val="20"/>
              </w:rPr>
            </w:pPr>
          </w:p>
        </w:tc>
        <w:tc>
          <w:tcPr>
            <w:tcW w:w="50" w:type="pct"/>
            <w:shd w:val="clear" w:color="auto" w:fill="auto"/>
            <w:vAlign w:val="center"/>
          </w:tcPr>
          <w:p w14:paraId="606F7882" w14:textId="77777777" w:rsidR="00FB67F9" w:rsidRDefault="00FB67F9">
            <w:pPr>
              <w:rPr>
                <w:rFonts w:ascii="Times New Roman" w:hAnsi="Times New Roman"/>
                <w:sz w:val="20"/>
                <w:szCs w:val="20"/>
              </w:rPr>
            </w:pPr>
          </w:p>
        </w:tc>
        <w:tc>
          <w:tcPr>
            <w:tcW w:w="400" w:type="pct"/>
            <w:shd w:val="clear" w:color="auto" w:fill="auto"/>
            <w:vAlign w:val="center"/>
          </w:tcPr>
          <w:p w14:paraId="606F7883" w14:textId="77777777" w:rsidR="00FB67F9" w:rsidRDefault="00FB67F9">
            <w:pPr>
              <w:rPr>
                <w:rFonts w:ascii="Times New Roman" w:hAnsi="Times New Roman"/>
                <w:sz w:val="20"/>
                <w:szCs w:val="20"/>
              </w:rPr>
            </w:pPr>
          </w:p>
        </w:tc>
        <w:tc>
          <w:tcPr>
            <w:tcW w:w="50" w:type="pct"/>
            <w:shd w:val="clear" w:color="auto" w:fill="auto"/>
            <w:vAlign w:val="center"/>
          </w:tcPr>
          <w:p w14:paraId="606F7884" w14:textId="77777777" w:rsidR="00FB67F9" w:rsidRDefault="00FB67F9">
            <w:pPr>
              <w:rPr>
                <w:rFonts w:ascii="Times New Roman" w:hAnsi="Times New Roman"/>
                <w:sz w:val="20"/>
                <w:szCs w:val="20"/>
              </w:rPr>
            </w:pPr>
          </w:p>
        </w:tc>
      </w:tr>
      <w:tr w:rsidR="00FB67F9" w14:paraId="606F789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886"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shd w:val="clear" w:color="auto" w:fill="auto"/>
            <w:tcMar>
              <w:top w:w="40" w:type="dxa"/>
              <w:left w:w="40" w:type="dxa"/>
              <w:bottom w:w="40" w:type="dxa"/>
            </w:tcMar>
            <w:vAlign w:val="bottom"/>
          </w:tcPr>
          <w:p w14:paraId="606F788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5"/>
                <w:szCs w:val="15"/>
              </w:rPr>
              <w:t>(1)</w:t>
            </w:r>
          </w:p>
        </w:tc>
        <w:tc>
          <w:tcPr>
            <w:tcW w:w="0" w:type="auto"/>
            <w:shd w:val="clear" w:color="auto" w:fill="auto"/>
            <w:vAlign w:val="bottom"/>
          </w:tcPr>
          <w:p w14:paraId="606F788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8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CASH FLOW HEDGES</w:t>
            </w:r>
          </w:p>
        </w:tc>
        <w:tc>
          <w:tcPr>
            <w:tcW w:w="0" w:type="auto"/>
            <w:shd w:val="clear" w:color="auto" w:fill="auto"/>
            <w:vAlign w:val="bottom"/>
          </w:tcPr>
          <w:p w14:paraId="606F788A"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8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5"/>
                <w:szCs w:val="15"/>
              </w:rPr>
              <w:t>(1)</w:t>
            </w:r>
          </w:p>
        </w:tc>
        <w:tc>
          <w:tcPr>
            <w:tcW w:w="0" w:type="auto"/>
            <w:shd w:val="clear" w:color="auto" w:fill="auto"/>
            <w:vAlign w:val="bottom"/>
          </w:tcPr>
          <w:p w14:paraId="606F788C"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8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w:t>
            </w:r>
          </w:p>
        </w:tc>
        <w:tc>
          <w:tcPr>
            <w:tcW w:w="0" w:type="auto"/>
            <w:shd w:val="clear" w:color="auto" w:fill="auto"/>
            <w:vAlign w:val="bottom"/>
          </w:tcPr>
          <w:p w14:paraId="606F788E"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8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606F7890" w14:textId="77777777" w:rsidR="00FB67F9" w:rsidRDefault="00FB67F9">
            <w:pPr>
              <w:textAlignment w:val="bottom"/>
              <w:rPr>
                <w:rFonts w:ascii="Times New Roman" w:hAnsi="Times New Roman"/>
                <w:sz w:val="20"/>
                <w:szCs w:val="20"/>
              </w:rPr>
            </w:pPr>
          </w:p>
        </w:tc>
      </w:tr>
      <w:tr w:rsidR="00FB67F9" w14:paraId="606F78A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89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August 31, 2018</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9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9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(301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89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9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9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210</w:t>
            </w:r>
          </w:p>
        </w:tc>
        <w:tc>
          <w:tcPr>
            <w:tcW w:w="0" w:type="auto"/>
            <w:tcBorders>
              <w:top w:val="single" w:sz="8" w:space="0" w:color="E87722"/>
              <w:bottom w:val="single" w:sz="8" w:space="0" w:color="E87722"/>
            </w:tcBorders>
            <w:shd w:val="clear" w:color="auto" w:fill="auto"/>
            <w:vAlign w:val="bottom"/>
          </w:tcPr>
          <w:p w14:paraId="606F789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9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9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auto"/>
            <w:vAlign w:val="bottom"/>
          </w:tcPr>
          <w:p w14:paraId="606F789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9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9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89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9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A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8A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78AE" w14:textId="77777777">
        <w:tc>
          <w:tcPr>
            <w:tcW w:w="0" w:type="auto"/>
            <w:shd w:val="clear" w:color="auto" w:fill="auto"/>
            <w:tcMar>
              <w:top w:w="40" w:type="dxa"/>
              <w:left w:w="40" w:type="dxa"/>
              <w:bottom w:w="40" w:type="dxa"/>
              <w:right w:w="40" w:type="dxa"/>
            </w:tcMar>
            <w:vAlign w:val="center"/>
          </w:tcPr>
          <w:p w14:paraId="606F78A3" w14:textId="77777777" w:rsidR="00FB67F9" w:rsidRDefault="00E839DF">
            <w:pPr>
              <w:textAlignment w:val="center"/>
              <w:rPr>
                <w:rFonts w:ascii="Times New Roman" w:hAnsi="Times New Roman"/>
                <w:sz w:val="17"/>
                <w:szCs w:val="17"/>
              </w:rPr>
            </w:pPr>
            <w:r>
              <w:rPr>
                <w:rFonts w:ascii="Arial" w:eastAsia="宋体" w:hAnsi="Arial" w:cs="Arial"/>
                <w:sz w:val="17"/>
                <w:szCs w:val="17"/>
              </w:rPr>
              <w:t>Other comprehensive income (loss):</w:t>
            </w:r>
          </w:p>
        </w:tc>
        <w:tc>
          <w:tcPr>
            <w:tcW w:w="0" w:type="auto"/>
            <w:gridSpan w:val="2"/>
            <w:shd w:val="clear" w:color="auto" w:fill="auto"/>
            <w:tcMar>
              <w:top w:w="40" w:type="dxa"/>
              <w:left w:w="40" w:type="dxa"/>
              <w:bottom w:w="40" w:type="dxa"/>
            </w:tcMar>
            <w:vAlign w:val="bottom"/>
          </w:tcPr>
          <w:p w14:paraId="606F78A4" w14:textId="77777777" w:rsidR="00FB67F9" w:rsidRDefault="00FB67F9">
            <w:pPr>
              <w:jc w:val="right"/>
              <w:textAlignment w:val="bottom"/>
              <w:rPr>
                <w:rFonts w:ascii="Times New Roman" w:hAnsi="Times New Roman"/>
                <w:sz w:val="17"/>
                <w:szCs w:val="17"/>
              </w:rPr>
            </w:pPr>
          </w:p>
        </w:tc>
        <w:tc>
          <w:tcPr>
            <w:tcW w:w="0" w:type="auto"/>
            <w:shd w:val="clear" w:color="auto" w:fill="auto"/>
            <w:vAlign w:val="bottom"/>
          </w:tcPr>
          <w:p w14:paraId="606F78A5"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A6" w14:textId="77777777" w:rsidR="00FB67F9" w:rsidRDefault="00FB67F9">
            <w:pPr>
              <w:jc w:val="right"/>
              <w:textAlignment w:val="bottom"/>
              <w:rPr>
                <w:rFonts w:ascii="Times New Roman" w:hAnsi="Times New Roman"/>
                <w:sz w:val="17"/>
                <w:szCs w:val="17"/>
              </w:rPr>
            </w:pPr>
          </w:p>
        </w:tc>
        <w:tc>
          <w:tcPr>
            <w:tcW w:w="0" w:type="auto"/>
            <w:shd w:val="clear" w:color="auto" w:fill="auto"/>
            <w:vAlign w:val="bottom"/>
          </w:tcPr>
          <w:p w14:paraId="606F78A7"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A8" w14:textId="77777777" w:rsidR="00FB67F9" w:rsidRDefault="00FB67F9">
            <w:pPr>
              <w:jc w:val="right"/>
              <w:textAlignment w:val="bottom"/>
              <w:rPr>
                <w:rFonts w:ascii="Times New Roman" w:hAnsi="Times New Roman"/>
                <w:sz w:val="17"/>
                <w:szCs w:val="17"/>
              </w:rPr>
            </w:pPr>
          </w:p>
        </w:tc>
        <w:tc>
          <w:tcPr>
            <w:tcW w:w="0" w:type="auto"/>
            <w:shd w:val="clear" w:color="auto" w:fill="auto"/>
            <w:vAlign w:val="bottom"/>
          </w:tcPr>
          <w:p w14:paraId="606F78A9"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AA" w14:textId="77777777" w:rsidR="00FB67F9" w:rsidRDefault="00FB67F9">
            <w:pPr>
              <w:jc w:val="right"/>
              <w:textAlignment w:val="bottom"/>
              <w:rPr>
                <w:rFonts w:ascii="Times New Roman" w:hAnsi="Times New Roman"/>
                <w:sz w:val="17"/>
                <w:szCs w:val="17"/>
              </w:rPr>
            </w:pPr>
          </w:p>
        </w:tc>
        <w:tc>
          <w:tcPr>
            <w:tcW w:w="0" w:type="auto"/>
            <w:shd w:val="clear" w:color="auto" w:fill="auto"/>
            <w:vAlign w:val="bottom"/>
          </w:tcPr>
          <w:p w14:paraId="606F78A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AC" w14:textId="77777777" w:rsidR="00FB67F9" w:rsidRDefault="00FB67F9">
            <w:pPr>
              <w:jc w:val="right"/>
              <w:textAlignment w:val="bottom"/>
              <w:rPr>
                <w:rFonts w:ascii="Times New Roman" w:hAnsi="Times New Roman"/>
                <w:sz w:val="17"/>
                <w:szCs w:val="17"/>
              </w:rPr>
            </w:pPr>
          </w:p>
        </w:tc>
        <w:tc>
          <w:tcPr>
            <w:tcW w:w="0" w:type="auto"/>
            <w:shd w:val="clear" w:color="auto" w:fill="auto"/>
            <w:vAlign w:val="bottom"/>
          </w:tcPr>
          <w:p w14:paraId="606F78AD" w14:textId="77777777" w:rsidR="00FB67F9" w:rsidRDefault="00FB67F9">
            <w:pPr>
              <w:textAlignment w:val="bottom"/>
              <w:rPr>
                <w:rFonts w:ascii="Times New Roman" w:hAnsi="Times New Roman"/>
                <w:sz w:val="20"/>
                <w:szCs w:val="20"/>
              </w:rPr>
            </w:pPr>
          </w:p>
        </w:tc>
      </w:tr>
      <w:tr w:rsidR="00FB67F9" w14:paraId="606F78B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center"/>
          </w:tcPr>
          <w:p w14:paraId="606F78AF" w14:textId="77777777" w:rsidR="00FB67F9" w:rsidRDefault="00E839DF">
            <w:pPr>
              <w:textAlignment w:val="center"/>
              <w:rPr>
                <w:rFonts w:ascii="Times New Roman" w:hAnsi="Times New Roman"/>
                <w:sz w:val="17"/>
                <w:szCs w:val="17"/>
              </w:rPr>
            </w:pPr>
            <w:r>
              <w:rPr>
                <w:rFonts w:ascii="Arial" w:eastAsia="宋体" w:hAnsi="Arial" w:cs="Arial"/>
                <w:sz w:val="17"/>
                <w:szCs w:val="17"/>
              </w:rPr>
              <w:t>Other comprehensive gains (losses) before reclassifications</w:t>
            </w:r>
            <w:r>
              <w:rPr>
                <w:rFonts w:ascii="Arial" w:eastAsia="宋体" w:hAnsi="Arial" w:cs="Arial"/>
                <w:sz w:val="15"/>
                <w:szCs w:val="15"/>
              </w:rPr>
              <w:t>(2)</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8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8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8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252</w:t>
            </w:r>
          </w:p>
        </w:tc>
        <w:tc>
          <w:tcPr>
            <w:tcW w:w="0" w:type="auto"/>
            <w:tcBorders>
              <w:top w:val="single" w:sz="8" w:space="0" w:color="808080"/>
              <w:bottom w:val="single" w:sz="8" w:space="0" w:color="808080"/>
            </w:tcBorders>
            <w:shd w:val="clear" w:color="auto" w:fill="auto"/>
            <w:vAlign w:val="bottom"/>
          </w:tcPr>
          <w:p w14:paraId="606F78B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8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8B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8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vAlign w:val="bottom"/>
          </w:tcPr>
          <w:p w14:paraId="606F78B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8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254</w:t>
            </w:r>
          </w:p>
        </w:tc>
        <w:tc>
          <w:tcPr>
            <w:tcW w:w="0" w:type="auto"/>
            <w:tcBorders>
              <w:top w:val="single" w:sz="8" w:space="0" w:color="808080"/>
              <w:bottom w:val="single" w:sz="8" w:space="0" w:color="808080"/>
            </w:tcBorders>
            <w:shd w:val="clear" w:color="auto" w:fill="auto"/>
            <w:vAlign w:val="bottom"/>
          </w:tcPr>
          <w:p w14:paraId="606F78B9" w14:textId="77777777" w:rsidR="00FB67F9" w:rsidRDefault="00FB67F9">
            <w:pPr>
              <w:textAlignment w:val="bottom"/>
              <w:rPr>
                <w:rFonts w:ascii="Times New Roman" w:hAnsi="Times New Roman"/>
                <w:sz w:val="20"/>
                <w:szCs w:val="20"/>
              </w:rPr>
            </w:pPr>
          </w:p>
        </w:tc>
      </w:tr>
      <w:tr w:rsidR="00FB67F9" w14:paraId="606F78C6" w14:textId="77777777">
        <w:tc>
          <w:tcPr>
            <w:tcW w:w="0" w:type="auto"/>
            <w:shd w:val="clear" w:color="auto" w:fill="auto"/>
            <w:tcMar>
              <w:top w:w="40" w:type="dxa"/>
              <w:left w:w="240" w:type="dxa"/>
              <w:bottom w:w="40" w:type="dxa"/>
              <w:right w:w="40" w:type="dxa"/>
            </w:tcMar>
            <w:vAlign w:val="center"/>
          </w:tcPr>
          <w:p w14:paraId="606F78BB" w14:textId="77777777" w:rsidR="00FB67F9" w:rsidRDefault="00E839DF">
            <w:pPr>
              <w:textAlignment w:val="center"/>
              <w:rPr>
                <w:rFonts w:ascii="Times New Roman" w:hAnsi="Times New Roman"/>
                <w:sz w:val="17"/>
                <w:szCs w:val="17"/>
              </w:rPr>
            </w:pPr>
            <w:r>
              <w:rPr>
                <w:rFonts w:ascii="Arial" w:eastAsia="宋体" w:hAnsi="Arial" w:cs="Arial"/>
                <w:sz w:val="17"/>
                <w:szCs w:val="17"/>
              </w:rPr>
              <w:t>Reclassifications to net income of previously deferred (gains) losses</w:t>
            </w:r>
            <w:r>
              <w:rPr>
                <w:rFonts w:ascii="Arial" w:eastAsia="宋体" w:hAnsi="Arial" w:cs="Arial"/>
                <w:sz w:val="15"/>
                <w:szCs w:val="15"/>
              </w:rPr>
              <w:t>(3)</w:t>
            </w:r>
          </w:p>
        </w:tc>
        <w:tc>
          <w:tcPr>
            <w:tcW w:w="0" w:type="auto"/>
            <w:gridSpan w:val="2"/>
            <w:shd w:val="clear" w:color="auto" w:fill="auto"/>
            <w:tcMar>
              <w:top w:w="40" w:type="dxa"/>
              <w:left w:w="40" w:type="dxa"/>
              <w:bottom w:w="40" w:type="dxa"/>
            </w:tcMar>
            <w:vAlign w:val="bottom"/>
          </w:tcPr>
          <w:p w14:paraId="606F78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8BD"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78B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78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8C1"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8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tcMar>
              <w:top w:w="40" w:type="dxa"/>
              <w:bottom w:w="40" w:type="dxa"/>
              <w:right w:w="40" w:type="dxa"/>
            </w:tcMar>
            <w:vAlign w:val="bottom"/>
          </w:tcPr>
          <w:p w14:paraId="606F78C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78C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shd w:val="clear" w:color="auto" w:fill="auto"/>
            <w:tcMar>
              <w:top w:w="40" w:type="dxa"/>
              <w:bottom w:w="40" w:type="dxa"/>
              <w:right w:w="40" w:type="dxa"/>
            </w:tcMar>
            <w:vAlign w:val="bottom"/>
          </w:tcPr>
          <w:p w14:paraId="606F78C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78D2"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8C7"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other comprehensive income (loss)</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8C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8C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606F78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241</w:t>
            </w:r>
          </w:p>
        </w:tc>
        <w:tc>
          <w:tcPr>
            <w:tcW w:w="0" w:type="auto"/>
            <w:tcBorders>
              <w:top w:val="single" w:sz="8" w:space="0" w:color="E87722"/>
            </w:tcBorders>
            <w:shd w:val="clear" w:color="auto" w:fill="auto"/>
            <w:vAlign w:val="bottom"/>
          </w:tcPr>
          <w:p w14:paraId="606F78CB"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78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vAlign w:val="bottom"/>
          </w:tcPr>
          <w:p w14:paraId="606F78CD"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78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vAlign w:val="bottom"/>
          </w:tcPr>
          <w:p w14:paraId="606F78CF"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78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239</w:t>
            </w:r>
          </w:p>
        </w:tc>
        <w:tc>
          <w:tcPr>
            <w:tcW w:w="0" w:type="auto"/>
            <w:tcBorders>
              <w:top w:val="single" w:sz="8" w:space="0" w:color="E87722"/>
            </w:tcBorders>
            <w:shd w:val="clear" w:color="auto" w:fill="auto"/>
            <w:vAlign w:val="bottom"/>
          </w:tcPr>
          <w:p w14:paraId="606F78D1" w14:textId="77777777" w:rsidR="00FB67F9" w:rsidRDefault="00FB67F9">
            <w:pPr>
              <w:textAlignment w:val="bottom"/>
              <w:rPr>
                <w:rFonts w:ascii="Times New Roman" w:hAnsi="Times New Roman"/>
                <w:sz w:val="20"/>
                <w:szCs w:val="20"/>
              </w:rPr>
            </w:pPr>
          </w:p>
        </w:tc>
      </w:tr>
      <w:tr w:rsidR="00FB67F9" w14:paraId="606F78E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8D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November 30, 2018</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D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D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(303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8D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D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D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451</w:t>
            </w:r>
          </w:p>
        </w:tc>
        <w:tc>
          <w:tcPr>
            <w:tcW w:w="0" w:type="auto"/>
            <w:tcBorders>
              <w:top w:val="single" w:sz="8" w:space="0" w:color="E87722"/>
              <w:bottom w:val="single" w:sz="8" w:space="0" w:color="E87722"/>
            </w:tcBorders>
            <w:shd w:val="clear" w:color="auto" w:fill="auto"/>
            <w:vAlign w:val="bottom"/>
          </w:tcPr>
          <w:p w14:paraId="606F78D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D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D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auto"/>
            <w:vAlign w:val="bottom"/>
          </w:tcPr>
          <w:p w14:paraId="606F78D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D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D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8D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8E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8E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w:t>
            </w:r>
          </w:p>
        </w:tc>
        <w:tc>
          <w:tcPr>
            <w:tcW w:w="0" w:type="auto"/>
            <w:tcBorders>
              <w:top w:val="single" w:sz="8" w:space="0" w:color="E87722"/>
              <w:bottom w:val="single" w:sz="8" w:space="0" w:color="E87722"/>
            </w:tcBorders>
            <w:shd w:val="clear" w:color="auto" w:fill="auto"/>
            <w:vAlign w:val="bottom"/>
          </w:tcPr>
          <w:p w14:paraId="606F78E2" w14:textId="77777777" w:rsidR="00FB67F9" w:rsidRDefault="00FB67F9">
            <w:pPr>
              <w:textAlignment w:val="bottom"/>
              <w:rPr>
                <w:rFonts w:ascii="Times New Roman" w:hAnsi="Times New Roman"/>
                <w:sz w:val="20"/>
                <w:szCs w:val="20"/>
              </w:rPr>
            </w:pPr>
          </w:p>
        </w:tc>
      </w:tr>
    </w:tbl>
    <w:p w14:paraId="606F78E4"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8E7" w14:textId="77777777">
        <w:trPr>
          <w:tblCellSpacing w:w="0" w:type="dxa"/>
        </w:trPr>
        <w:tc>
          <w:tcPr>
            <w:tcW w:w="480" w:type="dxa"/>
            <w:shd w:val="clear" w:color="auto" w:fill="auto"/>
            <w:vAlign w:val="center"/>
          </w:tcPr>
          <w:p w14:paraId="606F78E5" w14:textId="77777777" w:rsidR="00FB67F9" w:rsidRDefault="00FB67F9">
            <w:pPr>
              <w:rPr>
                <w:rFonts w:ascii="Times New Roman" w:hAnsi="Times New Roman"/>
                <w:sz w:val="20"/>
                <w:szCs w:val="20"/>
              </w:rPr>
            </w:pPr>
          </w:p>
        </w:tc>
        <w:tc>
          <w:tcPr>
            <w:tcW w:w="0" w:type="auto"/>
            <w:shd w:val="clear" w:color="auto" w:fill="auto"/>
            <w:vAlign w:val="center"/>
          </w:tcPr>
          <w:p w14:paraId="606F78E6" w14:textId="77777777" w:rsidR="00FB67F9" w:rsidRDefault="00FB67F9">
            <w:pPr>
              <w:rPr>
                <w:rFonts w:ascii="Times New Roman" w:hAnsi="Times New Roman"/>
                <w:sz w:val="20"/>
                <w:szCs w:val="20"/>
              </w:rPr>
            </w:pPr>
          </w:p>
        </w:tc>
      </w:tr>
      <w:tr w:rsidR="00FB67F9" w14:paraId="606F78EA" w14:textId="77777777">
        <w:trPr>
          <w:tblCellSpacing w:w="0" w:type="dxa"/>
        </w:trPr>
        <w:tc>
          <w:tcPr>
            <w:tcW w:w="0" w:type="auto"/>
            <w:shd w:val="clear" w:color="auto" w:fill="auto"/>
          </w:tcPr>
          <w:p w14:paraId="606F78E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8E9"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w:t>
            </w:r>
            <w:r>
              <w:rPr>
                <w:rFonts w:ascii="Arial" w:eastAsia="宋体" w:hAnsi="Arial" w:cs="Arial"/>
                <w:i/>
                <w:iCs/>
                <w:color w:val="000000"/>
                <w:sz w:val="14"/>
                <w:szCs w:val="14"/>
              </w:rPr>
              <w:t>accumulated foreign currency translation adjustment and net investment hedge gains/losses related to an investment in a foreign subsidiary are reclassified to Net income upon sale or upon complete or substantially complete liquidation of the respective ent</w:t>
            </w:r>
            <w:r>
              <w:rPr>
                <w:rFonts w:ascii="Arial" w:eastAsia="宋体" w:hAnsi="Arial" w:cs="Arial"/>
                <w:i/>
                <w:iCs/>
                <w:color w:val="000000"/>
                <w:sz w:val="14"/>
                <w:szCs w:val="14"/>
              </w:rPr>
              <w:t>ity.</w:t>
            </w:r>
          </w:p>
        </w:tc>
      </w:tr>
    </w:tbl>
    <w:p w14:paraId="606F78EB"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459"/>
      </w:tblGrid>
      <w:tr w:rsidR="00FB67F9" w14:paraId="606F78EE" w14:textId="77777777">
        <w:trPr>
          <w:tblCellSpacing w:w="0" w:type="dxa"/>
        </w:trPr>
        <w:tc>
          <w:tcPr>
            <w:tcW w:w="480" w:type="dxa"/>
            <w:shd w:val="clear" w:color="auto" w:fill="auto"/>
            <w:vAlign w:val="center"/>
          </w:tcPr>
          <w:p w14:paraId="606F78EC" w14:textId="77777777" w:rsidR="00FB67F9" w:rsidRDefault="00FB67F9">
            <w:pPr>
              <w:rPr>
                <w:rFonts w:ascii="Times New Roman" w:hAnsi="Times New Roman"/>
                <w:sz w:val="20"/>
                <w:szCs w:val="20"/>
              </w:rPr>
            </w:pPr>
          </w:p>
        </w:tc>
        <w:tc>
          <w:tcPr>
            <w:tcW w:w="0" w:type="auto"/>
            <w:shd w:val="clear" w:color="auto" w:fill="auto"/>
            <w:vAlign w:val="center"/>
          </w:tcPr>
          <w:p w14:paraId="606F78ED" w14:textId="77777777" w:rsidR="00FB67F9" w:rsidRDefault="00FB67F9">
            <w:pPr>
              <w:rPr>
                <w:rFonts w:ascii="Times New Roman" w:hAnsi="Times New Roman"/>
                <w:sz w:val="20"/>
                <w:szCs w:val="20"/>
              </w:rPr>
            </w:pPr>
          </w:p>
        </w:tc>
      </w:tr>
      <w:tr w:rsidR="00FB67F9" w14:paraId="606F78F1" w14:textId="77777777">
        <w:trPr>
          <w:tblCellSpacing w:w="0" w:type="dxa"/>
        </w:trPr>
        <w:tc>
          <w:tcPr>
            <w:tcW w:w="0" w:type="auto"/>
            <w:shd w:val="clear" w:color="auto" w:fill="auto"/>
          </w:tcPr>
          <w:p w14:paraId="606F78EF"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606F78F0"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Net of tax benefit (expense) of $0 million, $(3) million, $0 million, $0 million and $(3) million, respectively.</w:t>
            </w:r>
          </w:p>
        </w:tc>
      </w:tr>
    </w:tbl>
    <w:p w14:paraId="606F78F2"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272"/>
      </w:tblGrid>
      <w:tr w:rsidR="00FB67F9" w14:paraId="606F78F5" w14:textId="77777777">
        <w:trPr>
          <w:tblCellSpacing w:w="0" w:type="dxa"/>
        </w:trPr>
        <w:tc>
          <w:tcPr>
            <w:tcW w:w="480" w:type="dxa"/>
            <w:shd w:val="clear" w:color="auto" w:fill="auto"/>
            <w:vAlign w:val="center"/>
          </w:tcPr>
          <w:p w14:paraId="606F78F3" w14:textId="77777777" w:rsidR="00FB67F9" w:rsidRDefault="00FB67F9">
            <w:pPr>
              <w:rPr>
                <w:rFonts w:ascii="Times New Roman" w:hAnsi="Times New Roman"/>
                <w:sz w:val="20"/>
                <w:szCs w:val="20"/>
              </w:rPr>
            </w:pPr>
          </w:p>
        </w:tc>
        <w:tc>
          <w:tcPr>
            <w:tcW w:w="0" w:type="auto"/>
            <w:shd w:val="clear" w:color="auto" w:fill="auto"/>
            <w:vAlign w:val="center"/>
          </w:tcPr>
          <w:p w14:paraId="606F78F4" w14:textId="77777777" w:rsidR="00FB67F9" w:rsidRDefault="00FB67F9">
            <w:pPr>
              <w:rPr>
                <w:rFonts w:ascii="Times New Roman" w:hAnsi="Times New Roman"/>
                <w:sz w:val="20"/>
                <w:szCs w:val="20"/>
              </w:rPr>
            </w:pPr>
          </w:p>
        </w:tc>
      </w:tr>
      <w:tr w:rsidR="00FB67F9" w14:paraId="606F78F8" w14:textId="77777777">
        <w:trPr>
          <w:tblCellSpacing w:w="0" w:type="dxa"/>
        </w:trPr>
        <w:tc>
          <w:tcPr>
            <w:tcW w:w="0" w:type="auto"/>
            <w:shd w:val="clear" w:color="auto" w:fill="auto"/>
          </w:tcPr>
          <w:p w14:paraId="606F78F6"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606F78F7"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of tax (benefit) expense of $0 million, $1 million, $0 million, $0 million and $1 million, </w:t>
            </w:r>
            <w:r>
              <w:rPr>
                <w:rFonts w:ascii="Arial" w:eastAsia="宋体" w:hAnsi="Arial" w:cs="Arial"/>
                <w:i/>
                <w:iCs/>
                <w:color w:val="000000"/>
                <w:sz w:val="14"/>
                <w:szCs w:val="14"/>
              </w:rPr>
              <w:t>respectively.</w:t>
            </w:r>
          </w:p>
        </w:tc>
      </w:tr>
    </w:tbl>
    <w:p w14:paraId="606F78F9"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3862"/>
        <w:gridCol w:w="136"/>
        <w:gridCol w:w="1072"/>
        <w:gridCol w:w="97"/>
        <w:gridCol w:w="136"/>
        <w:gridCol w:w="541"/>
        <w:gridCol w:w="6"/>
        <w:gridCol w:w="136"/>
        <w:gridCol w:w="864"/>
        <w:gridCol w:w="6"/>
        <w:gridCol w:w="136"/>
        <w:gridCol w:w="467"/>
        <w:gridCol w:w="97"/>
        <w:gridCol w:w="136"/>
        <w:gridCol w:w="517"/>
        <w:gridCol w:w="97"/>
      </w:tblGrid>
      <w:tr w:rsidR="00FB67F9" w14:paraId="606F78FB" w14:textId="77777777">
        <w:tc>
          <w:tcPr>
            <w:tcW w:w="0" w:type="auto"/>
            <w:gridSpan w:val="16"/>
            <w:shd w:val="clear" w:color="auto" w:fill="auto"/>
            <w:vAlign w:val="center"/>
          </w:tcPr>
          <w:p w14:paraId="606F78FA" w14:textId="77777777" w:rsidR="00FB67F9" w:rsidRDefault="00FB67F9">
            <w:pPr>
              <w:rPr>
                <w:rFonts w:ascii="Times New Roman" w:hAnsi="Times New Roman"/>
                <w:sz w:val="20"/>
                <w:szCs w:val="20"/>
              </w:rPr>
            </w:pPr>
          </w:p>
        </w:tc>
      </w:tr>
      <w:tr w:rsidR="00FB67F9" w14:paraId="606F790C" w14:textId="77777777">
        <w:tc>
          <w:tcPr>
            <w:tcW w:w="2400" w:type="pct"/>
            <w:shd w:val="clear" w:color="auto" w:fill="auto"/>
            <w:vAlign w:val="center"/>
          </w:tcPr>
          <w:p w14:paraId="606F78FC" w14:textId="77777777" w:rsidR="00FB67F9" w:rsidRDefault="00FB67F9">
            <w:pPr>
              <w:rPr>
                <w:rFonts w:ascii="Times New Roman" w:hAnsi="Times New Roman"/>
                <w:sz w:val="20"/>
                <w:szCs w:val="20"/>
              </w:rPr>
            </w:pPr>
          </w:p>
        </w:tc>
        <w:tc>
          <w:tcPr>
            <w:tcW w:w="50" w:type="pct"/>
            <w:shd w:val="clear" w:color="auto" w:fill="auto"/>
            <w:vAlign w:val="center"/>
          </w:tcPr>
          <w:p w14:paraId="606F78FD" w14:textId="77777777" w:rsidR="00FB67F9" w:rsidRDefault="00FB67F9">
            <w:pPr>
              <w:rPr>
                <w:rFonts w:ascii="Times New Roman" w:hAnsi="Times New Roman"/>
                <w:sz w:val="20"/>
                <w:szCs w:val="20"/>
              </w:rPr>
            </w:pPr>
          </w:p>
        </w:tc>
        <w:tc>
          <w:tcPr>
            <w:tcW w:w="500" w:type="pct"/>
            <w:shd w:val="clear" w:color="auto" w:fill="auto"/>
            <w:vAlign w:val="center"/>
          </w:tcPr>
          <w:p w14:paraId="606F78FE" w14:textId="77777777" w:rsidR="00FB67F9" w:rsidRDefault="00FB67F9">
            <w:pPr>
              <w:rPr>
                <w:rFonts w:ascii="Times New Roman" w:hAnsi="Times New Roman"/>
                <w:sz w:val="20"/>
                <w:szCs w:val="20"/>
              </w:rPr>
            </w:pPr>
          </w:p>
        </w:tc>
        <w:tc>
          <w:tcPr>
            <w:tcW w:w="50" w:type="pct"/>
            <w:shd w:val="clear" w:color="auto" w:fill="auto"/>
            <w:vAlign w:val="center"/>
          </w:tcPr>
          <w:p w14:paraId="606F78FF" w14:textId="77777777" w:rsidR="00FB67F9" w:rsidRDefault="00FB67F9">
            <w:pPr>
              <w:rPr>
                <w:rFonts w:ascii="Times New Roman" w:hAnsi="Times New Roman"/>
                <w:sz w:val="20"/>
                <w:szCs w:val="20"/>
              </w:rPr>
            </w:pPr>
          </w:p>
        </w:tc>
        <w:tc>
          <w:tcPr>
            <w:tcW w:w="50" w:type="pct"/>
            <w:shd w:val="clear" w:color="auto" w:fill="auto"/>
            <w:vAlign w:val="center"/>
          </w:tcPr>
          <w:p w14:paraId="606F7900" w14:textId="77777777" w:rsidR="00FB67F9" w:rsidRDefault="00FB67F9">
            <w:pPr>
              <w:rPr>
                <w:rFonts w:ascii="Times New Roman" w:hAnsi="Times New Roman"/>
                <w:sz w:val="20"/>
                <w:szCs w:val="20"/>
              </w:rPr>
            </w:pPr>
          </w:p>
        </w:tc>
        <w:tc>
          <w:tcPr>
            <w:tcW w:w="400" w:type="pct"/>
            <w:shd w:val="clear" w:color="auto" w:fill="auto"/>
            <w:vAlign w:val="center"/>
          </w:tcPr>
          <w:p w14:paraId="606F7901" w14:textId="77777777" w:rsidR="00FB67F9" w:rsidRDefault="00FB67F9">
            <w:pPr>
              <w:rPr>
                <w:rFonts w:ascii="Times New Roman" w:hAnsi="Times New Roman"/>
                <w:sz w:val="20"/>
                <w:szCs w:val="20"/>
              </w:rPr>
            </w:pPr>
          </w:p>
        </w:tc>
        <w:tc>
          <w:tcPr>
            <w:tcW w:w="50" w:type="pct"/>
            <w:shd w:val="clear" w:color="auto" w:fill="auto"/>
            <w:vAlign w:val="center"/>
          </w:tcPr>
          <w:p w14:paraId="606F7902" w14:textId="77777777" w:rsidR="00FB67F9" w:rsidRDefault="00FB67F9">
            <w:pPr>
              <w:rPr>
                <w:rFonts w:ascii="Times New Roman" w:hAnsi="Times New Roman"/>
                <w:sz w:val="20"/>
                <w:szCs w:val="20"/>
              </w:rPr>
            </w:pPr>
          </w:p>
        </w:tc>
        <w:tc>
          <w:tcPr>
            <w:tcW w:w="50" w:type="pct"/>
            <w:shd w:val="clear" w:color="auto" w:fill="auto"/>
            <w:vAlign w:val="center"/>
          </w:tcPr>
          <w:p w14:paraId="606F7903" w14:textId="77777777" w:rsidR="00FB67F9" w:rsidRDefault="00FB67F9">
            <w:pPr>
              <w:rPr>
                <w:rFonts w:ascii="Times New Roman" w:hAnsi="Times New Roman"/>
                <w:sz w:val="20"/>
                <w:szCs w:val="20"/>
              </w:rPr>
            </w:pPr>
          </w:p>
        </w:tc>
        <w:tc>
          <w:tcPr>
            <w:tcW w:w="400" w:type="pct"/>
            <w:shd w:val="clear" w:color="auto" w:fill="auto"/>
            <w:vAlign w:val="center"/>
          </w:tcPr>
          <w:p w14:paraId="606F7904" w14:textId="77777777" w:rsidR="00FB67F9" w:rsidRDefault="00FB67F9">
            <w:pPr>
              <w:rPr>
                <w:rFonts w:ascii="Times New Roman" w:hAnsi="Times New Roman"/>
                <w:sz w:val="20"/>
                <w:szCs w:val="20"/>
              </w:rPr>
            </w:pPr>
          </w:p>
        </w:tc>
        <w:tc>
          <w:tcPr>
            <w:tcW w:w="50" w:type="pct"/>
            <w:shd w:val="clear" w:color="auto" w:fill="auto"/>
            <w:vAlign w:val="center"/>
          </w:tcPr>
          <w:p w14:paraId="606F7905" w14:textId="77777777" w:rsidR="00FB67F9" w:rsidRDefault="00FB67F9">
            <w:pPr>
              <w:rPr>
                <w:rFonts w:ascii="Times New Roman" w:hAnsi="Times New Roman"/>
                <w:sz w:val="20"/>
                <w:szCs w:val="20"/>
              </w:rPr>
            </w:pPr>
          </w:p>
        </w:tc>
        <w:tc>
          <w:tcPr>
            <w:tcW w:w="50" w:type="pct"/>
            <w:shd w:val="clear" w:color="auto" w:fill="auto"/>
            <w:vAlign w:val="center"/>
          </w:tcPr>
          <w:p w14:paraId="606F7906" w14:textId="77777777" w:rsidR="00FB67F9" w:rsidRDefault="00FB67F9">
            <w:pPr>
              <w:rPr>
                <w:rFonts w:ascii="Times New Roman" w:hAnsi="Times New Roman"/>
                <w:sz w:val="20"/>
                <w:szCs w:val="20"/>
              </w:rPr>
            </w:pPr>
          </w:p>
        </w:tc>
        <w:tc>
          <w:tcPr>
            <w:tcW w:w="400" w:type="pct"/>
            <w:shd w:val="clear" w:color="auto" w:fill="auto"/>
            <w:vAlign w:val="center"/>
          </w:tcPr>
          <w:p w14:paraId="606F7907" w14:textId="77777777" w:rsidR="00FB67F9" w:rsidRDefault="00FB67F9">
            <w:pPr>
              <w:rPr>
                <w:rFonts w:ascii="Times New Roman" w:hAnsi="Times New Roman"/>
                <w:sz w:val="20"/>
                <w:szCs w:val="20"/>
              </w:rPr>
            </w:pPr>
          </w:p>
        </w:tc>
        <w:tc>
          <w:tcPr>
            <w:tcW w:w="50" w:type="pct"/>
            <w:shd w:val="clear" w:color="auto" w:fill="auto"/>
            <w:vAlign w:val="center"/>
          </w:tcPr>
          <w:p w14:paraId="606F7908" w14:textId="77777777" w:rsidR="00FB67F9" w:rsidRDefault="00FB67F9">
            <w:pPr>
              <w:rPr>
                <w:rFonts w:ascii="Times New Roman" w:hAnsi="Times New Roman"/>
                <w:sz w:val="20"/>
                <w:szCs w:val="20"/>
              </w:rPr>
            </w:pPr>
          </w:p>
        </w:tc>
        <w:tc>
          <w:tcPr>
            <w:tcW w:w="50" w:type="pct"/>
            <w:shd w:val="clear" w:color="auto" w:fill="auto"/>
            <w:vAlign w:val="center"/>
          </w:tcPr>
          <w:p w14:paraId="606F7909" w14:textId="77777777" w:rsidR="00FB67F9" w:rsidRDefault="00FB67F9">
            <w:pPr>
              <w:rPr>
                <w:rFonts w:ascii="Times New Roman" w:hAnsi="Times New Roman"/>
                <w:sz w:val="20"/>
                <w:szCs w:val="20"/>
              </w:rPr>
            </w:pPr>
          </w:p>
        </w:tc>
        <w:tc>
          <w:tcPr>
            <w:tcW w:w="400" w:type="pct"/>
            <w:shd w:val="clear" w:color="auto" w:fill="auto"/>
            <w:vAlign w:val="center"/>
          </w:tcPr>
          <w:p w14:paraId="606F790A" w14:textId="77777777" w:rsidR="00FB67F9" w:rsidRDefault="00FB67F9">
            <w:pPr>
              <w:rPr>
                <w:rFonts w:ascii="Times New Roman" w:hAnsi="Times New Roman"/>
                <w:sz w:val="20"/>
                <w:szCs w:val="20"/>
              </w:rPr>
            </w:pPr>
          </w:p>
        </w:tc>
        <w:tc>
          <w:tcPr>
            <w:tcW w:w="50" w:type="pct"/>
            <w:shd w:val="clear" w:color="auto" w:fill="auto"/>
            <w:vAlign w:val="center"/>
          </w:tcPr>
          <w:p w14:paraId="606F790B" w14:textId="77777777" w:rsidR="00FB67F9" w:rsidRDefault="00FB67F9">
            <w:pPr>
              <w:rPr>
                <w:rFonts w:ascii="Times New Roman" w:hAnsi="Times New Roman"/>
                <w:sz w:val="20"/>
                <w:szCs w:val="20"/>
              </w:rPr>
            </w:pPr>
          </w:p>
        </w:tc>
      </w:tr>
      <w:tr w:rsidR="00FB67F9" w14:paraId="606F7918"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90D"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90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606F790F"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91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CASH FLOW HEDGES</w:t>
            </w:r>
          </w:p>
        </w:tc>
        <w:tc>
          <w:tcPr>
            <w:tcW w:w="0" w:type="auto"/>
            <w:tcBorders>
              <w:bottom w:val="single" w:sz="8" w:space="0" w:color="E87722"/>
            </w:tcBorders>
            <w:shd w:val="clear" w:color="auto" w:fill="auto"/>
            <w:vAlign w:val="bottom"/>
          </w:tcPr>
          <w:p w14:paraId="606F791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91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606F7913"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914"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OTHER</w:t>
            </w:r>
          </w:p>
        </w:tc>
        <w:tc>
          <w:tcPr>
            <w:tcW w:w="0" w:type="auto"/>
            <w:tcBorders>
              <w:bottom w:val="single" w:sz="8" w:space="0" w:color="E87722"/>
            </w:tcBorders>
            <w:shd w:val="clear" w:color="auto" w:fill="auto"/>
            <w:vAlign w:val="bottom"/>
          </w:tcPr>
          <w:p w14:paraId="606F7915"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91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tcBorders>
              <w:bottom w:val="single" w:sz="8" w:space="0" w:color="E87722"/>
            </w:tcBorders>
            <w:shd w:val="clear" w:color="auto" w:fill="auto"/>
            <w:vAlign w:val="bottom"/>
          </w:tcPr>
          <w:p w14:paraId="606F7917" w14:textId="77777777" w:rsidR="00FB67F9" w:rsidRDefault="00FB67F9">
            <w:pPr>
              <w:textAlignment w:val="bottom"/>
              <w:rPr>
                <w:rFonts w:ascii="Times New Roman" w:hAnsi="Times New Roman"/>
                <w:sz w:val="20"/>
                <w:szCs w:val="20"/>
              </w:rPr>
            </w:pPr>
          </w:p>
        </w:tc>
      </w:tr>
      <w:tr w:rsidR="00FB67F9" w14:paraId="606F792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91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May 31, 2018</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91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91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(173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91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606F791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91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17</w:t>
            </w:r>
          </w:p>
        </w:tc>
        <w:tc>
          <w:tcPr>
            <w:tcW w:w="0" w:type="auto"/>
            <w:tcBorders>
              <w:bottom w:val="single" w:sz="8" w:space="0" w:color="E87722"/>
            </w:tcBorders>
            <w:shd w:val="clear" w:color="auto" w:fill="auto"/>
            <w:vAlign w:val="bottom"/>
          </w:tcPr>
          <w:p w14:paraId="606F791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92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92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bottom w:val="single" w:sz="8" w:space="0" w:color="E87722"/>
            </w:tcBorders>
            <w:shd w:val="clear" w:color="auto" w:fill="auto"/>
            <w:vAlign w:val="bottom"/>
          </w:tcPr>
          <w:p w14:paraId="606F7922"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792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92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(51</w:t>
            </w:r>
          </w:p>
        </w:tc>
        <w:tc>
          <w:tcPr>
            <w:tcW w:w="0" w:type="auto"/>
            <w:tcBorders>
              <w:bottom w:val="single" w:sz="8" w:space="0" w:color="E87722"/>
            </w:tcBorders>
            <w:shd w:val="clear" w:color="auto" w:fill="auto"/>
            <w:tcMar>
              <w:top w:w="40" w:type="dxa"/>
              <w:bottom w:w="40" w:type="dxa"/>
              <w:right w:w="40" w:type="dxa"/>
            </w:tcMar>
            <w:vAlign w:val="bottom"/>
          </w:tcPr>
          <w:p w14:paraId="606F792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606F792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606F792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(92</w:t>
            </w:r>
          </w:p>
        </w:tc>
        <w:tc>
          <w:tcPr>
            <w:tcW w:w="0" w:type="auto"/>
            <w:tcBorders>
              <w:bottom w:val="single" w:sz="8" w:space="0" w:color="E87722"/>
            </w:tcBorders>
            <w:shd w:val="clear" w:color="auto" w:fill="auto"/>
            <w:tcMar>
              <w:top w:w="40" w:type="dxa"/>
              <w:bottom w:w="40" w:type="dxa"/>
              <w:right w:w="40" w:type="dxa"/>
            </w:tcMar>
            <w:vAlign w:val="bottom"/>
          </w:tcPr>
          <w:p w14:paraId="606F792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7930" w14:textId="77777777">
        <w:tc>
          <w:tcPr>
            <w:tcW w:w="0" w:type="auto"/>
            <w:shd w:val="clear" w:color="auto" w:fill="auto"/>
            <w:tcMar>
              <w:top w:w="40" w:type="dxa"/>
              <w:left w:w="40" w:type="dxa"/>
              <w:bottom w:w="40" w:type="dxa"/>
              <w:right w:w="40" w:type="dxa"/>
            </w:tcMar>
            <w:vAlign w:val="center"/>
          </w:tcPr>
          <w:p w14:paraId="606F792A" w14:textId="77777777" w:rsidR="00FB67F9" w:rsidRDefault="00E839DF">
            <w:pPr>
              <w:textAlignment w:val="center"/>
              <w:rPr>
                <w:rFonts w:ascii="Times New Roman" w:hAnsi="Times New Roman"/>
                <w:sz w:val="17"/>
                <w:szCs w:val="17"/>
              </w:rPr>
            </w:pPr>
            <w:r>
              <w:rPr>
                <w:rFonts w:ascii="Arial" w:eastAsia="宋体" w:hAnsi="Arial" w:cs="Arial"/>
                <w:sz w:val="17"/>
                <w:szCs w:val="17"/>
              </w:rPr>
              <w:t xml:space="preserve">Other comprehensive income </w:t>
            </w:r>
            <w:r>
              <w:rPr>
                <w:rFonts w:ascii="Arial" w:eastAsia="宋体" w:hAnsi="Arial" w:cs="Arial"/>
                <w:sz w:val="17"/>
                <w:szCs w:val="17"/>
              </w:rPr>
              <w:t>(loss):</w:t>
            </w:r>
          </w:p>
        </w:tc>
        <w:tc>
          <w:tcPr>
            <w:tcW w:w="0" w:type="auto"/>
            <w:gridSpan w:val="3"/>
            <w:shd w:val="clear" w:color="auto" w:fill="auto"/>
            <w:tcMar>
              <w:top w:w="40" w:type="dxa"/>
              <w:left w:w="40" w:type="dxa"/>
              <w:bottom w:w="40" w:type="dxa"/>
              <w:right w:w="40" w:type="dxa"/>
            </w:tcMar>
            <w:vAlign w:val="bottom"/>
          </w:tcPr>
          <w:p w14:paraId="606F792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9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9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92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92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93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center"/>
          </w:tcPr>
          <w:p w14:paraId="606F7931" w14:textId="77777777" w:rsidR="00FB67F9" w:rsidRDefault="00E839DF">
            <w:pPr>
              <w:textAlignment w:val="center"/>
              <w:rPr>
                <w:rFonts w:ascii="Times New Roman" w:hAnsi="Times New Roman"/>
                <w:sz w:val="17"/>
                <w:szCs w:val="17"/>
              </w:rPr>
            </w:pPr>
            <w:r>
              <w:rPr>
                <w:rFonts w:ascii="Arial" w:eastAsia="宋体" w:hAnsi="Arial" w:cs="Arial"/>
                <w:sz w:val="17"/>
                <w:szCs w:val="17"/>
              </w:rPr>
              <w:t>Other comprehensive gains (losses) before reclassifications</w:t>
            </w:r>
            <w:r>
              <w:rPr>
                <w:rFonts w:ascii="Arial" w:eastAsia="宋体" w:hAnsi="Arial" w:cs="Arial"/>
                <w:sz w:val="15"/>
                <w:szCs w:val="15"/>
              </w:rPr>
              <w:t>(2)</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3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93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3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394</w:t>
            </w:r>
          </w:p>
        </w:tc>
        <w:tc>
          <w:tcPr>
            <w:tcW w:w="0" w:type="auto"/>
            <w:tcBorders>
              <w:top w:val="single" w:sz="8" w:space="0" w:color="808080"/>
              <w:bottom w:val="single" w:sz="8" w:space="0" w:color="808080"/>
            </w:tcBorders>
            <w:shd w:val="clear" w:color="auto" w:fill="auto"/>
            <w:vAlign w:val="bottom"/>
          </w:tcPr>
          <w:p w14:paraId="606F793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3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93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3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vAlign w:val="bottom"/>
          </w:tcPr>
          <w:p w14:paraId="606F793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272</w:t>
            </w:r>
          </w:p>
        </w:tc>
        <w:tc>
          <w:tcPr>
            <w:tcW w:w="0" w:type="auto"/>
            <w:tcBorders>
              <w:top w:val="single" w:sz="8" w:space="0" w:color="808080"/>
              <w:bottom w:val="single" w:sz="8" w:space="0" w:color="808080"/>
            </w:tcBorders>
            <w:shd w:val="clear" w:color="auto" w:fill="auto"/>
            <w:vAlign w:val="bottom"/>
          </w:tcPr>
          <w:p w14:paraId="606F793B" w14:textId="77777777" w:rsidR="00FB67F9" w:rsidRDefault="00FB67F9">
            <w:pPr>
              <w:textAlignment w:val="bottom"/>
              <w:rPr>
                <w:rFonts w:ascii="Times New Roman" w:hAnsi="Times New Roman"/>
                <w:sz w:val="20"/>
                <w:szCs w:val="20"/>
              </w:rPr>
            </w:pPr>
          </w:p>
        </w:tc>
      </w:tr>
      <w:tr w:rsidR="00FB67F9" w14:paraId="606F7948" w14:textId="77777777">
        <w:tc>
          <w:tcPr>
            <w:tcW w:w="0" w:type="auto"/>
            <w:shd w:val="clear" w:color="auto" w:fill="auto"/>
            <w:tcMar>
              <w:top w:w="40" w:type="dxa"/>
              <w:left w:w="240" w:type="dxa"/>
              <w:bottom w:w="40" w:type="dxa"/>
              <w:right w:w="40" w:type="dxa"/>
            </w:tcMar>
            <w:vAlign w:val="center"/>
          </w:tcPr>
          <w:p w14:paraId="606F793D" w14:textId="77777777" w:rsidR="00FB67F9" w:rsidRDefault="00E839DF">
            <w:pPr>
              <w:textAlignment w:val="center"/>
              <w:rPr>
                <w:rFonts w:ascii="Times New Roman" w:hAnsi="Times New Roman"/>
                <w:sz w:val="17"/>
                <w:szCs w:val="17"/>
              </w:rPr>
            </w:pPr>
            <w:r>
              <w:rPr>
                <w:rFonts w:ascii="Arial" w:eastAsia="宋体" w:hAnsi="Arial" w:cs="Arial"/>
                <w:sz w:val="17"/>
                <w:szCs w:val="17"/>
              </w:rPr>
              <w:t>Reclassifications to net income of previously deferred (gains) losses</w:t>
            </w:r>
            <w:r>
              <w:rPr>
                <w:rFonts w:ascii="Arial" w:eastAsia="宋体" w:hAnsi="Arial" w:cs="Arial"/>
                <w:sz w:val="15"/>
                <w:szCs w:val="15"/>
              </w:rPr>
              <w:t>(3)</w:t>
            </w:r>
          </w:p>
        </w:tc>
        <w:tc>
          <w:tcPr>
            <w:tcW w:w="0" w:type="auto"/>
            <w:gridSpan w:val="2"/>
            <w:shd w:val="clear" w:color="auto" w:fill="auto"/>
            <w:tcMar>
              <w:top w:w="40" w:type="dxa"/>
              <w:left w:w="40" w:type="dxa"/>
              <w:bottom w:w="40" w:type="dxa"/>
            </w:tcMar>
            <w:vAlign w:val="bottom"/>
          </w:tcPr>
          <w:p w14:paraId="606F793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93F"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94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w:t>
            </w:r>
          </w:p>
        </w:tc>
        <w:tc>
          <w:tcPr>
            <w:tcW w:w="0" w:type="auto"/>
            <w:shd w:val="clear" w:color="auto" w:fill="auto"/>
            <w:vAlign w:val="bottom"/>
          </w:tcPr>
          <w:p w14:paraId="606F7941"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94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943"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94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794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794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w:t>
            </w:r>
          </w:p>
        </w:tc>
        <w:tc>
          <w:tcPr>
            <w:tcW w:w="0" w:type="auto"/>
            <w:shd w:val="clear" w:color="auto" w:fill="auto"/>
            <w:vAlign w:val="bottom"/>
          </w:tcPr>
          <w:p w14:paraId="606F7947" w14:textId="77777777" w:rsidR="00FB67F9" w:rsidRDefault="00FB67F9">
            <w:pPr>
              <w:textAlignment w:val="bottom"/>
              <w:rPr>
                <w:rFonts w:ascii="Times New Roman" w:hAnsi="Times New Roman"/>
                <w:sz w:val="20"/>
                <w:szCs w:val="20"/>
              </w:rPr>
            </w:pPr>
          </w:p>
        </w:tc>
      </w:tr>
      <w:tr w:rsidR="00FB67F9" w14:paraId="606F7954"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949"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other comprehensive income (loss)</w:t>
            </w:r>
          </w:p>
        </w:tc>
        <w:tc>
          <w:tcPr>
            <w:tcW w:w="0" w:type="auto"/>
            <w:gridSpan w:val="2"/>
            <w:tcBorders>
              <w:top w:val="single" w:sz="8" w:space="0" w:color="E87722"/>
            </w:tcBorders>
            <w:shd w:val="clear" w:color="auto" w:fill="auto"/>
            <w:tcMar>
              <w:top w:w="40" w:type="dxa"/>
              <w:left w:w="40" w:type="dxa"/>
              <w:bottom w:w="40" w:type="dxa"/>
            </w:tcMar>
            <w:vAlign w:val="bottom"/>
          </w:tcPr>
          <w:p w14:paraId="606F79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(130</w:t>
            </w:r>
          </w:p>
        </w:tc>
        <w:tc>
          <w:tcPr>
            <w:tcW w:w="0" w:type="auto"/>
            <w:tcBorders>
              <w:top w:val="single" w:sz="8" w:space="0" w:color="E87722"/>
            </w:tcBorders>
            <w:shd w:val="clear" w:color="auto" w:fill="auto"/>
            <w:tcMar>
              <w:top w:w="40" w:type="dxa"/>
              <w:bottom w:w="40" w:type="dxa"/>
              <w:right w:w="40" w:type="dxa"/>
            </w:tcMar>
            <w:vAlign w:val="bottom"/>
          </w:tcPr>
          <w:p w14:paraId="606F794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606F79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434</w:t>
            </w:r>
          </w:p>
        </w:tc>
        <w:tc>
          <w:tcPr>
            <w:tcW w:w="0" w:type="auto"/>
            <w:tcBorders>
              <w:top w:val="single" w:sz="8" w:space="0" w:color="E87722"/>
            </w:tcBorders>
            <w:shd w:val="clear" w:color="auto" w:fill="auto"/>
            <w:vAlign w:val="bottom"/>
          </w:tcPr>
          <w:p w14:paraId="606F794D"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794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vAlign w:val="bottom"/>
          </w:tcPr>
          <w:p w14:paraId="606F794F"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79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E87722"/>
            </w:tcBorders>
            <w:shd w:val="clear" w:color="auto" w:fill="auto"/>
            <w:tcMar>
              <w:top w:w="40" w:type="dxa"/>
              <w:bottom w:w="40" w:type="dxa"/>
              <w:right w:w="40" w:type="dxa"/>
            </w:tcMar>
            <w:vAlign w:val="bottom"/>
          </w:tcPr>
          <w:p w14:paraId="606F795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606F795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301</w:t>
            </w:r>
          </w:p>
        </w:tc>
        <w:tc>
          <w:tcPr>
            <w:tcW w:w="0" w:type="auto"/>
            <w:tcBorders>
              <w:top w:val="single" w:sz="8" w:space="0" w:color="E87722"/>
            </w:tcBorders>
            <w:shd w:val="clear" w:color="auto" w:fill="auto"/>
            <w:vAlign w:val="bottom"/>
          </w:tcPr>
          <w:p w14:paraId="606F7953" w14:textId="77777777" w:rsidR="00FB67F9" w:rsidRDefault="00FB67F9">
            <w:pPr>
              <w:textAlignment w:val="bottom"/>
              <w:rPr>
                <w:rFonts w:ascii="Times New Roman" w:hAnsi="Times New Roman"/>
                <w:sz w:val="20"/>
                <w:szCs w:val="20"/>
              </w:rPr>
            </w:pPr>
          </w:p>
        </w:tc>
      </w:tr>
      <w:tr w:rsidR="00FB67F9" w14:paraId="606F796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95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Balance at November 30, 2018</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95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95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(303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95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95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95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451</w:t>
            </w:r>
          </w:p>
        </w:tc>
        <w:tc>
          <w:tcPr>
            <w:tcW w:w="0" w:type="auto"/>
            <w:tcBorders>
              <w:top w:val="single" w:sz="8" w:space="0" w:color="E87722"/>
              <w:bottom w:val="single" w:sz="8" w:space="0" w:color="E87722"/>
            </w:tcBorders>
            <w:shd w:val="clear" w:color="auto" w:fill="auto"/>
            <w:vAlign w:val="bottom"/>
          </w:tcPr>
          <w:p w14:paraId="606F795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95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95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auto"/>
            <w:vAlign w:val="bottom"/>
          </w:tcPr>
          <w:p w14:paraId="606F795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95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96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96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96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96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w:t>
            </w:r>
          </w:p>
        </w:tc>
        <w:tc>
          <w:tcPr>
            <w:tcW w:w="0" w:type="auto"/>
            <w:tcBorders>
              <w:top w:val="single" w:sz="8" w:space="0" w:color="E87722"/>
              <w:bottom w:val="single" w:sz="8" w:space="0" w:color="E87722"/>
            </w:tcBorders>
            <w:shd w:val="clear" w:color="auto" w:fill="auto"/>
            <w:vAlign w:val="bottom"/>
          </w:tcPr>
          <w:p w14:paraId="606F7964" w14:textId="77777777" w:rsidR="00FB67F9" w:rsidRDefault="00FB67F9">
            <w:pPr>
              <w:textAlignment w:val="bottom"/>
              <w:rPr>
                <w:rFonts w:ascii="Times New Roman" w:hAnsi="Times New Roman"/>
                <w:sz w:val="20"/>
                <w:szCs w:val="20"/>
              </w:rPr>
            </w:pPr>
          </w:p>
        </w:tc>
      </w:tr>
    </w:tbl>
    <w:p w14:paraId="606F7966"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7969" w14:textId="77777777">
        <w:trPr>
          <w:tblCellSpacing w:w="0" w:type="dxa"/>
        </w:trPr>
        <w:tc>
          <w:tcPr>
            <w:tcW w:w="480" w:type="dxa"/>
            <w:shd w:val="clear" w:color="auto" w:fill="auto"/>
            <w:vAlign w:val="center"/>
          </w:tcPr>
          <w:p w14:paraId="606F7967" w14:textId="77777777" w:rsidR="00FB67F9" w:rsidRDefault="00FB67F9">
            <w:pPr>
              <w:rPr>
                <w:rFonts w:ascii="Times New Roman" w:hAnsi="Times New Roman"/>
                <w:sz w:val="20"/>
                <w:szCs w:val="20"/>
              </w:rPr>
            </w:pPr>
          </w:p>
        </w:tc>
        <w:tc>
          <w:tcPr>
            <w:tcW w:w="0" w:type="auto"/>
            <w:shd w:val="clear" w:color="auto" w:fill="auto"/>
            <w:vAlign w:val="center"/>
          </w:tcPr>
          <w:p w14:paraId="606F7968" w14:textId="77777777" w:rsidR="00FB67F9" w:rsidRDefault="00FB67F9">
            <w:pPr>
              <w:rPr>
                <w:rFonts w:ascii="Times New Roman" w:hAnsi="Times New Roman"/>
                <w:sz w:val="20"/>
                <w:szCs w:val="20"/>
              </w:rPr>
            </w:pPr>
          </w:p>
        </w:tc>
      </w:tr>
      <w:tr w:rsidR="00FB67F9" w14:paraId="606F796C" w14:textId="77777777">
        <w:trPr>
          <w:tblCellSpacing w:w="0" w:type="dxa"/>
        </w:trPr>
        <w:tc>
          <w:tcPr>
            <w:tcW w:w="0" w:type="auto"/>
            <w:shd w:val="clear" w:color="auto" w:fill="auto"/>
          </w:tcPr>
          <w:p w14:paraId="606F796A"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796B"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accumulated foreign currency translation adjustment and net investment hedge gains/losses related to an investment in a foreign subsidiary are </w:t>
            </w:r>
            <w:r>
              <w:rPr>
                <w:rFonts w:ascii="Arial" w:eastAsia="宋体" w:hAnsi="Arial" w:cs="Arial"/>
                <w:i/>
                <w:iCs/>
                <w:color w:val="000000"/>
                <w:sz w:val="14"/>
                <w:szCs w:val="14"/>
              </w:rPr>
              <w:t>reclassified to Net income upon sale or upon complete or substantially complete liquidation of the respective entity.</w:t>
            </w:r>
          </w:p>
        </w:tc>
      </w:tr>
    </w:tbl>
    <w:p w14:paraId="606F796D"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459"/>
      </w:tblGrid>
      <w:tr w:rsidR="00FB67F9" w14:paraId="606F7970" w14:textId="77777777">
        <w:trPr>
          <w:tblCellSpacing w:w="0" w:type="dxa"/>
        </w:trPr>
        <w:tc>
          <w:tcPr>
            <w:tcW w:w="480" w:type="dxa"/>
            <w:shd w:val="clear" w:color="auto" w:fill="auto"/>
            <w:vAlign w:val="center"/>
          </w:tcPr>
          <w:p w14:paraId="606F796E" w14:textId="77777777" w:rsidR="00FB67F9" w:rsidRDefault="00FB67F9">
            <w:pPr>
              <w:rPr>
                <w:rFonts w:ascii="Times New Roman" w:hAnsi="Times New Roman"/>
                <w:sz w:val="20"/>
                <w:szCs w:val="20"/>
              </w:rPr>
            </w:pPr>
          </w:p>
        </w:tc>
        <w:tc>
          <w:tcPr>
            <w:tcW w:w="0" w:type="auto"/>
            <w:shd w:val="clear" w:color="auto" w:fill="auto"/>
            <w:vAlign w:val="center"/>
          </w:tcPr>
          <w:p w14:paraId="606F796F" w14:textId="77777777" w:rsidR="00FB67F9" w:rsidRDefault="00FB67F9">
            <w:pPr>
              <w:rPr>
                <w:rFonts w:ascii="Times New Roman" w:hAnsi="Times New Roman"/>
                <w:sz w:val="20"/>
                <w:szCs w:val="20"/>
              </w:rPr>
            </w:pPr>
          </w:p>
        </w:tc>
      </w:tr>
      <w:tr w:rsidR="00FB67F9" w14:paraId="606F7973" w14:textId="77777777">
        <w:trPr>
          <w:tblCellSpacing w:w="0" w:type="dxa"/>
        </w:trPr>
        <w:tc>
          <w:tcPr>
            <w:tcW w:w="0" w:type="auto"/>
            <w:shd w:val="clear" w:color="auto" w:fill="auto"/>
          </w:tcPr>
          <w:p w14:paraId="606F7971"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606F7972"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Net of tax benefit (expense) of $0 million, $(4) million, $0 million, $0 million and $(4) million, respectively.</w:t>
            </w:r>
          </w:p>
        </w:tc>
      </w:tr>
    </w:tbl>
    <w:p w14:paraId="606F7974"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272"/>
      </w:tblGrid>
      <w:tr w:rsidR="00FB67F9" w14:paraId="606F7977" w14:textId="77777777">
        <w:trPr>
          <w:tblCellSpacing w:w="0" w:type="dxa"/>
        </w:trPr>
        <w:tc>
          <w:tcPr>
            <w:tcW w:w="480" w:type="dxa"/>
            <w:shd w:val="clear" w:color="auto" w:fill="auto"/>
            <w:vAlign w:val="center"/>
          </w:tcPr>
          <w:p w14:paraId="606F7975" w14:textId="77777777" w:rsidR="00FB67F9" w:rsidRDefault="00FB67F9">
            <w:pPr>
              <w:rPr>
                <w:rFonts w:ascii="Times New Roman" w:hAnsi="Times New Roman"/>
                <w:sz w:val="20"/>
                <w:szCs w:val="20"/>
              </w:rPr>
            </w:pPr>
          </w:p>
        </w:tc>
        <w:tc>
          <w:tcPr>
            <w:tcW w:w="0" w:type="auto"/>
            <w:shd w:val="clear" w:color="auto" w:fill="auto"/>
            <w:vAlign w:val="center"/>
          </w:tcPr>
          <w:p w14:paraId="606F7976" w14:textId="77777777" w:rsidR="00FB67F9" w:rsidRDefault="00FB67F9">
            <w:pPr>
              <w:rPr>
                <w:rFonts w:ascii="Times New Roman" w:hAnsi="Times New Roman"/>
                <w:sz w:val="20"/>
                <w:szCs w:val="20"/>
              </w:rPr>
            </w:pPr>
          </w:p>
        </w:tc>
      </w:tr>
      <w:tr w:rsidR="00FB67F9" w14:paraId="606F797A" w14:textId="77777777">
        <w:trPr>
          <w:tblCellSpacing w:w="0" w:type="dxa"/>
        </w:trPr>
        <w:tc>
          <w:tcPr>
            <w:tcW w:w="0" w:type="auto"/>
            <w:shd w:val="clear" w:color="auto" w:fill="auto"/>
          </w:tcPr>
          <w:p w14:paraId="606F797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606F7979"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w:t>
            </w:r>
            <w:r>
              <w:rPr>
                <w:rFonts w:ascii="Arial" w:eastAsia="宋体" w:hAnsi="Arial" w:cs="Arial"/>
                <w:i/>
                <w:iCs/>
                <w:color w:val="000000"/>
                <w:sz w:val="14"/>
                <w:szCs w:val="14"/>
              </w:rPr>
              <w:t>of tax (benefit) expense of $0 million, $2 million, $0 million, $0 million and $2 million, respectively.</w:t>
            </w:r>
          </w:p>
        </w:tc>
      </w:tr>
    </w:tbl>
    <w:p w14:paraId="606F797B" w14:textId="77777777" w:rsidR="00FB67F9" w:rsidRDefault="00FB67F9">
      <w:pPr>
        <w:rPr>
          <w:rFonts w:ascii="Times New Roman" w:hAnsi="Times New Roman"/>
          <w:sz w:val="20"/>
          <w:szCs w:val="20"/>
        </w:rPr>
      </w:pPr>
    </w:p>
    <w:p w14:paraId="606F797C"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18</w:t>
      </w:r>
      <w:r>
        <w:rPr>
          <w:rFonts w:ascii="sans-serif" w:eastAsia="sans-serif" w:hAnsi="sans-serif" w:cs="sans-serif"/>
          <w:sz w:val="17"/>
          <w:szCs w:val="17"/>
        </w:rPr>
        <w:t xml:space="preserve"> </w:t>
      </w:r>
    </w:p>
    <w:p w14:paraId="606F797D" w14:textId="77777777" w:rsidR="00FB67F9" w:rsidRDefault="00E839DF">
      <w:r>
        <w:rPr>
          <w:rFonts w:ascii="Times New Roman" w:hAnsi="Times New Roman"/>
          <w:sz w:val="17"/>
          <w:szCs w:val="17"/>
        </w:rPr>
        <w:pict w14:anchorId="606F8F8F">
          <v:rect id="_x0000_i1044" style="width:415.3pt;height:1.5pt" o:hralign="center" o:hrstd="t" o:hr="t" fillcolor="#a0a0a0" stroked="f"/>
        </w:pict>
      </w:r>
    </w:p>
    <w:p w14:paraId="606F797E" w14:textId="77777777" w:rsidR="00FB67F9" w:rsidRDefault="00FB67F9">
      <w:pPr>
        <w:rPr>
          <w:rFonts w:ascii="Times New Roman" w:hAnsi="Times New Roman"/>
          <w:sz w:val="17"/>
          <w:szCs w:val="17"/>
        </w:rPr>
      </w:pPr>
    </w:p>
    <w:p w14:paraId="606F797F" w14:textId="77777777" w:rsidR="00FB67F9" w:rsidRDefault="00E839DF">
      <w:pPr>
        <w:rPr>
          <w:rFonts w:ascii="Times New Roman" w:hAnsi="Times New Roman"/>
          <w:sz w:val="17"/>
          <w:szCs w:val="17"/>
        </w:rPr>
      </w:pPr>
      <w:hyperlink r:id="rId88" w:anchor="s42C493F7582652B69E70047AB812E6A5" w:history="1">
        <w:r>
          <w:rPr>
            <w:rStyle w:val="a5"/>
            <w:rFonts w:ascii="sans-serif" w:eastAsia="sans-serif" w:hAnsi="sans-serif" w:cs="sans-serif"/>
            <w:sz w:val="17"/>
            <w:szCs w:val="17"/>
          </w:rPr>
          <w:t>Table of Contents</w:t>
        </w:r>
      </w:hyperlink>
    </w:p>
    <w:p w14:paraId="606F7980" w14:textId="77777777" w:rsidR="00FB67F9" w:rsidRDefault="00FB67F9">
      <w:pPr>
        <w:rPr>
          <w:rFonts w:ascii="Times New Roman" w:hAnsi="Times New Roman"/>
          <w:sz w:val="17"/>
          <w:szCs w:val="17"/>
        </w:rPr>
      </w:pPr>
    </w:p>
    <w:p w14:paraId="606F7981" w14:textId="77777777" w:rsidR="00FB67F9" w:rsidRDefault="00FB67F9">
      <w:pPr>
        <w:rPr>
          <w:rFonts w:ascii="Times New Roman" w:hAnsi="Times New Roman"/>
          <w:sz w:val="20"/>
          <w:szCs w:val="20"/>
        </w:rPr>
      </w:pPr>
    </w:p>
    <w:p w14:paraId="606F798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following table summarizes the reclassifications from </w:t>
      </w:r>
      <w:r>
        <w:rPr>
          <w:rFonts w:ascii="Arial" w:eastAsia="宋体" w:hAnsi="Arial" w:cs="Arial"/>
          <w:i/>
          <w:iCs/>
          <w:sz w:val="17"/>
          <w:szCs w:val="17"/>
        </w:rPr>
        <w:t>Accumulated other compreh</w:t>
      </w:r>
      <w:r>
        <w:rPr>
          <w:rFonts w:ascii="Arial" w:eastAsia="宋体" w:hAnsi="Arial" w:cs="Arial"/>
          <w:i/>
          <w:iCs/>
          <w:sz w:val="17"/>
          <w:szCs w:val="17"/>
        </w:rPr>
        <w:t>ensive income (loss)</w:t>
      </w:r>
      <w:r>
        <w:rPr>
          <w:rFonts w:ascii="Arial" w:eastAsia="宋体" w:hAnsi="Arial" w:cs="Arial"/>
          <w:sz w:val="17"/>
          <w:szCs w:val="17"/>
        </w:rPr>
        <w:t xml:space="preserve"> to the Unaudited Condensed Consolidated Statements of Income:</w:t>
      </w:r>
    </w:p>
    <w:tbl>
      <w:tblPr>
        <w:tblW w:w="5000" w:type="pct"/>
        <w:tblCellMar>
          <w:left w:w="0" w:type="dxa"/>
          <w:right w:w="0" w:type="dxa"/>
        </w:tblCellMar>
        <w:tblLook w:val="04A0" w:firstRow="1" w:lastRow="0" w:firstColumn="1" w:lastColumn="0" w:noHBand="0" w:noVBand="1"/>
      </w:tblPr>
      <w:tblGrid>
        <w:gridCol w:w="2937"/>
        <w:gridCol w:w="135"/>
        <w:gridCol w:w="695"/>
        <w:gridCol w:w="97"/>
        <w:gridCol w:w="136"/>
        <w:gridCol w:w="696"/>
        <w:gridCol w:w="98"/>
        <w:gridCol w:w="130"/>
        <w:gridCol w:w="135"/>
        <w:gridCol w:w="696"/>
        <w:gridCol w:w="97"/>
        <w:gridCol w:w="135"/>
        <w:gridCol w:w="696"/>
        <w:gridCol w:w="97"/>
        <w:gridCol w:w="1526"/>
      </w:tblGrid>
      <w:tr w:rsidR="00FB67F9" w14:paraId="606F7984" w14:textId="77777777">
        <w:tc>
          <w:tcPr>
            <w:tcW w:w="0" w:type="auto"/>
            <w:gridSpan w:val="15"/>
            <w:shd w:val="clear" w:color="auto" w:fill="auto"/>
            <w:vAlign w:val="center"/>
          </w:tcPr>
          <w:p w14:paraId="606F7983" w14:textId="77777777" w:rsidR="00FB67F9" w:rsidRDefault="00FB67F9">
            <w:pPr>
              <w:rPr>
                <w:rFonts w:ascii="Times New Roman" w:hAnsi="Times New Roman"/>
                <w:sz w:val="20"/>
                <w:szCs w:val="20"/>
              </w:rPr>
            </w:pPr>
          </w:p>
        </w:tc>
      </w:tr>
      <w:tr w:rsidR="00FB67F9" w14:paraId="606F7994" w14:textId="77777777">
        <w:tc>
          <w:tcPr>
            <w:tcW w:w="1800" w:type="pct"/>
            <w:shd w:val="clear" w:color="auto" w:fill="auto"/>
            <w:vAlign w:val="center"/>
          </w:tcPr>
          <w:p w14:paraId="606F7985" w14:textId="77777777" w:rsidR="00FB67F9" w:rsidRDefault="00FB67F9">
            <w:pPr>
              <w:rPr>
                <w:rFonts w:ascii="Times New Roman" w:hAnsi="Times New Roman"/>
                <w:sz w:val="20"/>
                <w:szCs w:val="20"/>
              </w:rPr>
            </w:pPr>
          </w:p>
        </w:tc>
        <w:tc>
          <w:tcPr>
            <w:tcW w:w="50" w:type="pct"/>
            <w:shd w:val="clear" w:color="auto" w:fill="auto"/>
            <w:vAlign w:val="center"/>
          </w:tcPr>
          <w:p w14:paraId="606F7986" w14:textId="77777777" w:rsidR="00FB67F9" w:rsidRDefault="00FB67F9">
            <w:pPr>
              <w:rPr>
                <w:rFonts w:ascii="Times New Roman" w:hAnsi="Times New Roman"/>
                <w:sz w:val="20"/>
                <w:szCs w:val="20"/>
              </w:rPr>
            </w:pPr>
          </w:p>
        </w:tc>
        <w:tc>
          <w:tcPr>
            <w:tcW w:w="450" w:type="pct"/>
            <w:shd w:val="clear" w:color="auto" w:fill="auto"/>
            <w:vAlign w:val="center"/>
          </w:tcPr>
          <w:p w14:paraId="606F7987" w14:textId="77777777" w:rsidR="00FB67F9" w:rsidRDefault="00FB67F9">
            <w:pPr>
              <w:rPr>
                <w:rFonts w:ascii="Times New Roman" w:hAnsi="Times New Roman"/>
                <w:sz w:val="20"/>
                <w:szCs w:val="20"/>
              </w:rPr>
            </w:pPr>
          </w:p>
        </w:tc>
        <w:tc>
          <w:tcPr>
            <w:tcW w:w="50" w:type="pct"/>
            <w:shd w:val="clear" w:color="auto" w:fill="auto"/>
            <w:vAlign w:val="center"/>
          </w:tcPr>
          <w:p w14:paraId="606F7988" w14:textId="77777777" w:rsidR="00FB67F9" w:rsidRDefault="00FB67F9">
            <w:pPr>
              <w:rPr>
                <w:rFonts w:ascii="Times New Roman" w:hAnsi="Times New Roman"/>
                <w:sz w:val="20"/>
                <w:szCs w:val="20"/>
              </w:rPr>
            </w:pPr>
          </w:p>
        </w:tc>
        <w:tc>
          <w:tcPr>
            <w:tcW w:w="50" w:type="pct"/>
            <w:shd w:val="clear" w:color="auto" w:fill="auto"/>
            <w:vAlign w:val="center"/>
          </w:tcPr>
          <w:p w14:paraId="606F7989" w14:textId="77777777" w:rsidR="00FB67F9" w:rsidRDefault="00FB67F9">
            <w:pPr>
              <w:rPr>
                <w:rFonts w:ascii="Times New Roman" w:hAnsi="Times New Roman"/>
                <w:sz w:val="20"/>
                <w:szCs w:val="20"/>
              </w:rPr>
            </w:pPr>
          </w:p>
        </w:tc>
        <w:tc>
          <w:tcPr>
            <w:tcW w:w="450" w:type="pct"/>
            <w:shd w:val="clear" w:color="auto" w:fill="auto"/>
            <w:vAlign w:val="center"/>
          </w:tcPr>
          <w:p w14:paraId="606F798A" w14:textId="77777777" w:rsidR="00FB67F9" w:rsidRDefault="00FB67F9">
            <w:pPr>
              <w:rPr>
                <w:rFonts w:ascii="Times New Roman" w:hAnsi="Times New Roman"/>
                <w:sz w:val="20"/>
                <w:szCs w:val="20"/>
              </w:rPr>
            </w:pPr>
          </w:p>
        </w:tc>
        <w:tc>
          <w:tcPr>
            <w:tcW w:w="50" w:type="pct"/>
            <w:shd w:val="clear" w:color="auto" w:fill="auto"/>
            <w:vAlign w:val="center"/>
          </w:tcPr>
          <w:p w14:paraId="606F798B" w14:textId="77777777" w:rsidR="00FB67F9" w:rsidRDefault="00FB67F9">
            <w:pPr>
              <w:rPr>
                <w:rFonts w:ascii="Times New Roman" w:hAnsi="Times New Roman"/>
                <w:sz w:val="20"/>
                <w:szCs w:val="20"/>
              </w:rPr>
            </w:pPr>
          </w:p>
        </w:tc>
        <w:tc>
          <w:tcPr>
            <w:tcW w:w="50" w:type="pct"/>
            <w:shd w:val="clear" w:color="auto" w:fill="auto"/>
            <w:vAlign w:val="center"/>
          </w:tcPr>
          <w:p w14:paraId="606F798C" w14:textId="77777777" w:rsidR="00FB67F9" w:rsidRDefault="00FB67F9">
            <w:pPr>
              <w:rPr>
                <w:rFonts w:ascii="Times New Roman" w:hAnsi="Times New Roman"/>
                <w:sz w:val="20"/>
                <w:szCs w:val="20"/>
              </w:rPr>
            </w:pPr>
          </w:p>
        </w:tc>
        <w:tc>
          <w:tcPr>
            <w:tcW w:w="50" w:type="pct"/>
            <w:shd w:val="clear" w:color="auto" w:fill="auto"/>
            <w:vAlign w:val="center"/>
          </w:tcPr>
          <w:p w14:paraId="606F798D" w14:textId="77777777" w:rsidR="00FB67F9" w:rsidRDefault="00FB67F9">
            <w:pPr>
              <w:rPr>
                <w:rFonts w:ascii="Times New Roman" w:hAnsi="Times New Roman"/>
                <w:sz w:val="20"/>
                <w:szCs w:val="20"/>
              </w:rPr>
            </w:pPr>
          </w:p>
        </w:tc>
        <w:tc>
          <w:tcPr>
            <w:tcW w:w="450" w:type="pct"/>
            <w:shd w:val="clear" w:color="auto" w:fill="auto"/>
            <w:vAlign w:val="center"/>
          </w:tcPr>
          <w:p w14:paraId="606F798E" w14:textId="77777777" w:rsidR="00FB67F9" w:rsidRDefault="00FB67F9">
            <w:pPr>
              <w:rPr>
                <w:rFonts w:ascii="Times New Roman" w:hAnsi="Times New Roman"/>
                <w:sz w:val="20"/>
                <w:szCs w:val="20"/>
              </w:rPr>
            </w:pPr>
          </w:p>
        </w:tc>
        <w:tc>
          <w:tcPr>
            <w:tcW w:w="50" w:type="pct"/>
            <w:shd w:val="clear" w:color="auto" w:fill="auto"/>
            <w:vAlign w:val="center"/>
          </w:tcPr>
          <w:p w14:paraId="606F798F" w14:textId="77777777" w:rsidR="00FB67F9" w:rsidRDefault="00FB67F9">
            <w:pPr>
              <w:rPr>
                <w:rFonts w:ascii="Times New Roman" w:hAnsi="Times New Roman"/>
                <w:sz w:val="20"/>
                <w:szCs w:val="20"/>
              </w:rPr>
            </w:pPr>
          </w:p>
        </w:tc>
        <w:tc>
          <w:tcPr>
            <w:tcW w:w="50" w:type="pct"/>
            <w:shd w:val="clear" w:color="auto" w:fill="auto"/>
            <w:vAlign w:val="center"/>
          </w:tcPr>
          <w:p w14:paraId="606F7990" w14:textId="77777777" w:rsidR="00FB67F9" w:rsidRDefault="00FB67F9">
            <w:pPr>
              <w:rPr>
                <w:rFonts w:ascii="Times New Roman" w:hAnsi="Times New Roman"/>
                <w:sz w:val="20"/>
                <w:szCs w:val="20"/>
              </w:rPr>
            </w:pPr>
          </w:p>
        </w:tc>
        <w:tc>
          <w:tcPr>
            <w:tcW w:w="450" w:type="pct"/>
            <w:shd w:val="clear" w:color="auto" w:fill="auto"/>
            <w:vAlign w:val="center"/>
          </w:tcPr>
          <w:p w14:paraId="606F7991" w14:textId="77777777" w:rsidR="00FB67F9" w:rsidRDefault="00FB67F9">
            <w:pPr>
              <w:rPr>
                <w:rFonts w:ascii="Times New Roman" w:hAnsi="Times New Roman"/>
                <w:sz w:val="20"/>
                <w:szCs w:val="20"/>
              </w:rPr>
            </w:pPr>
          </w:p>
        </w:tc>
        <w:tc>
          <w:tcPr>
            <w:tcW w:w="50" w:type="pct"/>
            <w:shd w:val="clear" w:color="auto" w:fill="auto"/>
            <w:vAlign w:val="center"/>
          </w:tcPr>
          <w:p w14:paraId="606F7992" w14:textId="77777777" w:rsidR="00FB67F9" w:rsidRDefault="00FB67F9">
            <w:pPr>
              <w:rPr>
                <w:rFonts w:ascii="Times New Roman" w:hAnsi="Times New Roman"/>
                <w:sz w:val="20"/>
                <w:szCs w:val="20"/>
              </w:rPr>
            </w:pPr>
          </w:p>
        </w:tc>
        <w:tc>
          <w:tcPr>
            <w:tcW w:w="950" w:type="pct"/>
            <w:shd w:val="clear" w:color="auto" w:fill="auto"/>
            <w:vAlign w:val="center"/>
          </w:tcPr>
          <w:p w14:paraId="606F7993" w14:textId="77777777" w:rsidR="00FB67F9" w:rsidRDefault="00FB67F9">
            <w:pPr>
              <w:rPr>
                <w:rFonts w:ascii="Times New Roman" w:hAnsi="Times New Roman"/>
                <w:sz w:val="20"/>
                <w:szCs w:val="20"/>
              </w:rPr>
            </w:pPr>
          </w:p>
        </w:tc>
      </w:tr>
      <w:tr w:rsidR="00FB67F9" w14:paraId="606F7998" w14:textId="77777777">
        <w:tc>
          <w:tcPr>
            <w:tcW w:w="0" w:type="auto"/>
            <w:shd w:val="clear" w:color="auto" w:fill="auto"/>
            <w:tcMar>
              <w:top w:w="40" w:type="dxa"/>
              <w:left w:w="40" w:type="dxa"/>
              <w:bottom w:w="40" w:type="dxa"/>
              <w:right w:w="40" w:type="dxa"/>
            </w:tcMar>
            <w:vAlign w:val="bottom"/>
          </w:tcPr>
          <w:p w14:paraId="606F799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E87722"/>
            </w:tcBorders>
            <w:shd w:val="clear" w:color="auto" w:fill="auto"/>
            <w:tcMar>
              <w:top w:w="40" w:type="dxa"/>
              <w:left w:w="40" w:type="dxa"/>
              <w:bottom w:w="40" w:type="dxa"/>
            </w:tcMar>
            <w:vAlign w:val="bottom"/>
          </w:tcPr>
          <w:p w14:paraId="606F799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606F799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r>
      <w:tr w:rsidR="00FB67F9" w14:paraId="606F799E" w14:textId="77777777">
        <w:tc>
          <w:tcPr>
            <w:tcW w:w="0" w:type="auto"/>
            <w:shd w:val="clear" w:color="auto" w:fill="auto"/>
            <w:tcMar>
              <w:top w:w="40" w:type="dxa"/>
              <w:left w:w="40" w:type="dxa"/>
              <w:bottom w:w="40" w:type="dxa"/>
              <w:right w:w="40" w:type="dxa"/>
            </w:tcMar>
            <w:vAlign w:val="bottom"/>
          </w:tcPr>
          <w:p w14:paraId="606F799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99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799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E87722"/>
              <w:bottom w:val="single" w:sz="8" w:space="0" w:color="E87722"/>
            </w:tcBorders>
            <w:shd w:val="clear" w:color="auto" w:fill="auto"/>
            <w:tcMar>
              <w:top w:w="40" w:type="dxa"/>
              <w:left w:w="40" w:type="dxa"/>
              <w:bottom w:w="40" w:type="dxa"/>
            </w:tcMar>
            <w:vAlign w:val="bottom"/>
          </w:tcPr>
          <w:p w14:paraId="606F799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606F799D" w14:textId="77777777" w:rsidR="00FB67F9" w:rsidRDefault="00FB67F9">
            <w:pPr>
              <w:rPr>
                <w:rFonts w:ascii="Times New Roman" w:hAnsi="Times New Roman"/>
                <w:sz w:val="20"/>
                <w:szCs w:val="20"/>
              </w:rPr>
            </w:pPr>
          </w:p>
        </w:tc>
      </w:tr>
      <w:tr w:rsidR="00FB67F9" w14:paraId="606F79A6"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99F"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9A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9A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9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9A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9A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606F79A5" w14:textId="77777777" w:rsidR="00FB67F9" w:rsidRDefault="00FB67F9">
            <w:pPr>
              <w:rPr>
                <w:rFonts w:ascii="Times New Roman" w:hAnsi="Times New Roman"/>
                <w:sz w:val="20"/>
                <w:szCs w:val="20"/>
              </w:rPr>
            </w:pPr>
          </w:p>
        </w:tc>
      </w:tr>
      <w:tr w:rsidR="00FB67F9" w14:paraId="606F79B2" w14:textId="77777777">
        <w:tc>
          <w:tcPr>
            <w:tcW w:w="0" w:type="auto"/>
            <w:shd w:val="clear" w:color="auto" w:fill="auto"/>
            <w:tcMar>
              <w:top w:w="40" w:type="dxa"/>
              <w:left w:w="40" w:type="dxa"/>
              <w:bottom w:w="40" w:type="dxa"/>
              <w:right w:w="40" w:type="dxa"/>
            </w:tcMar>
            <w:vAlign w:val="bottom"/>
          </w:tcPr>
          <w:p w14:paraId="606F79A7" w14:textId="77777777" w:rsidR="00FB67F9" w:rsidRDefault="00E839DF">
            <w:pPr>
              <w:textAlignment w:val="bottom"/>
              <w:rPr>
                <w:rFonts w:ascii="Times New Roman" w:hAnsi="Times New Roman"/>
                <w:sz w:val="17"/>
                <w:szCs w:val="17"/>
              </w:rPr>
            </w:pPr>
            <w:r>
              <w:rPr>
                <w:rFonts w:ascii="Arial" w:eastAsia="宋体" w:hAnsi="Arial" w:cs="Arial"/>
                <w:sz w:val="17"/>
                <w:szCs w:val="17"/>
              </w:rPr>
              <w:t>Gains (losses) on cash flow hedges:</w:t>
            </w:r>
          </w:p>
        </w:tc>
        <w:tc>
          <w:tcPr>
            <w:tcW w:w="0" w:type="auto"/>
            <w:gridSpan w:val="2"/>
            <w:shd w:val="clear" w:color="auto" w:fill="FFF1E7"/>
            <w:tcMar>
              <w:top w:w="40" w:type="dxa"/>
              <w:left w:w="40" w:type="dxa"/>
              <w:bottom w:w="40" w:type="dxa"/>
            </w:tcMar>
            <w:vAlign w:val="bottom"/>
          </w:tcPr>
          <w:p w14:paraId="606F79A8" w14:textId="77777777" w:rsidR="00FB67F9" w:rsidRDefault="00FB67F9">
            <w:pPr>
              <w:jc w:val="right"/>
              <w:textAlignment w:val="bottom"/>
              <w:rPr>
                <w:rFonts w:ascii="Times New Roman" w:hAnsi="Times New Roman"/>
                <w:sz w:val="17"/>
                <w:szCs w:val="17"/>
              </w:rPr>
            </w:pPr>
          </w:p>
        </w:tc>
        <w:tc>
          <w:tcPr>
            <w:tcW w:w="0" w:type="auto"/>
            <w:shd w:val="clear" w:color="auto" w:fill="FFF1E7"/>
            <w:vAlign w:val="bottom"/>
          </w:tcPr>
          <w:p w14:paraId="606F79A9"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9AA" w14:textId="77777777" w:rsidR="00FB67F9" w:rsidRDefault="00FB67F9">
            <w:pPr>
              <w:jc w:val="right"/>
              <w:textAlignment w:val="bottom"/>
              <w:rPr>
                <w:rFonts w:ascii="Times New Roman" w:hAnsi="Times New Roman"/>
                <w:sz w:val="17"/>
                <w:szCs w:val="17"/>
              </w:rPr>
            </w:pPr>
          </w:p>
        </w:tc>
        <w:tc>
          <w:tcPr>
            <w:tcW w:w="0" w:type="auto"/>
            <w:shd w:val="clear" w:color="auto" w:fill="auto"/>
            <w:vAlign w:val="bottom"/>
          </w:tcPr>
          <w:p w14:paraId="606F79AB"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9A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9AD" w14:textId="77777777" w:rsidR="00FB67F9" w:rsidRDefault="00FB67F9">
            <w:pPr>
              <w:jc w:val="right"/>
              <w:textAlignment w:val="bottom"/>
              <w:rPr>
                <w:rFonts w:ascii="Times New Roman" w:hAnsi="Times New Roman"/>
                <w:sz w:val="17"/>
                <w:szCs w:val="17"/>
              </w:rPr>
            </w:pPr>
          </w:p>
        </w:tc>
        <w:tc>
          <w:tcPr>
            <w:tcW w:w="0" w:type="auto"/>
            <w:shd w:val="clear" w:color="auto" w:fill="FFF1E7"/>
            <w:vAlign w:val="bottom"/>
          </w:tcPr>
          <w:p w14:paraId="606F79AE"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9AF" w14:textId="77777777" w:rsidR="00FB67F9" w:rsidRDefault="00FB67F9">
            <w:pPr>
              <w:jc w:val="right"/>
              <w:textAlignment w:val="bottom"/>
              <w:rPr>
                <w:rFonts w:ascii="Times New Roman" w:hAnsi="Times New Roman"/>
                <w:sz w:val="17"/>
                <w:szCs w:val="17"/>
              </w:rPr>
            </w:pPr>
          </w:p>
        </w:tc>
        <w:tc>
          <w:tcPr>
            <w:tcW w:w="0" w:type="auto"/>
            <w:shd w:val="clear" w:color="auto" w:fill="auto"/>
            <w:vAlign w:val="bottom"/>
          </w:tcPr>
          <w:p w14:paraId="606F79B0"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9B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9C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9B3"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w:t>
            </w:r>
            <w:r>
              <w:rPr>
                <w:rFonts w:ascii="Arial" w:eastAsia="宋体" w:hAnsi="Arial" w:cs="Arial"/>
                <w:sz w:val="17"/>
                <w:szCs w:val="17"/>
              </w:rPr>
              <w:t>exchange forwards and options</w:t>
            </w:r>
          </w:p>
        </w:tc>
        <w:tc>
          <w:tcPr>
            <w:tcW w:w="0" w:type="auto"/>
            <w:tcBorders>
              <w:top w:val="single" w:sz="8" w:space="0" w:color="808080"/>
            </w:tcBorders>
            <w:shd w:val="clear" w:color="auto" w:fill="FFF1E7"/>
            <w:tcMar>
              <w:top w:w="40" w:type="dxa"/>
              <w:left w:w="40" w:type="dxa"/>
              <w:bottom w:w="40" w:type="dxa"/>
            </w:tcMar>
            <w:vAlign w:val="bottom"/>
          </w:tcPr>
          <w:p w14:paraId="606F79B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9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FFF1E7"/>
            <w:vAlign w:val="bottom"/>
          </w:tcPr>
          <w:p w14:paraId="606F79B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9B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9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606F79B9"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9B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79B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9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FFF1E7"/>
            <w:vAlign w:val="bottom"/>
          </w:tcPr>
          <w:p w14:paraId="606F79B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9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9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vAlign w:val="bottom"/>
          </w:tcPr>
          <w:p w14:paraId="606F79C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9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Revenues</w:t>
            </w:r>
          </w:p>
        </w:tc>
      </w:tr>
      <w:tr w:rsidR="00FB67F9" w14:paraId="606F79CE"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9C3"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9C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w:t>
            </w:r>
          </w:p>
        </w:tc>
        <w:tc>
          <w:tcPr>
            <w:tcW w:w="0" w:type="auto"/>
            <w:tcBorders>
              <w:top w:val="single" w:sz="8" w:space="0" w:color="808080"/>
              <w:bottom w:val="single" w:sz="8" w:space="0" w:color="808080"/>
            </w:tcBorders>
            <w:shd w:val="clear" w:color="auto" w:fill="FFF1E7"/>
            <w:vAlign w:val="bottom"/>
          </w:tcPr>
          <w:p w14:paraId="606F79C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C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808080"/>
            </w:tcBorders>
            <w:shd w:val="clear" w:color="auto" w:fill="auto"/>
            <w:vAlign w:val="bottom"/>
          </w:tcPr>
          <w:p w14:paraId="606F79C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9C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9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177</w:t>
            </w:r>
          </w:p>
        </w:tc>
        <w:tc>
          <w:tcPr>
            <w:tcW w:w="0" w:type="auto"/>
            <w:tcBorders>
              <w:top w:val="single" w:sz="8" w:space="0" w:color="808080"/>
            </w:tcBorders>
            <w:shd w:val="clear" w:color="auto" w:fill="FFF1E7"/>
            <w:vAlign w:val="bottom"/>
          </w:tcPr>
          <w:p w14:paraId="606F79C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9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tcBorders>
            <w:shd w:val="clear" w:color="auto" w:fill="auto"/>
            <w:tcMar>
              <w:top w:w="40" w:type="dxa"/>
              <w:bottom w:w="40" w:type="dxa"/>
              <w:right w:w="40" w:type="dxa"/>
            </w:tcMar>
            <w:vAlign w:val="bottom"/>
          </w:tcPr>
          <w:p w14:paraId="606F79C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9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Cost of sales</w:t>
            </w:r>
          </w:p>
        </w:tc>
      </w:tr>
      <w:tr w:rsidR="00FB67F9" w14:paraId="606F79D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9CF" w14:textId="77777777" w:rsidR="00FB67F9" w:rsidRDefault="00E839DF">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9D0" w14:textId="77777777" w:rsidR="00FB67F9" w:rsidRDefault="00E839DF">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79D1" w14:textId="77777777" w:rsidR="00FB67F9" w:rsidRDefault="00E839DF">
            <w:pPr>
              <w:textAlignment w:val="bottom"/>
              <w:rPr>
                <w:rFonts w:ascii="Times New Roman" w:hAnsi="Times New Roman"/>
                <w:sz w:val="16"/>
                <w:szCs w:val="16"/>
              </w:rPr>
            </w:pPr>
            <w:r>
              <w:rPr>
                <w:rFonts w:ascii="Arial" w:eastAsia="宋体" w:hAnsi="Arial" w:cs="Arial"/>
                <w:sz w:val="16"/>
                <w:szCs w:val="16"/>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D2" w14:textId="77777777" w:rsidR="00FB67F9" w:rsidRDefault="00E839DF">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808080"/>
              <w:bottom w:val="single" w:sz="8" w:space="0" w:color="808080"/>
            </w:tcBorders>
            <w:shd w:val="clear" w:color="auto" w:fill="auto"/>
            <w:vAlign w:val="bottom"/>
          </w:tcPr>
          <w:p w14:paraId="606F79D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9D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9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FFF1E7"/>
            <w:tcMar>
              <w:top w:w="40" w:type="dxa"/>
              <w:bottom w:w="40" w:type="dxa"/>
              <w:right w:w="40" w:type="dxa"/>
            </w:tcMar>
            <w:vAlign w:val="bottom"/>
          </w:tcPr>
          <w:p w14:paraId="606F79D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79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9D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9D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Demand creation expense</w:t>
            </w:r>
          </w:p>
        </w:tc>
      </w:tr>
      <w:tr w:rsidR="00FB67F9" w14:paraId="606F79E6"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9DB"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Foreign exchange forwards and </w:t>
            </w:r>
            <w:r>
              <w:rPr>
                <w:rFonts w:ascii="Arial" w:eastAsia="宋体" w:hAnsi="Arial" w:cs="Arial"/>
                <w:sz w:val="17"/>
                <w:szCs w:val="17"/>
              </w:rPr>
              <w:t>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9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top w:val="single" w:sz="8" w:space="0" w:color="808080"/>
              <w:bottom w:val="single" w:sz="8" w:space="0" w:color="808080"/>
            </w:tcBorders>
            <w:shd w:val="clear" w:color="auto" w:fill="FFF1E7"/>
            <w:vAlign w:val="bottom"/>
          </w:tcPr>
          <w:p w14:paraId="606F79D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D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9D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9E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9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77</w:t>
            </w:r>
          </w:p>
        </w:tc>
        <w:tc>
          <w:tcPr>
            <w:tcW w:w="0" w:type="auto"/>
            <w:tcBorders>
              <w:top w:val="single" w:sz="8" w:space="0" w:color="808080"/>
              <w:bottom w:val="single" w:sz="8" w:space="0" w:color="808080"/>
            </w:tcBorders>
            <w:shd w:val="clear" w:color="auto" w:fill="FFF1E7"/>
            <w:vAlign w:val="bottom"/>
          </w:tcPr>
          <w:p w14:paraId="606F79E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9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79E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9E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Other (income) expense, net</w:t>
            </w:r>
          </w:p>
        </w:tc>
      </w:tr>
      <w:tr w:rsidR="00FB67F9" w14:paraId="606F79F2"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606F79E7"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rate swaps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9E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bottom w:val="single" w:sz="8" w:space="0" w:color="E87722"/>
            </w:tcBorders>
            <w:shd w:val="clear" w:color="auto" w:fill="FFF1E7"/>
            <w:tcMar>
              <w:top w:w="40" w:type="dxa"/>
              <w:bottom w:w="40" w:type="dxa"/>
              <w:right w:w="40" w:type="dxa"/>
            </w:tcMar>
            <w:vAlign w:val="bottom"/>
          </w:tcPr>
          <w:p w14:paraId="606F79E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79E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bottom w:val="single" w:sz="8" w:space="0" w:color="E87722"/>
            </w:tcBorders>
            <w:shd w:val="clear" w:color="auto" w:fill="auto"/>
            <w:tcMar>
              <w:top w:w="40" w:type="dxa"/>
              <w:bottom w:w="40" w:type="dxa"/>
              <w:right w:w="40" w:type="dxa"/>
            </w:tcMar>
            <w:vAlign w:val="bottom"/>
          </w:tcPr>
          <w:p w14:paraId="606F79E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9E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9E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bottom w:val="single" w:sz="8" w:space="0" w:color="E87722"/>
            </w:tcBorders>
            <w:shd w:val="clear" w:color="auto" w:fill="FFF1E7"/>
            <w:tcMar>
              <w:top w:w="40" w:type="dxa"/>
              <w:bottom w:w="40" w:type="dxa"/>
              <w:right w:w="40" w:type="dxa"/>
            </w:tcMar>
            <w:vAlign w:val="bottom"/>
          </w:tcPr>
          <w:p w14:paraId="606F79E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606F79E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bottom w:val="single" w:sz="8" w:space="0" w:color="E87722"/>
            </w:tcBorders>
            <w:shd w:val="clear" w:color="auto" w:fill="auto"/>
            <w:tcMar>
              <w:top w:w="40" w:type="dxa"/>
              <w:bottom w:w="40" w:type="dxa"/>
              <w:right w:w="40" w:type="dxa"/>
            </w:tcMar>
            <w:vAlign w:val="bottom"/>
          </w:tcPr>
          <w:p w14:paraId="606F79F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9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Interest expense (income), net</w:t>
            </w:r>
          </w:p>
        </w:tc>
      </w:tr>
      <w:tr w:rsidR="00FB67F9" w14:paraId="606F79FE" w14:textId="77777777">
        <w:tc>
          <w:tcPr>
            <w:tcW w:w="0" w:type="auto"/>
            <w:shd w:val="clear" w:color="auto" w:fill="auto"/>
            <w:tcMar>
              <w:top w:w="40" w:type="dxa"/>
              <w:left w:w="40" w:type="dxa"/>
              <w:bottom w:w="40" w:type="dxa"/>
              <w:right w:w="40" w:type="dxa"/>
            </w:tcMar>
            <w:vAlign w:val="bottom"/>
          </w:tcPr>
          <w:p w14:paraId="606F79F3"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before tax</w:t>
            </w:r>
          </w:p>
        </w:tc>
        <w:tc>
          <w:tcPr>
            <w:tcW w:w="0" w:type="auto"/>
            <w:gridSpan w:val="2"/>
            <w:shd w:val="clear" w:color="auto" w:fill="FFF1E7"/>
            <w:tcMar>
              <w:top w:w="40" w:type="dxa"/>
              <w:left w:w="40" w:type="dxa"/>
              <w:bottom w:w="40" w:type="dxa"/>
            </w:tcMar>
            <w:vAlign w:val="bottom"/>
          </w:tcPr>
          <w:p w14:paraId="606F79F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130</w:t>
            </w:r>
          </w:p>
        </w:tc>
        <w:tc>
          <w:tcPr>
            <w:tcW w:w="0" w:type="auto"/>
            <w:shd w:val="clear" w:color="auto" w:fill="FFF1E7"/>
            <w:vAlign w:val="bottom"/>
          </w:tcPr>
          <w:p w14:paraId="606F79F5"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9F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shd w:val="clear" w:color="auto" w:fill="auto"/>
            <w:vAlign w:val="bottom"/>
          </w:tcPr>
          <w:p w14:paraId="606F79F7"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9F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9F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257</w:t>
            </w:r>
          </w:p>
        </w:tc>
        <w:tc>
          <w:tcPr>
            <w:tcW w:w="0" w:type="auto"/>
            <w:shd w:val="clear" w:color="auto" w:fill="FFF1E7"/>
            <w:vAlign w:val="bottom"/>
          </w:tcPr>
          <w:p w14:paraId="606F79FA"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9F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w:t>
            </w:r>
          </w:p>
        </w:tc>
        <w:tc>
          <w:tcPr>
            <w:tcW w:w="0" w:type="auto"/>
            <w:shd w:val="clear" w:color="auto" w:fill="auto"/>
            <w:tcMar>
              <w:top w:w="40" w:type="dxa"/>
              <w:bottom w:w="40" w:type="dxa"/>
              <w:right w:w="40" w:type="dxa"/>
            </w:tcMar>
            <w:vAlign w:val="bottom"/>
          </w:tcPr>
          <w:p w14:paraId="606F79F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79F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A0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9FF" w14:textId="77777777" w:rsidR="00FB67F9" w:rsidRDefault="00E839DF">
            <w:pPr>
              <w:textAlignment w:val="bottom"/>
              <w:rPr>
                <w:rFonts w:ascii="Times New Roman" w:hAnsi="Times New Roman"/>
                <w:sz w:val="17"/>
                <w:szCs w:val="17"/>
              </w:rPr>
            </w:pPr>
            <w:r>
              <w:rPr>
                <w:rFonts w:ascii="Arial" w:eastAsia="宋体" w:hAnsi="Arial" w:cs="Arial"/>
                <w:sz w:val="17"/>
                <w:szCs w:val="17"/>
              </w:rPr>
              <w:t>Tax (expense) benefit</w:t>
            </w:r>
          </w:p>
        </w:tc>
        <w:tc>
          <w:tcPr>
            <w:tcW w:w="0" w:type="auto"/>
            <w:gridSpan w:val="2"/>
            <w:tcBorders>
              <w:top w:val="single" w:sz="8" w:space="0" w:color="808080"/>
            </w:tcBorders>
            <w:shd w:val="clear" w:color="auto" w:fill="FFF1E7"/>
            <w:tcMar>
              <w:top w:w="40" w:type="dxa"/>
              <w:left w:w="40" w:type="dxa"/>
              <w:bottom w:w="40" w:type="dxa"/>
            </w:tcMar>
            <w:vAlign w:val="bottom"/>
          </w:tcPr>
          <w:p w14:paraId="606F7A0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FFF1E7"/>
            <w:tcMar>
              <w:top w:w="40" w:type="dxa"/>
              <w:bottom w:w="40" w:type="dxa"/>
              <w:right w:w="40" w:type="dxa"/>
            </w:tcMar>
            <w:vAlign w:val="bottom"/>
          </w:tcPr>
          <w:p w14:paraId="606F7A0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7A0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tcMar>
              <w:top w:w="40" w:type="dxa"/>
              <w:bottom w:w="40" w:type="dxa"/>
              <w:right w:w="40" w:type="dxa"/>
            </w:tcMar>
            <w:vAlign w:val="bottom"/>
          </w:tcPr>
          <w:p w14:paraId="606F7A0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A0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A0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FFF1E7"/>
            <w:tcMar>
              <w:top w:w="40" w:type="dxa"/>
              <w:bottom w:w="40" w:type="dxa"/>
              <w:right w:w="40" w:type="dxa"/>
            </w:tcMar>
            <w:vAlign w:val="bottom"/>
          </w:tcPr>
          <w:p w14:paraId="606F7A0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7A0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tcMar>
              <w:top w:w="40" w:type="dxa"/>
              <w:bottom w:w="40" w:type="dxa"/>
              <w:right w:w="40" w:type="dxa"/>
            </w:tcMar>
            <w:vAlign w:val="bottom"/>
          </w:tcPr>
          <w:p w14:paraId="606F7A0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7A0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A16"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A0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Gain (loss) net of tax</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7A0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129</w:t>
            </w:r>
          </w:p>
        </w:tc>
        <w:tc>
          <w:tcPr>
            <w:tcW w:w="0" w:type="auto"/>
            <w:tcBorders>
              <w:top w:val="single" w:sz="8" w:space="0" w:color="E87722"/>
              <w:bottom w:val="single" w:sz="8" w:space="0" w:color="E87722"/>
            </w:tcBorders>
            <w:shd w:val="clear" w:color="auto" w:fill="FFF1E7"/>
            <w:vAlign w:val="bottom"/>
          </w:tcPr>
          <w:p w14:paraId="606F7A0D"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A0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vAlign w:val="bottom"/>
          </w:tcPr>
          <w:p w14:paraId="606F7A0F"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606F7A1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606F7A1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256</w:t>
            </w:r>
          </w:p>
        </w:tc>
        <w:tc>
          <w:tcPr>
            <w:tcW w:w="0" w:type="auto"/>
            <w:tcBorders>
              <w:top w:val="single" w:sz="8" w:space="0" w:color="E87722"/>
            </w:tcBorders>
            <w:shd w:val="clear" w:color="auto" w:fill="FFF1E7"/>
            <w:vAlign w:val="bottom"/>
          </w:tcPr>
          <w:p w14:paraId="606F7A12"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7A1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(40</w:t>
            </w:r>
          </w:p>
        </w:tc>
        <w:tc>
          <w:tcPr>
            <w:tcW w:w="0" w:type="auto"/>
            <w:tcBorders>
              <w:top w:val="single" w:sz="8" w:space="0" w:color="E87722"/>
            </w:tcBorders>
            <w:shd w:val="clear" w:color="auto" w:fill="auto"/>
            <w:tcMar>
              <w:top w:w="40" w:type="dxa"/>
              <w:bottom w:w="40" w:type="dxa"/>
              <w:right w:w="40" w:type="dxa"/>
            </w:tcMar>
            <w:vAlign w:val="bottom"/>
          </w:tcPr>
          <w:p w14:paraId="606F7A1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right w:w="40" w:type="dxa"/>
            </w:tcMar>
            <w:vAlign w:val="bottom"/>
          </w:tcPr>
          <w:p w14:paraId="606F7A1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A2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A17" w14:textId="77777777" w:rsidR="00FB67F9" w:rsidRDefault="00E839DF">
            <w:pPr>
              <w:textAlignment w:val="bottom"/>
              <w:rPr>
                <w:rFonts w:ascii="Times New Roman" w:hAnsi="Times New Roman"/>
                <w:sz w:val="17"/>
                <w:szCs w:val="17"/>
              </w:rPr>
            </w:pPr>
            <w:r>
              <w:rPr>
                <w:rFonts w:ascii="Arial" w:eastAsia="宋体" w:hAnsi="Arial" w:cs="Arial"/>
                <w:sz w:val="17"/>
                <w:szCs w:val="17"/>
              </w:rPr>
              <w:t>Gains (losses) on other</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7A1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7A1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A1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E87722"/>
              <w:bottom w:val="single" w:sz="8" w:space="0" w:color="E87722"/>
            </w:tcBorders>
            <w:shd w:val="clear" w:color="auto" w:fill="auto"/>
            <w:vAlign w:val="bottom"/>
          </w:tcPr>
          <w:p w14:paraId="606F7A1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A1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7A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vAlign w:val="bottom"/>
          </w:tcPr>
          <w:p w14:paraId="606F7A1E"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A1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E87722"/>
              <w:bottom w:val="single" w:sz="8" w:space="0" w:color="E87722"/>
            </w:tcBorders>
            <w:shd w:val="clear" w:color="auto" w:fill="auto"/>
            <w:vAlign w:val="bottom"/>
          </w:tcPr>
          <w:p w14:paraId="606F7A2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A2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Other (income) expense, net</w:t>
            </w:r>
          </w:p>
        </w:tc>
      </w:tr>
      <w:tr w:rsidR="00FB67F9" w14:paraId="606F7A2E" w14:textId="77777777">
        <w:tc>
          <w:tcPr>
            <w:tcW w:w="0" w:type="auto"/>
            <w:shd w:val="clear" w:color="auto" w:fill="auto"/>
            <w:tcMar>
              <w:top w:w="40" w:type="dxa"/>
              <w:left w:w="40" w:type="dxa"/>
              <w:bottom w:w="40" w:type="dxa"/>
              <w:right w:w="40" w:type="dxa"/>
            </w:tcMar>
            <w:vAlign w:val="bottom"/>
          </w:tcPr>
          <w:p w14:paraId="606F7A23"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before tax</w:t>
            </w:r>
          </w:p>
        </w:tc>
        <w:tc>
          <w:tcPr>
            <w:tcW w:w="0" w:type="auto"/>
            <w:gridSpan w:val="2"/>
            <w:shd w:val="clear" w:color="auto" w:fill="FFF1E7"/>
            <w:tcMar>
              <w:top w:w="40" w:type="dxa"/>
              <w:left w:w="40" w:type="dxa"/>
              <w:bottom w:w="40" w:type="dxa"/>
            </w:tcMar>
            <w:vAlign w:val="bottom"/>
          </w:tcPr>
          <w:p w14:paraId="606F7A2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tcMar>
              <w:top w:w="40" w:type="dxa"/>
              <w:bottom w:w="40" w:type="dxa"/>
              <w:right w:w="40" w:type="dxa"/>
            </w:tcMar>
            <w:vAlign w:val="bottom"/>
          </w:tcPr>
          <w:p w14:paraId="606F7A2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7A2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vAlign w:val="bottom"/>
          </w:tcPr>
          <w:p w14:paraId="606F7A27"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A2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A2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A2A"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A2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vAlign w:val="bottom"/>
          </w:tcPr>
          <w:p w14:paraId="606F7A2C"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A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A3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7A2F" w14:textId="77777777" w:rsidR="00FB67F9" w:rsidRDefault="00E839DF">
            <w:pPr>
              <w:textAlignment w:val="bottom"/>
              <w:rPr>
                <w:rFonts w:ascii="Times New Roman" w:hAnsi="Times New Roman"/>
                <w:sz w:val="17"/>
                <w:szCs w:val="17"/>
              </w:rPr>
            </w:pPr>
            <w:r>
              <w:rPr>
                <w:rFonts w:ascii="Arial" w:eastAsia="宋体" w:hAnsi="Arial" w:cs="Arial"/>
                <w:sz w:val="17"/>
                <w:szCs w:val="17"/>
              </w:rPr>
              <w:t>Tax (expense) benefit</w:t>
            </w:r>
          </w:p>
        </w:tc>
        <w:tc>
          <w:tcPr>
            <w:tcW w:w="0" w:type="auto"/>
            <w:gridSpan w:val="2"/>
            <w:tcBorders>
              <w:top w:val="single" w:sz="8" w:space="0" w:color="808080"/>
            </w:tcBorders>
            <w:shd w:val="clear" w:color="auto" w:fill="FFF1E7"/>
            <w:tcMar>
              <w:top w:w="40" w:type="dxa"/>
              <w:left w:w="40" w:type="dxa"/>
              <w:bottom w:w="40" w:type="dxa"/>
            </w:tcMar>
            <w:vAlign w:val="bottom"/>
          </w:tcPr>
          <w:p w14:paraId="606F7A3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A3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A3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A3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A3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A3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A3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A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A3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7A3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A46"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7A3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Gain (loss) net of tax</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7A3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7A3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7A3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vAlign w:val="bottom"/>
          </w:tcPr>
          <w:p w14:paraId="606F7A3F"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606F7A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606F7A4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FFF1E7"/>
            <w:vAlign w:val="bottom"/>
          </w:tcPr>
          <w:p w14:paraId="606F7A42"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7A4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tcBorders>
            <w:shd w:val="clear" w:color="auto" w:fill="auto"/>
            <w:vAlign w:val="bottom"/>
          </w:tcPr>
          <w:p w14:paraId="606F7A44"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606F7A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A56"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A4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xml:space="preserve">Total net gain (loss) reclassified for the </w:t>
            </w:r>
            <w:r>
              <w:rPr>
                <w:rFonts w:ascii="Arial" w:eastAsia="宋体" w:hAnsi="Arial" w:cs="Arial"/>
                <w:b/>
                <w:bCs/>
                <w:sz w:val="17"/>
                <w:szCs w:val="17"/>
              </w:rPr>
              <w:t>period</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A4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A4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128</w:t>
            </w:r>
          </w:p>
        </w:tc>
        <w:tc>
          <w:tcPr>
            <w:tcW w:w="0" w:type="auto"/>
            <w:tcBorders>
              <w:top w:val="single" w:sz="8" w:space="0" w:color="E87722"/>
              <w:bottom w:val="single" w:sz="8" w:space="0" w:color="E87722"/>
            </w:tcBorders>
            <w:shd w:val="clear" w:color="auto" w:fill="FFF1E7"/>
            <w:vAlign w:val="bottom"/>
          </w:tcPr>
          <w:p w14:paraId="606F7A4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A4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A4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w:t>
            </w:r>
          </w:p>
        </w:tc>
        <w:tc>
          <w:tcPr>
            <w:tcW w:w="0" w:type="auto"/>
            <w:tcBorders>
              <w:top w:val="single" w:sz="8" w:space="0" w:color="E87722"/>
              <w:bottom w:val="single" w:sz="8" w:space="0" w:color="E87722"/>
            </w:tcBorders>
            <w:shd w:val="clear" w:color="auto" w:fill="auto"/>
            <w:vAlign w:val="bottom"/>
          </w:tcPr>
          <w:p w14:paraId="606F7A4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A4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A4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A5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256</w:t>
            </w:r>
          </w:p>
        </w:tc>
        <w:tc>
          <w:tcPr>
            <w:tcW w:w="0" w:type="auto"/>
            <w:tcBorders>
              <w:top w:val="single" w:sz="8" w:space="0" w:color="E87722"/>
              <w:bottom w:val="single" w:sz="8" w:space="0" w:color="E87722"/>
            </w:tcBorders>
            <w:shd w:val="clear" w:color="auto" w:fill="FFF1E7"/>
            <w:vAlign w:val="bottom"/>
          </w:tcPr>
          <w:p w14:paraId="606F7A5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A5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A5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7A5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A5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bl>
    <w:p w14:paraId="606F7A57" w14:textId="77777777" w:rsidR="00FB67F9" w:rsidRDefault="00FB67F9">
      <w:pPr>
        <w:spacing w:line="312" w:lineRule="auto"/>
        <w:rPr>
          <w:rFonts w:ascii="Times New Roman" w:hAnsi="Times New Roman"/>
          <w:sz w:val="20"/>
          <w:szCs w:val="20"/>
        </w:rPr>
      </w:pPr>
    </w:p>
    <w:p w14:paraId="606F7A58" w14:textId="77777777" w:rsidR="00FB67F9" w:rsidRDefault="00FB67F9">
      <w:pPr>
        <w:rPr>
          <w:rFonts w:ascii="Times New Roman" w:hAnsi="Times New Roman"/>
          <w:sz w:val="20"/>
          <w:szCs w:val="20"/>
        </w:rPr>
      </w:pPr>
    </w:p>
    <w:p w14:paraId="606F7A59"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19</w:t>
      </w:r>
    </w:p>
    <w:p w14:paraId="606F7A5A" w14:textId="77777777" w:rsidR="00FB67F9" w:rsidRDefault="00E839DF">
      <w:r>
        <w:rPr>
          <w:rFonts w:ascii="Times New Roman" w:hAnsi="Times New Roman"/>
          <w:sz w:val="17"/>
          <w:szCs w:val="17"/>
        </w:rPr>
        <w:pict w14:anchorId="606F8F90">
          <v:rect id="_x0000_i1045" style="width:415.3pt;height:1.5pt" o:hralign="center" o:hrstd="t" o:hr="t" fillcolor="#a0a0a0" stroked="f"/>
        </w:pict>
      </w:r>
    </w:p>
    <w:p w14:paraId="606F7A5B" w14:textId="77777777" w:rsidR="00FB67F9" w:rsidRDefault="00FB67F9">
      <w:pPr>
        <w:rPr>
          <w:rFonts w:ascii="Times New Roman" w:hAnsi="Times New Roman"/>
          <w:sz w:val="17"/>
          <w:szCs w:val="17"/>
        </w:rPr>
      </w:pPr>
    </w:p>
    <w:p w14:paraId="606F7A5C" w14:textId="77777777" w:rsidR="00FB67F9" w:rsidRDefault="00E839DF">
      <w:pPr>
        <w:rPr>
          <w:rFonts w:ascii="Times New Roman" w:hAnsi="Times New Roman"/>
          <w:sz w:val="17"/>
          <w:szCs w:val="17"/>
        </w:rPr>
      </w:pPr>
      <w:hyperlink r:id="rId89" w:anchor="s42C493F7582652B69E70047AB812E6A5" w:history="1">
        <w:r>
          <w:rPr>
            <w:rStyle w:val="a5"/>
            <w:rFonts w:ascii="sans-serif" w:eastAsia="sans-serif" w:hAnsi="sans-serif" w:cs="sans-serif"/>
            <w:sz w:val="17"/>
            <w:szCs w:val="17"/>
          </w:rPr>
          <w:t>Table of Contents</w:t>
        </w:r>
      </w:hyperlink>
    </w:p>
    <w:p w14:paraId="606F7A5D" w14:textId="77777777" w:rsidR="00FB67F9" w:rsidRDefault="00FB67F9">
      <w:pPr>
        <w:rPr>
          <w:rFonts w:ascii="Times New Roman" w:hAnsi="Times New Roman"/>
          <w:sz w:val="17"/>
          <w:szCs w:val="17"/>
        </w:rPr>
      </w:pPr>
    </w:p>
    <w:p w14:paraId="606F7A5E"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FB67F9" w14:paraId="606F7A60" w14:textId="77777777">
        <w:tc>
          <w:tcPr>
            <w:tcW w:w="0" w:type="auto"/>
            <w:shd w:val="clear" w:color="auto" w:fill="auto"/>
            <w:vAlign w:val="center"/>
          </w:tcPr>
          <w:p w14:paraId="606F7A5F" w14:textId="77777777" w:rsidR="00FB67F9" w:rsidRDefault="00FB67F9">
            <w:pPr>
              <w:rPr>
                <w:rFonts w:ascii="Times New Roman" w:hAnsi="Times New Roman"/>
                <w:sz w:val="20"/>
                <w:szCs w:val="20"/>
              </w:rPr>
            </w:pPr>
          </w:p>
        </w:tc>
      </w:tr>
      <w:tr w:rsidR="00FB67F9" w14:paraId="606F7A62" w14:textId="77777777">
        <w:tc>
          <w:tcPr>
            <w:tcW w:w="5000" w:type="pct"/>
            <w:shd w:val="clear" w:color="auto" w:fill="auto"/>
            <w:vAlign w:val="center"/>
          </w:tcPr>
          <w:p w14:paraId="606F7A61" w14:textId="77777777" w:rsidR="00FB67F9" w:rsidRDefault="00FB67F9">
            <w:pPr>
              <w:rPr>
                <w:rFonts w:ascii="Times New Roman" w:hAnsi="Times New Roman"/>
                <w:sz w:val="20"/>
                <w:szCs w:val="20"/>
              </w:rPr>
            </w:pPr>
          </w:p>
        </w:tc>
      </w:tr>
      <w:tr w:rsidR="00FB67F9" w14:paraId="606F7A64" w14:textId="77777777">
        <w:tc>
          <w:tcPr>
            <w:tcW w:w="0" w:type="auto"/>
            <w:shd w:val="clear" w:color="auto" w:fill="auto"/>
            <w:tcMar>
              <w:top w:w="40" w:type="dxa"/>
              <w:left w:w="40" w:type="dxa"/>
              <w:bottom w:w="40" w:type="dxa"/>
              <w:right w:w="40" w:type="dxa"/>
            </w:tcMar>
            <w:vAlign w:val="bottom"/>
          </w:tcPr>
          <w:p w14:paraId="606F7A63"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11 — REVENUES</w:t>
            </w:r>
          </w:p>
        </w:tc>
      </w:tr>
    </w:tbl>
    <w:p w14:paraId="606F7A65"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DISAGGREGATION OF REVENUES</w:t>
      </w:r>
    </w:p>
    <w:p w14:paraId="606F7A6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following tables </w:t>
      </w:r>
      <w:r>
        <w:rPr>
          <w:rFonts w:ascii="Arial" w:eastAsia="宋体" w:hAnsi="Arial" w:cs="Arial"/>
          <w:sz w:val="17"/>
          <w:szCs w:val="17"/>
        </w:rPr>
        <w:t>present the Company's revenues disaggregated by reportable operating segment, major product line and by distribution channel:</w:t>
      </w:r>
    </w:p>
    <w:tbl>
      <w:tblPr>
        <w:tblW w:w="5000" w:type="pct"/>
        <w:tblCellMar>
          <w:left w:w="0" w:type="dxa"/>
          <w:right w:w="0" w:type="dxa"/>
        </w:tblCellMar>
        <w:tblLook w:val="04A0" w:firstRow="1" w:lastRow="0" w:firstColumn="1" w:lastColumn="0" w:noHBand="0" w:noVBand="1"/>
      </w:tblPr>
      <w:tblGrid>
        <w:gridCol w:w="1540"/>
        <w:gridCol w:w="136"/>
        <w:gridCol w:w="607"/>
        <w:gridCol w:w="6"/>
        <w:gridCol w:w="136"/>
        <w:gridCol w:w="567"/>
        <w:gridCol w:w="6"/>
        <w:gridCol w:w="135"/>
        <w:gridCol w:w="594"/>
        <w:gridCol w:w="6"/>
        <w:gridCol w:w="136"/>
        <w:gridCol w:w="607"/>
        <w:gridCol w:w="6"/>
        <w:gridCol w:w="136"/>
        <w:gridCol w:w="661"/>
        <w:gridCol w:w="6"/>
        <w:gridCol w:w="135"/>
        <w:gridCol w:w="426"/>
        <w:gridCol w:w="6"/>
        <w:gridCol w:w="135"/>
        <w:gridCol w:w="700"/>
        <w:gridCol w:w="6"/>
        <w:gridCol w:w="136"/>
        <w:gridCol w:w="810"/>
        <w:gridCol w:w="6"/>
        <w:gridCol w:w="135"/>
        <w:gridCol w:w="520"/>
        <w:gridCol w:w="6"/>
      </w:tblGrid>
      <w:tr w:rsidR="00FB67F9" w14:paraId="606F7A68" w14:textId="77777777">
        <w:tc>
          <w:tcPr>
            <w:tcW w:w="0" w:type="auto"/>
            <w:gridSpan w:val="28"/>
            <w:shd w:val="clear" w:color="auto" w:fill="auto"/>
            <w:vAlign w:val="center"/>
          </w:tcPr>
          <w:p w14:paraId="606F7A67" w14:textId="77777777" w:rsidR="00FB67F9" w:rsidRDefault="00FB67F9">
            <w:pPr>
              <w:rPr>
                <w:rFonts w:ascii="Times New Roman" w:hAnsi="Times New Roman"/>
                <w:sz w:val="20"/>
                <w:szCs w:val="20"/>
              </w:rPr>
            </w:pPr>
          </w:p>
        </w:tc>
      </w:tr>
      <w:tr w:rsidR="00FB67F9" w14:paraId="606F7A85" w14:textId="77777777">
        <w:tc>
          <w:tcPr>
            <w:tcW w:w="1250" w:type="pct"/>
            <w:shd w:val="clear" w:color="auto" w:fill="auto"/>
            <w:vAlign w:val="center"/>
          </w:tcPr>
          <w:p w14:paraId="606F7A69" w14:textId="77777777" w:rsidR="00FB67F9" w:rsidRDefault="00FB67F9">
            <w:pPr>
              <w:rPr>
                <w:rFonts w:ascii="Times New Roman" w:hAnsi="Times New Roman"/>
                <w:sz w:val="20"/>
                <w:szCs w:val="20"/>
              </w:rPr>
            </w:pPr>
          </w:p>
        </w:tc>
        <w:tc>
          <w:tcPr>
            <w:tcW w:w="50" w:type="pct"/>
            <w:shd w:val="clear" w:color="auto" w:fill="auto"/>
            <w:vAlign w:val="center"/>
          </w:tcPr>
          <w:p w14:paraId="606F7A6A" w14:textId="77777777" w:rsidR="00FB67F9" w:rsidRDefault="00FB67F9">
            <w:pPr>
              <w:rPr>
                <w:rFonts w:ascii="Times New Roman" w:hAnsi="Times New Roman"/>
                <w:sz w:val="20"/>
                <w:szCs w:val="20"/>
              </w:rPr>
            </w:pPr>
          </w:p>
        </w:tc>
        <w:tc>
          <w:tcPr>
            <w:tcW w:w="300" w:type="pct"/>
            <w:shd w:val="clear" w:color="auto" w:fill="auto"/>
            <w:vAlign w:val="center"/>
          </w:tcPr>
          <w:p w14:paraId="606F7A6B" w14:textId="77777777" w:rsidR="00FB67F9" w:rsidRDefault="00FB67F9">
            <w:pPr>
              <w:rPr>
                <w:rFonts w:ascii="Times New Roman" w:hAnsi="Times New Roman"/>
                <w:sz w:val="20"/>
                <w:szCs w:val="20"/>
              </w:rPr>
            </w:pPr>
          </w:p>
        </w:tc>
        <w:tc>
          <w:tcPr>
            <w:tcW w:w="50" w:type="pct"/>
            <w:shd w:val="clear" w:color="auto" w:fill="auto"/>
            <w:vAlign w:val="center"/>
          </w:tcPr>
          <w:p w14:paraId="606F7A6C" w14:textId="77777777" w:rsidR="00FB67F9" w:rsidRDefault="00FB67F9">
            <w:pPr>
              <w:rPr>
                <w:rFonts w:ascii="Times New Roman" w:hAnsi="Times New Roman"/>
                <w:sz w:val="20"/>
                <w:szCs w:val="20"/>
              </w:rPr>
            </w:pPr>
          </w:p>
        </w:tc>
        <w:tc>
          <w:tcPr>
            <w:tcW w:w="50" w:type="pct"/>
            <w:shd w:val="clear" w:color="auto" w:fill="auto"/>
            <w:vAlign w:val="center"/>
          </w:tcPr>
          <w:p w14:paraId="606F7A6D" w14:textId="77777777" w:rsidR="00FB67F9" w:rsidRDefault="00FB67F9">
            <w:pPr>
              <w:rPr>
                <w:rFonts w:ascii="Times New Roman" w:hAnsi="Times New Roman"/>
                <w:sz w:val="20"/>
                <w:szCs w:val="20"/>
              </w:rPr>
            </w:pPr>
          </w:p>
        </w:tc>
        <w:tc>
          <w:tcPr>
            <w:tcW w:w="300" w:type="pct"/>
            <w:shd w:val="clear" w:color="auto" w:fill="auto"/>
            <w:vAlign w:val="center"/>
          </w:tcPr>
          <w:p w14:paraId="606F7A6E" w14:textId="77777777" w:rsidR="00FB67F9" w:rsidRDefault="00FB67F9">
            <w:pPr>
              <w:rPr>
                <w:rFonts w:ascii="Times New Roman" w:hAnsi="Times New Roman"/>
                <w:sz w:val="20"/>
                <w:szCs w:val="20"/>
              </w:rPr>
            </w:pPr>
          </w:p>
        </w:tc>
        <w:tc>
          <w:tcPr>
            <w:tcW w:w="50" w:type="pct"/>
            <w:shd w:val="clear" w:color="auto" w:fill="auto"/>
            <w:vAlign w:val="center"/>
          </w:tcPr>
          <w:p w14:paraId="606F7A6F" w14:textId="77777777" w:rsidR="00FB67F9" w:rsidRDefault="00FB67F9">
            <w:pPr>
              <w:rPr>
                <w:rFonts w:ascii="Times New Roman" w:hAnsi="Times New Roman"/>
                <w:sz w:val="20"/>
                <w:szCs w:val="20"/>
              </w:rPr>
            </w:pPr>
          </w:p>
        </w:tc>
        <w:tc>
          <w:tcPr>
            <w:tcW w:w="50" w:type="pct"/>
            <w:shd w:val="clear" w:color="auto" w:fill="auto"/>
            <w:vAlign w:val="center"/>
          </w:tcPr>
          <w:p w14:paraId="606F7A70" w14:textId="77777777" w:rsidR="00FB67F9" w:rsidRDefault="00FB67F9">
            <w:pPr>
              <w:rPr>
                <w:rFonts w:ascii="Times New Roman" w:hAnsi="Times New Roman"/>
                <w:sz w:val="20"/>
                <w:szCs w:val="20"/>
              </w:rPr>
            </w:pPr>
          </w:p>
        </w:tc>
        <w:tc>
          <w:tcPr>
            <w:tcW w:w="300" w:type="pct"/>
            <w:shd w:val="clear" w:color="auto" w:fill="auto"/>
            <w:vAlign w:val="center"/>
          </w:tcPr>
          <w:p w14:paraId="606F7A71" w14:textId="77777777" w:rsidR="00FB67F9" w:rsidRDefault="00FB67F9">
            <w:pPr>
              <w:rPr>
                <w:rFonts w:ascii="Times New Roman" w:hAnsi="Times New Roman"/>
                <w:sz w:val="20"/>
                <w:szCs w:val="20"/>
              </w:rPr>
            </w:pPr>
          </w:p>
        </w:tc>
        <w:tc>
          <w:tcPr>
            <w:tcW w:w="50" w:type="pct"/>
            <w:shd w:val="clear" w:color="auto" w:fill="auto"/>
            <w:vAlign w:val="center"/>
          </w:tcPr>
          <w:p w14:paraId="606F7A72" w14:textId="77777777" w:rsidR="00FB67F9" w:rsidRDefault="00FB67F9">
            <w:pPr>
              <w:rPr>
                <w:rFonts w:ascii="Times New Roman" w:hAnsi="Times New Roman"/>
                <w:sz w:val="20"/>
                <w:szCs w:val="20"/>
              </w:rPr>
            </w:pPr>
          </w:p>
        </w:tc>
        <w:tc>
          <w:tcPr>
            <w:tcW w:w="50" w:type="pct"/>
            <w:shd w:val="clear" w:color="auto" w:fill="auto"/>
            <w:vAlign w:val="center"/>
          </w:tcPr>
          <w:p w14:paraId="606F7A73" w14:textId="77777777" w:rsidR="00FB67F9" w:rsidRDefault="00FB67F9">
            <w:pPr>
              <w:rPr>
                <w:rFonts w:ascii="Times New Roman" w:hAnsi="Times New Roman"/>
                <w:sz w:val="20"/>
                <w:szCs w:val="20"/>
              </w:rPr>
            </w:pPr>
          </w:p>
        </w:tc>
        <w:tc>
          <w:tcPr>
            <w:tcW w:w="300" w:type="pct"/>
            <w:shd w:val="clear" w:color="auto" w:fill="auto"/>
            <w:vAlign w:val="center"/>
          </w:tcPr>
          <w:p w14:paraId="606F7A74" w14:textId="77777777" w:rsidR="00FB67F9" w:rsidRDefault="00FB67F9">
            <w:pPr>
              <w:rPr>
                <w:rFonts w:ascii="Times New Roman" w:hAnsi="Times New Roman"/>
                <w:sz w:val="20"/>
                <w:szCs w:val="20"/>
              </w:rPr>
            </w:pPr>
          </w:p>
        </w:tc>
        <w:tc>
          <w:tcPr>
            <w:tcW w:w="50" w:type="pct"/>
            <w:shd w:val="clear" w:color="auto" w:fill="auto"/>
            <w:vAlign w:val="center"/>
          </w:tcPr>
          <w:p w14:paraId="606F7A75" w14:textId="77777777" w:rsidR="00FB67F9" w:rsidRDefault="00FB67F9">
            <w:pPr>
              <w:rPr>
                <w:rFonts w:ascii="Times New Roman" w:hAnsi="Times New Roman"/>
                <w:sz w:val="20"/>
                <w:szCs w:val="20"/>
              </w:rPr>
            </w:pPr>
          </w:p>
        </w:tc>
        <w:tc>
          <w:tcPr>
            <w:tcW w:w="50" w:type="pct"/>
            <w:shd w:val="clear" w:color="auto" w:fill="auto"/>
            <w:vAlign w:val="center"/>
          </w:tcPr>
          <w:p w14:paraId="606F7A76" w14:textId="77777777" w:rsidR="00FB67F9" w:rsidRDefault="00FB67F9">
            <w:pPr>
              <w:rPr>
                <w:rFonts w:ascii="Times New Roman" w:hAnsi="Times New Roman"/>
                <w:sz w:val="20"/>
                <w:szCs w:val="20"/>
              </w:rPr>
            </w:pPr>
          </w:p>
        </w:tc>
        <w:tc>
          <w:tcPr>
            <w:tcW w:w="300" w:type="pct"/>
            <w:shd w:val="clear" w:color="auto" w:fill="auto"/>
            <w:vAlign w:val="center"/>
          </w:tcPr>
          <w:p w14:paraId="606F7A77" w14:textId="77777777" w:rsidR="00FB67F9" w:rsidRDefault="00FB67F9">
            <w:pPr>
              <w:rPr>
                <w:rFonts w:ascii="Times New Roman" w:hAnsi="Times New Roman"/>
                <w:sz w:val="20"/>
                <w:szCs w:val="20"/>
              </w:rPr>
            </w:pPr>
          </w:p>
        </w:tc>
        <w:tc>
          <w:tcPr>
            <w:tcW w:w="50" w:type="pct"/>
            <w:shd w:val="clear" w:color="auto" w:fill="auto"/>
            <w:vAlign w:val="center"/>
          </w:tcPr>
          <w:p w14:paraId="606F7A78" w14:textId="77777777" w:rsidR="00FB67F9" w:rsidRDefault="00FB67F9">
            <w:pPr>
              <w:rPr>
                <w:rFonts w:ascii="Times New Roman" w:hAnsi="Times New Roman"/>
                <w:sz w:val="20"/>
                <w:szCs w:val="20"/>
              </w:rPr>
            </w:pPr>
          </w:p>
        </w:tc>
        <w:tc>
          <w:tcPr>
            <w:tcW w:w="50" w:type="pct"/>
            <w:shd w:val="clear" w:color="auto" w:fill="auto"/>
            <w:vAlign w:val="center"/>
          </w:tcPr>
          <w:p w14:paraId="606F7A79" w14:textId="77777777" w:rsidR="00FB67F9" w:rsidRDefault="00FB67F9">
            <w:pPr>
              <w:rPr>
                <w:rFonts w:ascii="Times New Roman" w:hAnsi="Times New Roman"/>
                <w:sz w:val="20"/>
                <w:szCs w:val="20"/>
              </w:rPr>
            </w:pPr>
          </w:p>
        </w:tc>
        <w:tc>
          <w:tcPr>
            <w:tcW w:w="300" w:type="pct"/>
            <w:shd w:val="clear" w:color="auto" w:fill="auto"/>
            <w:vAlign w:val="center"/>
          </w:tcPr>
          <w:p w14:paraId="606F7A7A" w14:textId="77777777" w:rsidR="00FB67F9" w:rsidRDefault="00FB67F9">
            <w:pPr>
              <w:rPr>
                <w:rFonts w:ascii="Times New Roman" w:hAnsi="Times New Roman"/>
                <w:sz w:val="20"/>
                <w:szCs w:val="20"/>
              </w:rPr>
            </w:pPr>
          </w:p>
        </w:tc>
        <w:tc>
          <w:tcPr>
            <w:tcW w:w="50" w:type="pct"/>
            <w:shd w:val="clear" w:color="auto" w:fill="auto"/>
            <w:vAlign w:val="center"/>
          </w:tcPr>
          <w:p w14:paraId="606F7A7B" w14:textId="77777777" w:rsidR="00FB67F9" w:rsidRDefault="00FB67F9">
            <w:pPr>
              <w:rPr>
                <w:rFonts w:ascii="Times New Roman" w:hAnsi="Times New Roman"/>
                <w:sz w:val="20"/>
                <w:szCs w:val="20"/>
              </w:rPr>
            </w:pPr>
          </w:p>
        </w:tc>
        <w:tc>
          <w:tcPr>
            <w:tcW w:w="50" w:type="pct"/>
            <w:shd w:val="clear" w:color="auto" w:fill="auto"/>
            <w:vAlign w:val="center"/>
          </w:tcPr>
          <w:p w14:paraId="606F7A7C" w14:textId="77777777" w:rsidR="00FB67F9" w:rsidRDefault="00FB67F9">
            <w:pPr>
              <w:rPr>
                <w:rFonts w:ascii="Times New Roman" w:hAnsi="Times New Roman"/>
                <w:sz w:val="20"/>
                <w:szCs w:val="20"/>
              </w:rPr>
            </w:pPr>
          </w:p>
        </w:tc>
        <w:tc>
          <w:tcPr>
            <w:tcW w:w="350" w:type="pct"/>
            <w:shd w:val="clear" w:color="auto" w:fill="auto"/>
            <w:vAlign w:val="center"/>
          </w:tcPr>
          <w:p w14:paraId="606F7A7D" w14:textId="77777777" w:rsidR="00FB67F9" w:rsidRDefault="00FB67F9">
            <w:pPr>
              <w:rPr>
                <w:rFonts w:ascii="Times New Roman" w:hAnsi="Times New Roman"/>
                <w:sz w:val="20"/>
                <w:szCs w:val="20"/>
              </w:rPr>
            </w:pPr>
          </w:p>
        </w:tc>
        <w:tc>
          <w:tcPr>
            <w:tcW w:w="50" w:type="pct"/>
            <w:shd w:val="clear" w:color="auto" w:fill="auto"/>
            <w:vAlign w:val="center"/>
          </w:tcPr>
          <w:p w14:paraId="606F7A7E" w14:textId="77777777" w:rsidR="00FB67F9" w:rsidRDefault="00FB67F9">
            <w:pPr>
              <w:rPr>
                <w:rFonts w:ascii="Times New Roman" w:hAnsi="Times New Roman"/>
                <w:sz w:val="20"/>
                <w:szCs w:val="20"/>
              </w:rPr>
            </w:pPr>
          </w:p>
        </w:tc>
        <w:tc>
          <w:tcPr>
            <w:tcW w:w="50" w:type="pct"/>
            <w:shd w:val="clear" w:color="auto" w:fill="auto"/>
            <w:vAlign w:val="center"/>
          </w:tcPr>
          <w:p w14:paraId="606F7A7F" w14:textId="77777777" w:rsidR="00FB67F9" w:rsidRDefault="00FB67F9">
            <w:pPr>
              <w:rPr>
                <w:rFonts w:ascii="Times New Roman" w:hAnsi="Times New Roman"/>
                <w:sz w:val="20"/>
                <w:szCs w:val="20"/>
              </w:rPr>
            </w:pPr>
          </w:p>
        </w:tc>
        <w:tc>
          <w:tcPr>
            <w:tcW w:w="400" w:type="pct"/>
            <w:shd w:val="clear" w:color="auto" w:fill="auto"/>
            <w:vAlign w:val="center"/>
          </w:tcPr>
          <w:p w14:paraId="606F7A80" w14:textId="77777777" w:rsidR="00FB67F9" w:rsidRDefault="00FB67F9">
            <w:pPr>
              <w:rPr>
                <w:rFonts w:ascii="Times New Roman" w:hAnsi="Times New Roman"/>
                <w:sz w:val="20"/>
                <w:szCs w:val="20"/>
              </w:rPr>
            </w:pPr>
          </w:p>
        </w:tc>
        <w:tc>
          <w:tcPr>
            <w:tcW w:w="50" w:type="pct"/>
            <w:shd w:val="clear" w:color="auto" w:fill="auto"/>
            <w:vAlign w:val="center"/>
          </w:tcPr>
          <w:p w14:paraId="606F7A81" w14:textId="77777777" w:rsidR="00FB67F9" w:rsidRDefault="00FB67F9">
            <w:pPr>
              <w:rPr>
                <w:rFonts w:ascii="Times New Roman" w:hAnsi="Times New Roman"/>
                <w:sz w:val="20"/>
                <w:szCs w:val="20"/>
              </w:rPr>
            </w:pPr>
          </w:p>
        </w:tc>
        <w:tc>
          <w:tcPr>
            <w:tcW w:w="50" w:type="pct"/>
            <w:shd w:val="clear" w:color="auto" w:fill="auto"/>
            <w:vAlign w:val="center"/>
          </w:tcPr>
          <w:p w14:paraId="606F7A82" w14:textId="77777777" w:rsidR="00FB67F9" w:rsidRDefault="00FB67F9">
            <w:pPr>
              <w:rPr>
                <w:rFonts w:ascii="Times New Roman" w:hAnsi="Times New Roman"/>
                <w:sz w:val="20"/>
                <w:szCs w:val="20"/>
              </w:rPr>
            </w:pPr>
          </w:p>
        </w:tc>
        <w:tc>
          <w:tcPr>
            <w:tcW w:w="300" w:type="pct"/>
            <w:shd w:val="clear" w:color="auto" w:fill="auto"/>
            <w:vAlign w:val="center"/>
          </w:tcPr>
          <w:p w14:paraId="606F7A83" w14:textId="77777777" w:rsidR="00FB67F9" w:rsidRDefault="00FB67F9">
            <w:pPr>
              <w:rPr>
                <w:rFonts w:ascii="Times New Roman" w:hAnsi="Times New Roman"/>
                <w:sz w:val="20"/>
                <w:szCs w:val="20"/>
              </w:rPr>
            </w:pPr>
          </w:p>
        </w:tc>
        <w:tc>
          <w:tcPr>
            <w:tcW w:w="50" w:type="pct"/>
            <w:shd w:val="clear" w:color="auto" w:fill="auto"/>
            <w:vAlign w:val="center"/>
          </w:tcPr>
          <w:p w14:paraId="606F7A84" w14:textId="77777777" w:rsidR="00FB67F9" w:rsidRDefault="00FB67F9">
            <w:pPr>
              <w:rPr>
                <w:rFonts w:ascii="Times New Roman" w:hAnsi="Times New Roman"/>
                <w:sz w:val="20"/>
                <w:szCs w:val="20"/>
              </w:rPr>
            </w:pPr>
          </w:p>
        </w:tc>
      </w:tr>
      <w:tr w:rsidR="00FB67F9" w14:paraId="606F7A88" w14:textId="77777777">
        <w:tc>
          <w:tcPr>
            <w:tcW w:w="0" w:type="auto"/>
            <w:shd w:val="clear" w:color="auto" w:fill="auto"/>
            <w:tcMar>
              <w:top w:w="40" w:type="dxa"/>
              <w:left w:w="40" w:type="dxa"/>
              <w:bottom w:w="40" w:type="dxa"/>
              <w:right w:w="40" w:type="dxa"/>
            </w:tcMar>
            <w:vAlign w:val="bottom"/>
          </w:tcPr>
          <w:p w14:paraId="606F7A8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E87722"/>
            </w:tcBorders>
            <w:shd w:val="clear" w:color="auto" w:fill="auto"/>
            <w:tcMar>
              <w:top w:w="40" w:type="dxa"/>
              <w:left w:w="40" w:type="dxa"/>
              <w:bottom w:w="40" w:type="dxa"/>
            </w:tcMar>
            <w:vAlign w:val="bottom"/>
          </w:tcPr>
          <w:p w14:paraId="606F7A8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 2019</w:t>
            </w:r>
          </w:p>
        </w:tc>
      </w:tr>
      <w:tr w:rsidR="00FB67F9" w14:paraId="606F7A9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A89"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A8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NORTH AMERICA</w:t>
            </w:r>
          </w:p>
        </w:tc>
        <w:tc>
          <w:tcPr>
            <w:tcW w:w="0" w:type="auto"/>
            <w:tcBorders>
              <w:bottom w:val="single" w:sz="8" w:space="0" w:color="E87722"/>
            </w:tcBorders>
            <w:shd w:val="clear" w:color="auto" w:fill="auto"/>
            <w:vAlign w:val="bottom"/>
          </w:tcPr>
          <w:p w14:paraId="606F7A8B"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8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EUROPE, MIDDLE EAST &amp; AFRICA</w:t>
            </w:r>
          </w:p>
        </w:tc>
        <w:tc>
          <w:tcPr>
            <w:tcW w:w="0" w:type="auto"/>
            <w:tcBorders>
              <w:bottom w:val="single" w:sz="8" w:space="0" w:color="E87722"/>
            </w:tcBorders>
            <w:shd w:val="clear" w:color="auto" w:fill="auto"/>
            <w:vAlign w:val="bottom"/>
          </w:tcPr>
          <w:p w14:paraId="606F7A8D"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8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GREATER CHINA</w:t>
            </w:r>
          </w:p>
        </w:tc>
        <w:tc>
          <w:tcPr>
            <w:tcW w:w="0" w:type="auto"/>
            <w:tcBorders>
              <w:bottom w:val="single" w:sz="8" w:space="0" w:color="E87722"/>
            </w:tcBorders>
            <w:shd w:val="clear" w:color="auto" w:fill="auto"/>
            <w:vAlign w:val="bottom"/>
          </w:tcPr>
          <w:p w14:paraId="606F7A8F"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9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ASIA PACIFIC &amp; LATIN AMERICA</w:t>
            </w:r>
          </w:p>
        </w:tc>
        <w:tc>
          <w:tcPr>
            <w:tcW w:w="0" w:type="auto"/>
            <w:tcBorders>
              <w:bottom w:val="single" w:sz="8" w:space="0" w:color="E87722"/>
            </w:tcBorders>
            <w:shd w:val="clear" w:color="auto" w:fill="auto"/>
            <w:vAlign w:val="bottom"/>
          </w:tcPr>
          <w:p w14:paraId="606F7A9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9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GLOBAL BRAND </w:t>
            </w:r>
            <w:r>
              <w:rPr>
                <w:rFonts w:ascii="sans-serif" w:eastAsia="sans-serif" w:hAnsi="sans-serif" w:cs="sans-serif"/>
                <w:b/>
                <w:bCs/>
                <w:color w:val="000000"/>
                <w:sz w:val="17"/>
                <w:szCs w:val="17"/>
              </w:rPr>
              <w:t>DIVISIONS</w:t>
            </w:r>
          </w:p>
        </w:tc>
        <w:tc>
          <w:tcPr>
            <w:tcW w:w="0" w:type="auto"/>
            <w:tcBorders>
              <w:bottom w:val="single" w:sz="8" w:space="0" w:color="E87722"/>
            </w:tcBorders>
            <w:shd w:val="clear" w:color="auto" w:fill="auto"/>
            <w:vAlign w:val="bottom"/>
          </w:tcPr>
          <w:p w14:paraId="606F7A93"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94"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BRAND</w:t>
            </w:r>
          </w:p>
        </w:tc>
        <w:tc>
          <w:tcPr>
            <w:tcW w:w="0" w:type="auto"/>
            <w:tcBorders>
              <w:bottom w:val="single" w:sz="8" w:space="0" w:color="E87722"/>
            </w:tcBorders>
            <w:shd w:val="clear" w:color="auto" w:fill="auto"/>
            <w:vAlign w:val="bottom"/>
          </w:tcPr>
          <w:p w14:paraId="606F7A95"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9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CONVERSE</w:t>
            </w:r>
          </w:p>
        </w:tc>
        <w:tc>
          <w:tcPr>
            <w:tcW w:w="0" w:type="auto"/>
            <w:tcBorders>
              <w:bottom w:val="single" w:sz="8" w:space="0" w:color="E87722"/>
            </w:tcBorders>
            <w:shd w:val="clear" w:color="auto" w:fill="auto"/>
            <w:vAlign w:val="bottom"/>
          </w:tcPr>
          <w:p w14:paraId="606F7A97"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9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CORPORATE</w:t>
            </w:r>
          </w:p>
        </w:tc>
        <w:tc>
          <w:tcPr>
            <w:tcW w:w="0" w:type="auto"/>
            <w:tcBorders>
              <w:bottom w:val="single" w:sz="8" w:space="0" w:color="E87722"/>
            </w:tcBorders>
            <w:shd w:val="clear" w:color="auto" w:fill="auto"/>
            <w:vAlign w:val="bottom"/>
          </w:tcPr>
          <w:p w14:paraId="606F7A99"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A9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INC.</w:t>
            </w:r>
          </w:p>
        </w:tc>
        <w:tc>
          <w:tcPr>
            <w:tcW w:w="0" w:type="auto"/>
            <w:tcBorders>
              <w:bottom w:val="single" w:sz="8" w:space="0" w:color="E87722"/>
            </w:tcBorders>
            <w:shd w:val="clear" w:color="auto" w:fill="auto"/>
            <w:vAlign w:val="bottom"/>
          </w:tcPr>
          <w:p w14:paraId="606F7A9B" w14:textId="77777777" w:rsidR="00FB67F9" w:rsidRDefault="00FB67F9">
            <w:pPr>
              <w:textAlignment w:val="bottom"/>
              <w:rPr>
                <w:rFonts w:ascii="Times New Roman" w:hAnsi="Times New Roman"/>
                <w:sz w:val="20"/>
                <w:szCs w:val="20"/>
              </w:rPr>
            </w:pPr>
          </w:p>
        </w:tc>
      </w:tr>
      <w:tr w:rsidR="00FB67F9" w14:paraId="606F7AA7" w14:textId="77777777">
        <w:tc>
          <w:tcPr>
            <w:tcW w:w="0" w:type="auto"/>
            <w:shd w:val="clear" w:color="auto" w:fill="auto"/>
            <w:tcMar>
              <w:top w:w="40" w:type="dxa"/>
              <w:left w:w="40" w:type="dxa"/>
              <w:bottom w:w="40" w:type="dxa"/>
              <w:right w:w="40" w:type="dxa"/>
            </w:tcMar>
            <w:vAlign w:val="bottom"/>
          </w:tcPr>
          <w:p w14:paraId="606F7A9D"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7A9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9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A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A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A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A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AC4"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AA8"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7AA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A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2,426</w:t>
            </w:r>
          </w:p>
        </w:tc>
        <w:tc>
          <w:tcPr>
            <w:tcW w:w="0" w:type="auto"/>
            <w:tcBorders>
              <w:top w:val="single" w:sz="8" w:space="0" w:color="808080"/>
            </w:tcBorders>
            <w:shd w:val="clear" w:color="auto" w:fill="FFF1E7"/>
            <w:vAlign w:val="bottom"/>
          </w:tcPr>
          <w:p w14:paraId="606F7AA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A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1,536</w:t>
            </w:r>
          </w:p>
        </w:tc>
        <w:tc>
          <w:tcPr>
            <w:tcW w:w="0" w:type="auto"/>
            <w:tcBorders>
              <w:top w:val="single" w:sz="8" w:space="0" w:color="808080"/>
            </w:tcBorders>
            <w:shd w:val="clear" w:color="auto" w:fill="FFF1E7"/>
            <w:vAlign w:val="bottom"/>
          </w:tcPr>
          <w:p w14:paraId="606F7AA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A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1,247</w:t>
            </w:r>
          </w:p>
        </w:tc>
        <w:tc>
          <w:tcPr>
            <w:tcW w:w="0" w:type="auto"/>
            <w:tcBorders>
              <w:top w:val="single" w:sz="8" w:space="0" w:color="808080"/>
            </w:tcBorders>
            <w:shd w:val="clear" w:color="auto" w:fill="FFF1E7"/>
            <w:vAlign w:val="bottom"/>
          </w:tcPr>
          <w:p w14:paraId="606F7AB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B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B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997</w:t>
            </w:r>
          </w:p>
        </w:tc>
        <w:tc>
          <w:tcPr>
            <w:tcW w:w="0" w:type="auto"/>
            <w:tcBorders>
              <w:top w:val="single" w:sz="8" w:space="0" w:color="808080"/>
            </w:tcBorders>
            <w:shd w:val="clear" w:color="auto" w:fill="FFF1E7"/>
            <w:vAlign w:val="bottom"/>
          </w:tcPr>
          <w:p w14:paraId="606F7AB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B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AB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6,206</w:t>
            </w:r>
          </w:p>
        </w:tc>
        <w:tc>
          <w:tcPr>
            <w:tcW w:w="0" w:type="auto"/>
            <w:tcBorders>
              <w:top w:val="single" w:sz="8" w:space="0" w:color="808080"/>
            </w:tcBorders>
            <w:shd w:val="clear" w:color="auto" w:fill="FFF1E7"/>
            <w:vAlign w:val="bottom"/>
          </w:tcPr>
          <w:p w14:paraId="606F7ABA"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B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416</w:t>
            </w:r>
          </w:p>
        </w:tc>
        <w:tc>
          <w:tcPr>
            <w:tcW w:w="0" w:type="auto"/>
            <w:tcBorders>
              <w:top w:val="single" w:sz="8" w:space="0" w:color="808080"/>
            </w:tcBorders>
            <w:shd w:val="clear" w:color="auto" w:fill="FFF1E7"/>
            <w:vAlign w:val="bottom"/>
          </w:tcPr>
          <w:p w14:paraId="606F7AB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AC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AC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A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6,622</w:t>
            </w:r>
          </w:p>
        </w:tc>
        <w:tc>
          <w:tcPr>
            <w:tcW w:w="0" w:type="auto"/>
            <w:tcBorders>
              <w:top w:val="single" w:sz="8" w:space="0" w:color="808080"/>
            </w:tcBorders>
            <w:shd w:val="clear" w:color="auto" w:fill="FFF1E7"/>
            <w:vAlign w:val="bottom"/>
          </w:tcPr>
          <w:p w14:paraId="606F7AC3" w14:textId="77777777" w:rsidR="00FB67F9" w:rsidRDefault="00FB67F9">
            <w:pPr>
              <w:textAlignment w:val="bottom"/>
              <w:rPr>
                <w:rFonts w:ascii="Times New Roman" w:hAnsi="Times New Roman"/>
                <w:sz w:val="20"/>
                <w:szCs w:val="20"/>
              </w:rPr>
            </w:pPr>
          </w:p>
        </w:tc>
      </w:tr>
      <w:tr w:rsidR="00FB67F9" w14:paraId="606F7AD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AC5"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FFF1E7"/>
            <w:tcMar>
              <w:top w:w="40" w:type="dxa"/>
              <w:left w:w="40" w:type="dxa"/>
              <w:bottom w:w="40" w:type="dxa"/>
            </w:tcMar>
            <w:vAlign w:val="bottom"/>
          </w:tcPr>
          <w:p w14:paraId="606F7AC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1,417</w:t>
            </w:r>
          </w:p>
        </w:tc>
        <w:tc>
          <w:tcPr>
            <w:tcW w:w="0" w:type="auto"/>
            <w:tcBorders>
              <w:top w:val="single" w:sz="8" w:space="0" w:color="808080"/>
            </w:tcBorders>
            <w:shd w:val="clear" w:color="auto" w:fill="FFF1E7"/>
            <w:vAlign w:val="bottom"/>
          </w:tcPr>
          <w:p w14:paraId="606F7AC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AC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897</w:t>
            </w:r>
          </w:p>
        </w:tc>
        <w:tc>
          <w:tcPr>
            <w:tcW w:w="0" w:type="auto"/>
            <w:tcBorders>
              <w:top w:val="single" w:sz="8" w:space="0" w:color="808080"/>
            </w:tcBorders>
            <w:shd w:val="clear" w:color="auto" w:fill="FFF1E7"/>
            <w:vAlign w:val="bottom"/>
          </w:tcPr>
          <w:p w14:paraId="606F7AC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A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563</w:t>
            </w:r>
          </w:p>
        </w:tc>
        <w:tc>
          <w:tcPr>
            <w:tcW w:w="0" w:type="auto"/>
            <w:tcBorders>
              <w:top w:val="single" w:sz="8" w:space="0" w:color="808080"/>
            </w:tcBorders>
            <w:shd w:val="clear" w:color="auto" w:fill="FFF1E7"/>
            <w:vAlign w:val="bottom"/>
          </w:tcPr>
          <w:p w14:paraId="606F7AC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A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410</w:t>
            </w:r>
          </w:p>
        </w:tc>
        <w:tc>
          <w:tcPr>
            <w:tcW w:w="0" w:type="auto"/>
            <w:tcBorders>
              <w:top w:val="single" w:sz="8" w:space="0" w:color="808080"/>
            </w:tcBorders>
            <w:shd w:val="clear" w:color="auto" w:fill="FFF1E7"/>
            <w:vAlign w:val="bottom"/>
          </w:tcPr>
          <w:p w14:paraId="606F7AC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A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AC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A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3,287</w:t>
            </w:r>
          </w:p>
        </w:tc>
        <w:tc>
          <w:tcPr>
            <w:tcW w:w="0" w:type="auto"/>
            <w:tcBorders>
              <w:top w:val="single" w:sz="8" w:space="0" w:color="808080"/>
            </w:tcBorders>
            <w:shd w:val="clear" w:color="auto" w:fill="FFF1E7"/>
            <w:vAlign w:val="bottom"/>
          </w:tcPr>
          <w:p w14:paraId="606F7AD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D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w:t>
            </w:r>
          </w:p>
        </w:tc>
        <w:tc>
          <w:tcPr>
            <w:tcW w:w="0" w:type="auto"/>
            <w:tcBorders>
              <w:top w:val="single" w:sz="8" w:space="0" w:color="808080"/>
              <w:bottom w:val="single" w:sz="8" w:space="0" w:color="808080"/>
            </w:tcBorders>
            <w:shd w:val="clear" w:color="auto" w:fill="FFF1E7"/>
            <w:vAlign w:val="bottom"/>
          </w:tcPr>
          <w:p w14:paraId="606F7AD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AD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AD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AD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3,317</w:t>
            </w:r>
          </w:p>
        </w:tc>
        <w:tc>
          <w:tcPr>
            <w:tcW w:w="0" w:type="auto"/>
            <w:tcBorders>
              <w:top w:val="single" w:sz="8" w:space="0" w:color="808080"/>
            </w:tcBorders>
            <w:shd w:val="clear" w:color="auto" w:fill="FFF1E7"/>
            <w:vAlign w:val="bottom"/>
          </w:tcPr>
          <w:p w14:paraId="606F7AD7" w14:textId="77777777" w:rsidR="00FB67F9" w:rsidRDefault="00FB67F9">
            <w:pPr>
              <w:textAlignment w:val="bottom"/>
              <w:rPr>
                <w:rFonts w:ascii="Times New Roman" w:hAnsi="Times New Roman"/>
                <w:sz w:val="20"/>
                <w:szCs w:val="20"/>
              </w:rPr>
            </w:pPr>
          </w:p>
        </w:tc>
      </w:tr>
      <w:tr w:rsidR="00FB67F9" w14:paraId="606F7AE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AD9" w14:textId="77777777" w:rsidR="00FB67F9" w:rsidRDefault="00E839DF">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D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139</w:t>
            </w:r>
          </w:p>
        </w:tc>
        <w:tc>
          <w:tcPr>
            <w:tcW w:w="0" w:type="auto"/>
            <w:tcBorders>
              <w:top w:val="single" w:sz="8" w:space="0" w:color="808080"/>
              <w:bottom w:val="single" w:sz="8" w:space="0" w:color="808080"/>
            </w:tcBorders>
            <w:shd w:val="clear" w:color="auto" w:fill="FFF1E7"/>
            <w:vAlign w:val="bottom"/>
          </w:tcPr>
          <w:p w14:paraId="606F7AD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104</w:t>
            </w:r>
          </w:p>
        </w:tc>
        <w:tc>
          <w:tcPr>
            <w:tcW w:w="0" w:type="auto"/>
            <w:tcBorders>
              <w:top w:val="single" w:sz="8" w:space="0" w:color="808080"/>
              <w:bottom w:val="single" w:sz="8" w:space="0" w:color="808080"/>
            </w:tcBorders>
            <w:shd w:val="clear" w:color="auto" w:fill="FFF1E7"/>
            <w:vAlign w:val="bottom"/>
          </w:tcPr>
          <w:p w14:paraId="606F7AD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D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w:t>
            </w:r>
          </w:p>
        </w:tc>
        <w:tc>
          <w:tcPr>
            <w:tcW w:w="0" w:type="auto"/>
            <w:tcBorders>
              <w:top w:val="single" w:sz="8" w:space="0" w:color="808080"/>
              <w:bottom w:val="single" w:sz="8" w:space="0" w:color="808080"/>
            </w:tcBorders>
            <w:shd w:val="clear" w:color="auto" w:fill="FFF1E7"/>
            <w:vAlign w:val="bottom"/>
          </w:tcPr>
          <w:p w14:paraId="606F7AD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E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w:t>
            </w:r>
          </w:p>
        </w:tc>
        <w:tc>
          <w:tcPr>
            <w:tcW w:w="0" w:type="auto"/>
            <w:tcBorders>
              <w:top w:val="single" w:sz="8" w:space="0" w:color="808080"/>
              <w:bottom w:val="single" w:sz="8" w:space="0" w:color="808080"/>
            </w:tcBorders>
            <w:shd w:val="clear" w:color="auto" w:fill="FFF1E7"/>
            <w:vAlign w:val="bottom"/>
          </w:tcPr>
          <w:p w14:paraId="606F7AE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E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AE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E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341</w:t>
            </w:r>
          </w:p>
        </w:tc>
        <w:tc>
          <w:tcPr>
            <w:tcW w:w="0" w:type="auto"/>
            <w:tcBorders>
              <w:top w:val="single" w:sz="8" w:space="0" w:color="808080"/>
              <w:bottom w:val="single" w:sz="8" w:space="0" w:color="808080"/>
            </w:tcBorders>
            <w:shd w:val="clear" w:color="auto" w:fill="FFF1E7"/>
            <w:vAlign w:val="bottom"/>
          </w:tcPr>
          <w:p w14:paraId="606F7AE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E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808080"/>
            </w:tcBorders>
            <w:shd w:val="clear" w:color="auto" w:fill="FFF1E7"/>
            <w:vAlign w:val="bottom"/>
          </w:tcPr>
          <w:p w14:paraId="606F7AE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E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AE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AE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347</w:t>
            </w:r>
          </w:p>
        </w:tc>
        <w:tc>
          <w:tcPr>
            <w:tcW w:w="0" w:type="auto"/>
            <w:tcBorders>
              <w:top w:val="single" w:sz="8" w:space="0" w:color="808080"/>
              <w:bottom w:val="single" w:sz="8" w:space="0" w:color="808080"/>
            </w:tcBorders>
            <w:shd w:val="clear" w:color="auto" w:fill="FFF1E7"/>
            <w:vAlign w:val="bottom"/>
          </w:tcPr>
          <w:p w14:paraId="606F7AEB" w14:textId="77777777" w:rsidR="00FB67F9" w:rsidRDefault="00FB67F9">
            <w:pPr>
              <w:textAlignment w:val="bottom"/>
              <w:rPr>
                <w:rFonts w:ascii="Times New Roman" w:hAnsi="Times New Roman"/>
                <w:sz w:val="20"/>
                <w:szCs w:val="20"/>
              </w:rPr>
            </w:pPr>
          </w:p>
        </w:tc>
      </w:tr>
      <w:tr w:rsidR="00FB67F9" w14:paraId="606F7B00" w14:textId="77777777">
        <w:tc>
          <w:tcPr>
            <w:tcW w:w="0" w:type="auto"/>
            <w:shd w:val="clear" w:color="auto" w:fill="auto"/>
            <w:tcMar>
              <w:top w:w="40" w:type="dxa"/>
              <w:left w:w="240" w:type="dxa"/>
              <w:bottom w:w="40" w:type="dxa"/>
              <w:right w:w="40" w:type="dxa"/>
            </w:tcMar>
            <w:vAlign w:val="bottom"/>
          </w:tcPr>
          <w:p w14:paraId="606F7AED"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FFF1E7"/>
            <w:tcMar>
              <w:top w:w="40" w:type="dxa"/>
              <w:left w:w="40" w:type="dxa"/>
              <w:bottom w:w="40" w:type="dxa"/>
            </w:tcMar>
            <w:vAlign w:val="bottom"/>
          </w:tcPr>
          <w:p w14:paraId="606F7AE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AEF"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AF1"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AF3"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AF5"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7AF7"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7AF9"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FFF1E7"/>
            <w:vAlign w:val="bottom"/>
          </w:tcPr>
          <w:p w14:paraId="606F7AFB"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FFF1E7"/>
            <w:vAlign w:val="bottom"/>
          </w:tcPr>
          <w:p w14:paraId="606F7AFD"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AF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w:t>
            </w:r>
          </w:p>
        </w:tc>
        <w:tc>
          <w:tcPr>
            <w:tcW w:w="0" w:type="auto"/>
            <w:shd w:val="clear" w:color="auto" w:fill="FFF1E7"/>
            <w:vAlign w:val="bottom"/>
          </w:tcPr>
          <w:p w14:paraId="606F7AFF" w14:textId="77777777" w:rsidR="00FB67F9" w:rsidRDefault="00FB67F9">
            <w:pPr>
              <w:textAlignment w:val="bottom"/>
              <w:rPr>
                <w:rFonts w:ascii="Times New Roman" w:hAnsi="Times New Roman"/>
                <w:sz w:val="20"/>
                <w:szCs w:val="20"/>
              </w:rPr>
            </w:pPr>
          </w:p>
        </w:tc>
      </w:tr>
      <w:tr w:rsidR="00FB67F9" w14:paraId="606F7B1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B0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0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0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3,982</w:t>
            </w:r>
          </w:p>
        </w:tc>
        <w:tc>
          <w:tcPr>
            <w:tcW w:w="0" w:type="auto"/>
            <w:tcBorders>
              <w:top w:val="single" w:sz="8" w:space="0" w:color="E87722"/>
              <w:bottom w:val="single" w:sz="8" w:space="0" w:color="E87722"/>
            </w:tcBorders>
            <w:shd w:val="clear" w:color="auto" w:fill="FFF1E7"/>
            <w:vAlign w:val="bottom"/>
          </w:tcPr>
          <w:p w14:paraId="606F7B0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0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0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2,537</w:t>
            </w:r>
          </w:p>
        </w:tc>
        <w:tc>
          <w:tcPr>
            <w:tcW w:w="0" w:type="auto"/>
            <w:tcBorders>
              <w:top w:val="single" w:sz="8" w:space="0" w:color="E87722"/>
              <w:bottom w:val="single" w:sz="8" w:space="0" w:color="E87722"/>
            </w:tcBorders>
            <w:shd w:val="clear" w:color="auto" w:fill="FFF1E7"/>
            <w:vAlign w:val="bottom"/>
          </w:tcPr>
          <w:p w14:paraId="606F7B0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0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0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1,847</w:t>
            </w:r>
          </w:p>
        </w:tc>
        <w:tc>
          <w:tcPr>
            <w:tcW w:w="0" w:type="auto"/>
            <w:tcBorders>
              <w:top w:val="single" w:sz="8" w:space="0" w:color="E87722"/>
              <w:bottom w:val="single" w:sz="8" w:space="0" w:color="E87722"/>
            </w:tcBorders>
            <w:shd w:val="clear" w:color="auto" w:fill="FFF1E7"/>
            <w:vAlign w:val="bottom"/>
          </w:tcPr>
          <w:p w14:paraId="606F7B0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0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0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1,468</w:t>
            </w:r>
          </w:p>
        </w:tc>
        <w:tc>
          <w:tcPr>
            <w:tcW w:w="0" w:type="auto"/>
            <w:tcBorders>
              <w:top w:val="single" w:sz="8" w:space="0" w:color="E87722"/>
              <w:bottom w:val="single" w:sz="8" w:space="0" w:color="E87722"/>
            </w:tcBorders>
            <w:shd w:val="clear" w:color="auto" w:fill="FFF1E7"/>
            <w:vAlign w:val="bottom"/>
          </w:tcPr>
          <w:p w14:paraId="606F7B0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0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0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FFF1E7"/>
            <w:vAlign w:val="bottom"/>
          </w:tcPr>
          <w:p w14:paraId="606F7B1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1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1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9,844</w:t>
            </w:r>
          </w:p>
        </w:tc>
        <w:tc>
          <w:tcPr>
            <w:tcW w:w="0" w:type="auto"/>
            <w:tcBorders>
              <w:top w:val="single" w:sz="8" w:space="0" w:color="E87722"/>
              <w:bottom w:val="single" w:sz="8" w:space="0" w:color="E87722"/>
            </w:tcBorders>
            <w:shd w:val="clear" w:color="auto" w:fill="FFF1E7"/>
            <w:vAlign w:val="bottom"/>
          </w:tcPr>
          <w:p w14:paraId="606F7B1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1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1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480</w:t>
            </w:r>
          </w:p>
        </w:tc>
        <w:tc>
          <w:tcPr>
            <w:tcW w:w="0" w:type="auto"/>
            <w:tcBorders>
              <w:top w:val="single" w:sz="8" w:space="0" w:color="E87722"/>
              <w:bottom w:val="single" w:sz="8" w:space="0" w:color="E87722"/>
            </w:tcBorders>
            <w:shd w:val="clear" w:color="auto" w:fill="FFF1E7"/>
            <w:vAlign w:val="bottom"/>
          </w:tcPr>
          <w:p w14:paraId="606F7B1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1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1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FFF1E7"/>
            <w:vAlign w:val="bottom"/>
          </w:tcPr>
          <w:p w14:paraId="606F7B1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1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1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10,326</w:t>
            </w:r>
          </w:p>
        </w:tc>
        <w:tc>
          <w:tcPr>
            <w:tcW w:w="0" w:type="auto"/>
            <w:tcBorders>
              <w:top w:val="single" w:sz="8" w:space="0" w:color="E87722"/>
              <w:bottom w:val="single" w:sz="8" w:space="0" w:color="E87722"/>
            </w:tcBorders>
            <w:shd w:val="clear" w:color="auto" w:fill="FFF1E7"/>
            <w:vAlign w:val="bottom"/>
          </w:tcPr>
          <w:p w14:paraId="606F7B1C" w14:textId="77777777" w:rsidR="00FB67F9" w:rsidRDefault="00FB67F9">
            <w:pPr>
              <w:textAlignment w:val="bottom"/>
              <w:rPr>
                <w:rFonts w:ascii="Times New Roman" w:hAnsi="Times New Roman"/>
                <w:sz w:val="20"/>
                <w:szCs w:val="20"/>
              </w:rPr>
            </w:pPr>
          </w:p>
        </w:tc>
      </w:tr>
      <w:tr w:rsidR="00FB67F9" w14:paraId="606F7B28" w14:textId="77777777">
        <w:tc>
          <w:tcPr>
            <w:tcW w:w="0" w:type="auto"/>
            <w:shd w:val="clear" w:color="auto" w:fill="auto"/>
            <w:tcMar>
              <w:top w:w="40" w:type="dxa"/>
              <w:left w:w="40" w:type="dxa"/>
              <w:bottom w:w="40" w:type="dxa"/>
              <w:right w:w="40" w:type="dxa"/>
            </w:tcMar>
            <w:vAlign w:val="bottom"/>
          </w:tcPr>
          <w:p w14:paraId="606F7B1E"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7B1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B2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B4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B29"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FFF1E7"/>
            <w:tcMar>
              <w:top w:w="40" w:type="dxa"/>
              <w:left w:w="40" w:type="dxa"/>
              <w:bottom w:w="40" w:type="dxa"/>
            </w:tcMar>
            <w:vAlign w:val="bottom"/>
          </w:tcPr>
          <w:p w14:paraId="606F7B2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2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2,734</w:t>
            </w:r>
          </w:p>
        </w:tc>
        <w:tc>
          <w:tcPr>
            <w:tcW w:w="0" w:type="auto"/>
            <w:tcBorders>
              <w:top w:val="single" w:sz="8" w:space="0" w:color="808080"/>
            </w:tcBorders>
            <w:shd w:val="clear" w:color="auto" w:fill="FFF1E7"/>
            <w:vAlign w:val="bottom"/>
          </w:tcPr>
          <w:p w14:paraId="606F7B2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2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2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1,794</w:t>
            </w:r>
          </w:p>
        </w:tc>
        <w:tc>
          <w:tcPr>
            <w:tcW w:w="0" w:type="auto"/>
            <w:tcBorders>
              <w:top w:val="single" w:sz="8" w:space="0" w:color="808080"/>
            </w:tcBorders>
            <w:shd w:val="clear" w:color="auto" w:fill="FFF1E7"/>
            <w:vAlign w:val="bottom"/>
          </w:tcPr>
          <w:p w14:paraId="606F7B2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3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1,028</w:t>
            </w:r>
          </w:p>
        </w:tc>
        <w:tc>
          <w:tcPr>
            <w:tcW w:w="0" w:type="auto"/>
            <w:tcBorders>
              <w:top w:val="single" w:sz="8" w:space="0" w:color="808080"/>
            </w:tcBorders>
            <w:shd w:val="clear" w:color="auto" w:fill="FFF1E7"/>
            <w:vAlign w:val="bottom"/>
          </w:tcPr>
          <w:p w14:paraId="606F7B3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3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3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1,022</w:t>
            </w:r>
          </w:p>
        </w:tc>
        <w:tc>
          <w:tcPr>
            <w:tcW w:w="0" w:type="auto"/>
            <w:tcBorders>
              <w:top w:val="single" w:sz="8" w:space="0" w:color="808080"/>
            </w:tcBorders>
            <w:shd w:val="clear" w:color="auto" w:fill="FFF1E7"/>
            <w:vAlign w:val="bottom"/>
          </w:tcPr>
          <w:p w14:paraId="606F7B3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3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B3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3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6,578</w:t>
            </w:r>
          </w:p>
        </w:tc>
        <w:tc>
          <w:tcPr>
            <w:tcW w:w="0" w:type="auto"/>
            <w:tcBorders>
              <w:top w:val="single" w:sz="8" w:space="0" w:color="808080"/>
            </w:tcBorders>
            <w:shd w:val="clear" w:color="auto" w:fill="FFF1E7"/>
            <w:vAlign w:val="bottom"/>
          </w:tcPr>
          <w:p w14:paraId="606F7B3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3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3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286</w:t>
            </w:r>
          </w:p>
        </w:tc>
        <w:tc>
          <w:tcPr>
            <w:tcW w:w="0" w:type="auto"/>
            <w:tcBorders>
              <w:top w:val="single" w:sz="8" w:space="0" w:color="808080"/>
            </w:tcBorders>
            <w:shd w:val="clear" w:color="auto" w:fill="FFF1E7"/>
            <w:vAlign w:val="bottom"/>
          </w:tcPr>
          <w:p w14:paraId="606F7B3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3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4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B4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B4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B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6,864</w:t>
            </w:r>
          </w:p>
        </w:tc>
        <w:tc>
          <w:tcPr>
            <w:tcW w:w="0" w:type="auto"/>
            <w:tcBorders>
              <w:top w:val="single" w:sz="8" w:space="0" w:color="808080"/>
            </w:tcBorders>
            <w:shd w:val="clear" w:color="auto" w:fill="FFF1E7"/>
            <w:vAlign w:val="bottom"/>
          </w:tcPr>
          <w:p w14:paraId="606F7B44" w14:textId="77777777" w:rsidR="00FB67F9" w:rsidRDefault="00FB67F9">
            <w:pPr>
              <w:textAlignment w:val="bottom"/>
              <w:rPr>
                <w:rFonts w:ascii="Times New Roman" w:hAnsi="Times New Roman"/>
                <w:sz w:val="20"/>
                <w:szCs w:val="20"/>
              </w:rPr>
            </w:pPr>
          </w:p>
        </w:tc>
      </w:tr>
      <w:tr w:rsidR="00FB67F9" w14:paraId="606F7B5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B46"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4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1,248</w:t>
            </w:r>
          </w:p>
        </w:tc>
        <w:tc>
          <w:tcPr>
            <w:tcW w:w="0" w:type="auto"/>
            <w:tcBorders>
              <w:top w:val="single" w:sz="8" w:space="0" w:color="808080"/>
              <w:bottom w:val="single" w:sz="8" w:space="0" w:color="808080"/>
            </w:tcBorders>
            <w:shd w:val="clear" w:color="auto" w:fill="FFF1E7"/>
            <w:vAlign w:val="bottom"/>
          </w:tcPr>
          <w:p w14:paraId="606F7B4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4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743</w:t>
            </w:r>
          </w:p>
        </w:tc>
        <w:tc>
          <w:tcPr>
            <w:tcW w:w="0" w:type="auto"/>
            <w:tcBorders>
              <w:top w:val="single" w:sz="8" w:space="0" w:color="808080"/>
              <w:bottom w:val="single" w:sz="8" w:space="0" w:color="808080"/>
            </w:tcBorders>
            <w:shd w:val="clear" w:color="auto" w:fill="FFF1E7"/>
            <w:vAlign w:val="bottom"/>
          </w:tcPr>
          <w:p w14:paraId="606F7B4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4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819</w:t>
            </w:r>
          </w:p>
        </w:tc>
        <w:tc>
          <w:tcPr>
            <w:tcW w:w="0" w:type="auto"/>
            <w:tcBorders>
              <w:top w:val="single" w:sz="8" w:space="0" w:color="808080"/>
              <w:bottom w:val="single" w:sz="8" w:space="0" w:color="808080"/>
            </w:tcBorders>
            <w:shd w:val="clear" w:color="auto" w:fill="FFF1E7"/>
            <w:vAlign w:val="bottom"/>
          </w:tcPr>
          <w:p w14:paraId="606F7B4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4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446</w:t>
            </w:r>
          </w:p>
        </w:tc>
        <w:tc>
          <w:tcPr>
            <w:tcW w:w="0" w:type="auto"/>
            <w:tcBorders>
              <w:top w:val="single" w:sz="8" w:space="0" w:color="808080"/>
              <w:bottom w:val="single" w:sz="8" w:space="0" w:color="808080"/>
            </w:tcBorders>
            <w:shd w:val="clear" w:color="auto" w:fill="FFF1E7"/>
            <w:vAlign w:val="bottom"/>
          </w:tcPr>
          <w:p w14:paraId="606F7B4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B5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5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3,256</w:t>
            </w:r>
          </w:p>
        </w:tc>
        <w:tc>
          <w:tcPr>
            <w:tcW w:w="0" w:type="auto"/>
            <w:tcBorders>
              <w:top w:val="single" w:sz="8" w:space="0" w:color="808080"/>
              <w:bottom w:val="single" w:sz="8" w:space="0" w:color="808080"/>
            </w:tcBorders>
            <w:shd w:val="clear" w:color="auto" w:fill="FFF1E7"/>
            <w:vAlign w:val="bottom"/>
          </w:tcPr>
          <w:p w14:paraId="606F7B5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5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166</w:t>
            </w:r>
          </w:p>
        </w:tc>
        <w:tc>
          <w:tcPr>
            <w:tcW w:w="0" w:type="auto"/>
            <w:tcBorders>
              <w:top w:val="single" w:sz="8" w:space="0" w:color="808080"/>
              <w:bottom w:val="single" w:sz="8" w:space="0" w:color="808080"/>
            </w:tcBorders>
            <w:shd w:val="clear" w:color="auto" w:fill="FFF1E7"/>
            <w:vAlign w:val="bottom"/>
          </w:tcPr>
          <w:p w14:paraId="606F7B5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5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B5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B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3,422</w:t>
            </w:r>
          </w:p>
        </w:tc>
        <w:tc>
          <w:tcPr>
            <w:tcW w:w="0" w:type="auto"/>
            <w:tcBorders>
              <w:top w:val="single" w:sz="8" w:space="0" w:color="808080"/>
              <w:bottom w:val="single" w:sz="8" w:space="0" w:color="808080"/>
            </w:tcBorders>
            <w:shd w:val="clear" w:color="auto" w:fill="FFF1E7"/>
            <w:vAlign w:val="bottom"/>
          </w:tcPr>
          <w:p w14:paraId="606F7B58" w14:textId="77777777" w:rsidR="00FB67F9" w:rsidRDefault="00FB67F9">
            <w:pPr>
              <w:textAlignment w:val="bottom"/>
              <w:rPr>
                <w:rFonts w:ascii="Times New Roman" w:hAnsi="Times New Roman"/>
                <w:sz w:val="20"/>
                <w:szCs w:val="20"/>
              </w:rPr>
            </w:pPr>
          </w:p>
        </w:tc>
      </w:tr>
      <w:tr w:rsidR="00FB67F9" w14:paraId="606F7B6D" w14:textId="77777777">
        <w:tc>
          <w:tcPr>
            <w:tcW w:w="0" w:type="auto"/>
            <w:shd w:val="clear" w:color="auto" w:fill="auto"/>
            <w:tcMar>
              <w:top w:w="40" w:type="dxa"/>
              <w:left w:w="240" w:type="dxa"/>
              <w:bottom w:w="40" w:type="dxa"/>
              <w:right w:w="40" w:type="dxa"/>
            </w:tcMar>
            <w:vAlign w:val="bottom"/>
          </w:tcPr>
          <w:p w14:paraId="606F7B5A"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FFF1E7"/>
            <w:tcMar>
              <w:top w:w="40" w:type="dxa"/>
              <w:left w:w="40" w:type="dxa"/>
              <w:bottom w:w="40" w:type="dxa"/>
            </w:tcMar>
            <w:vAlign w:val="bottom"/>
          </w:tcPr>
          <w:p w14:paraId="606F7B5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B5C"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5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B5E"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5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B60"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6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B62"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6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7B64"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6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7B66"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6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FFF1E7"/>
            <w:vAlign w:val="bottom"/>
          </w:tcPr>
          <w:p w14:paraId="606F7B68"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6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FFF1E7"/>
            <w:vAlign w:val="bottom"/>
          </w:tcPr>
          <w:p w14:paraId="606F7B6A"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B6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w:t>
            </w:r>
          </w:p>
        </w:tc>
        <w:tc>
          <w:tcPr>
            <w:tcW w:w="0" w:type="auto"/>
            <w:shd w:val="clear" w:color="auto" w:fill="FFF1E7"/>
            <w:vAlign w:val="bottom"/>
          </w:tcPr>
          <w:p w14:paraId="606F7B6C" w14:textId="77777777" w:rsidR="00FB67F9" w:rsidRDefault="00FB67F9">
            <w:pPr>
              <w:textAlignment w:val="bottom"/>
              <w:rPr>
                <w:rFonts w:ascii="Times New Roman" w:hAnsi="Times New Roman"/>
                <w:sz w:val="20"/>
                <w:szCs w:val="20"/>
              </w:rPr>
            </w:pPr>
          </w:p>
        </w:tc>
      </w:tr>
      <w:tr w:rsidR="00FB67F9" w14:paraId="606F7B8A"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B6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6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7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3,982</w:t>
            </w:r>
          </w:p>
        </w:tc>
        <w:tc>
          <w:tcPr>
            <w:tcW w:w="0" w:type="auto"/>
            <w:tcBorders>
              <w:top w:val="single" w:sz="8" w:space="0" w:color="E87722"/>
              <w:bottom w:val="single" w:sz="8" w:space="0" w:color="E87722"/>
            </w:tcBorders>
            <w:shd w:val="clear" w:color="auto" w:fill="FFF1E7"/>
            <w:vAlign w:val="bottom"/>
          </w:tcPr>
          <w:p w14:paraId="606F7B7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7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7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2,537</w:t>
            </w:r>
          </w:p>
        </w:tc>
        <w:tc>
          <w:tcPr>
            <w:tcW w:w="0" w:type="auto"/>
            <w:tcBorders>
              <w:top w:val="single" w:sz="8" w:space="0" w:color="E87722"/>
              <w:bottom w:val="single" w:sz="8" w:space="0" w:color="E87722"/>
            </w:tcBorders>
            <w:shd w:val="clear" w:color="auto" w:fill="FFF1E7"/>
            <w:vAlign w:val="bottom"/>
          </w:tcPr>
          <w:p w14:paraId="606F7B7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7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7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1,847</w:t>
            </w:r>
          </w:p>
        </w:tc>
        <w:tc>
          <w:tcPr>
            <w:tcW w:w="0" w:type="auto"/>
            <w:tcBorders>
              <w:top w:val="single" w:sz="8" w:space="0" w:color="E87722"/>
              <w:bottom w:val="single" w:sz="8" w:space="0" w:color="E87722"/>
            </w:tcBorders>
            <w:shd w:val="clear" w:color="auto" w:fill="FFF1E7"/>
            <w:vAlign w:val="bottom"/>
          </w:tcPr>
          <w:p w14:paraId="606F7B7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7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7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1,468</w:t>
            </w:r>
          </w:p>
        </w:tc>
        <w:tc>
          <w:tcPr>
            <w:tcW w:w="0" w:type="auto"/>
            <w:tcBorders>
              <w:top w:val="single" w:sz="8" w:space="0" w:color="E87722"/>
              <w:bottom w:val="single" w:sz="8" w:space="0" w:color="E87722"/>
            </w:tcBorders>
            <w:shd w:val="clear" w:color="auto" w:fill="FFF1E7"/>
            <w:vAlign w:val="bottom"/>
          </w:tcPr>
          <w:p w14:paraId="606F7B7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7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7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FFF1E7"/>
            <w:vAlign w:val="bottom"/>
          </w:tcPr>
          <w:p w14:paraId="606F7B7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7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7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9,844</w:t>
            </w:r>
          </w:p>
        </w:tc>
        <w:tc>
          <w:tcPr>
            <w:tcW w:w="0" w:type="auto"/>
            <w:tcBorders>
              <w:top w:val="single" w:sz="8" w:space="0" w:color="E87722"/>
              <w:bottom w:val="single" w:sz="8" w:space="0" w:color="E87722"/>
            </w:tcBorders>
            <w:shd w:val="clear" w:color="auto" w:fill="FFF1E7"/>
            <w:vAlign w:val="bottom"/>
          </w:tcPr>
          <w:p w14:paraId="606F7B8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8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8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480</w:t>
            </w:r>
          </w:p>
        </w:tc>
        <w:tc>
          <w:tcPr>
            <w:tcW w:w="0" w:type="auto"/>
            <w:tcBorders>
              <w:top w:val="single" w:sz="8" w:space="0" w:color="E87722"/>
              <w:bottom w:val="single" w:sz="8" w:space="0" w:color="E87722"/>
            </w:tcBorders>
            <w:shd w:val="clear" w:color="auto" w:fill="FFF1E7"/>
            <w:vAlign w:val="bottom"/>
          </w:tcPr>
          <w:p w14:paraId="606F7B8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8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8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FFF1E7"/>
            <w:vAlign w:val="bottom"/>
          </w:tcPr>
          <w:p w14:paraId="606F7B8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B8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B8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10,326</w:t>
            </w:r>
          </w:p>
        </w:tc>
        <w:tc>
          <w:tcPr>
            <w:tcW w:w="0" w:type="auto"/>
            <w:tcBorders>
              <w:top w:val="single" w:sz="8" w:space="0" w:color="E87722"/>
              <w:bottom w:val="single" w:sz="8" w:space="0" w:color="E87722"/>
            </w:tcBorders>
            <w:shd w:val="clear" w:color="auto" w:fill="FFF1E7"/>
            <w:vAlign w:val="bottom"/>
          </w:tcPr>
          <w:p w14:paraId="606F7B89" w14:textId="77777777" w:rsidR="00FB67F9" w:rsidRDefault="00FB67F9">
            <w:pPr>
              <w:textAlignment w:val="bottom"/>
              <w:rPr>
                <w:rFonts w:ascii="Times New Roman" w:hAnsi="Times New Roman"/>
                <w:sz w:val="20"/>
                <w:szCs w:val="20"/>
              </w:rPr>
            </w:pPr>
          </w:p>
        </w:tc>
      </w:tr>
    </w:tbl>
    <w:p w14:paraId="606F7B8B"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1634"/>
        <w:gridCol w:w="136"/>
        <w:gridCol w:w="607"/>
        <w:gridCol w:w="6"/>
        <w:gridCol w:w="136"/>
        <w:gridCol w:w="567"/>
        <w:gridCol w:w="6"/>
        <w:gridCol w:w="135"/>
        <w:gridCol w:w="594"/>
        <w:gridCol w:w="6"/>
        <w:gridCol w:w="136"/>
        <w:gridCol w:w="607"/>
        <w:gridCol w:w="6"/>
        <w:gridCol w:w="136"/>
        <w:gridCol w:w="661"/>
        <w:gridCol w:w="6"/>
        <w:gridCol w:w="135"/>
        <w:gridCol w:w="426"/>
        <w:gridCol w:w="6"/>
        <w:gridCol w:w="135"/>
        <w:gridCol w:w="700"/>
        <w:gridCol w:w="6"/>
        <w:gridCol w:w="136"/>
        <w:gridCol w:w="810"/>
        <w:gridCol w:w="6"/>
        <w:gridCol w:w="135"/>
        <w:gridCol w:w="426"/>
        <w:gridCol w:w="6"/>
      </w:tblGrid>
      <w:tr w:rsidR="00FB67F9" w14:paraId="606F7B8D" w14:textId="77777777">
        <w:tc>
          <w:tcPr>
            <w:tcW w:w="0" w:type="auto"/>
            <w:gridSpan w:val="28"/>
            <w:shd w:val="clear" w:color="auto" w:fill="auto"/>
            <w:vAlign w:val="center"/>
          </w:tcPr>
          <w:p w14:paraId="606F7B8C" w14:textId="77777777" w:rsidR="00FB67F9" w:rsidRDefault="00FB67F9">
            <w:pPr>
              <w:rPr>
                <w:rFonts w:ascii="Times New Roman" w:hAnsi="Times New Roman"/>
                <w:sz w:val="20"/>
                <w:szCs w:val="20"/>
              </w:rPr>
            </w:pPr>
          </w:p>
        </w:tc>
      </w:tr>
      <w:tr w:rsidR="00FB67F9" w14:paraId="606F7BAA" w14:textId="77777777">
        <w:tc>
          <w:tcPr>
            <w:tcW w:w="1250" w:type="pct"/>
            <w:shd w:val="clear" w:color="auto" w:fill="auto"/>
            <w:vAlign w:val="center"/>
          </w:tcPr>
          <w:p w14:paraId="606F7B8E" w14:textId="77777777" w:rsidR="00FB67F9" w:rsidRDefault="00FB67F9">
            <w:pPr>
              <w:rPr>
                <w:rFonts w:ascii="Times New Roman" w:hAnsi="Times New Roman"/>
                <w:sz w:val="20"/>
                <w:szCs w:val="20"/>
              </w:rPr>
            </w:pPr>
          </w:p>
        </w:tc>
        <w:tc>
          <w:tcPr>
            <w:tcW w:w="50" w:type="pct"/>
            <w:shd w:val="clear" w:color="auto" w:fill="auto"/>
            <w:vAlign w:val="center"/>
          </w:tcPr>
          <w:p w14:paraId="606F7B8F" w14:textId="77777777" w:rsidR="00FB67F9" w:rsidRDefault="00FB67F9">
            <w:pPr>
              <w:rPr>
                <w:rFonts w:ascii="Times New Roman" w:hAnsi="Times New Roman"/>
                <w:sz w:val="20"/>
                <w:szCs w:val="20"/>
              </w:rPr>
            </w:pPr>
          </w:p>
        </w:tc>
        <w:tc>
          <w:tcPr>
            <w:tcW w:w="300" w:type="pct"/>
            <w:shd w:val="clear" w:color="auto" w:fill="auto"/>
            <w:vAlign w:val="center"/>
          </w:tcPr>
          <w:p w14:paraId="606F7B90" w14:textId="77777777" w:rsidR="00FB67F9" w:rsidRDefault="00FB67F9">
            <w:pPr>
              <w:rPr>
                <w:rFonts w:ascii="Times New Roman" w:hAnsi="Times New Roman"/>
                <w:sz w:val="20"/>
                <w:szCs w:val="20"/>
              </w:rPr>
            </w:pPr>
          </w:p>
        </w:tc>
        <w:tc>
          <w:tcPr>
            <w:tcW w:w="50" w:type="pct"/>
            <w:shd w:val="clear" w:color="auto" w:fill="auto"/>
            <w:vAlign w:val="center"/>
          </w:tcPr>
          <w:p w14:paraId="606F7B91" w14:textId="77777777" w:rsidR="00FB67F9" w:rsidRDefault="00FB67F9">
            <w:pPr>
              <w:rPr>
                <w:rFonts w:ascii="Times New Roman" w:hAnsi="Times New Roman"/>
                <w:sz w:val="20"/>
                <w:szCs w:val="20"/>
              </w:rPr>
            </w:pPr>
          </w:p>
        </w:tc>
        <w:tc>
          <w:tcPr>
            <w:tcW w:w="50" w:type="pct"/>
            <w:shd w:val="clear" w:color="auto" w:fill="auto"/>
            <w:vAlign w:val="center"/>
          </w:tcPr>
          <w:p w14:paraId="606F7B92" w14:textId="77777777" w:rsidR="00FB67F9" w:rsidRDefault="00FB67F9">
            <w:pPr>
              <w:rPr>
                <w:rFonts w:ascii="Times New Roman" w:hAnsi="Times New Roman"/>
                <w:sz w:val="20"/>
                <w:szCs w:val="20"/>
              </w:rPr>
            </w:pPr>
          </w:p>
        </w:tc>
        <w:tc>
          <w:tcPr>
            <w:tcW w:w="300" w:type="pct"/>
            <w:shd w:val="clear" w:color="auto" w:fill="auto"/>
            <w:vAlign w:val="center"/>
          </w:tcPr>
          <w:p w14:paraId="606F7B93" w14:textId="77777777" w:rsidR="00FB67F9" w:rsidRDefault="00FB67F9">
            <w:pPr>
              <w:rPr>
                <w:rFonts w:ascii="Times New Roman" w:hAnsi="Times New Roman"/>
                <w:sz w:val="20"/>
                <w:szCs w:val="20"/>
              </w:rPr>
            </w:pPr>
          </w:p>
        </w:tc>
        <w:tc>
          <w:tcPr>
            <w:tcW w:w="50" w:type="pct"/>
            <w:shd w:val="clear" w:color="auto" w:fill="auto"/>
            <w:vAlign w:val="center"/>
          </w:tcPr>
          <w:p w14:paraId="606F7B94" w14:textId="77777777" w:rsidR="00FB67F9" w:rsidRDefault="00FB67F9">
            <w:pPr>
              <w:rPr>
                <w:rFonts w:ascii="Times New Roman" w:hAnsi="Times New Roman"/>
                <w:sz w:val="20"/>
                <w:szCs w:val="20"/>
              </w:rPr>
            </w:pPr>
          </w:p>
        </w:tc>
        <w:tc>
          <w:tcPr>
            <w:tcW w:w="50" w:type="pct"/>
            <w:shd w:val="clear" w:color="auto" w:fill="auto"/>
            <w:vAlign w:val="center"/>
          </w:tcPr>
          <w:p w14:paraId="606F7B95" w14:textId="77777777" w:rsidR="00FB67F9" w:rsidRDefault="00FB67F9">
            <w:pPr>
              <w:rPr>
                <w:rFonts w:ascii="Times New Roman" w:hAnsi="Times New Roman"/>
                <w:sz w:val="20"/>
                <w:szCs w:val="20"/>
              </w:rPr>
            </w:pPr>
          </w:p>
        </w:tc>
        <w:tc>
          <w:tcPr>
            <w:tcW w:w="300" w:type="pct"/>
            <w:shd w:val="clear" w:color="auto" w:fill="auto"/>
            <w:vAlign w:val="center"/>
          </w:tcPr>
          <w:p w14:paraId="606F7B96" w14:textId="77777777" w:rsidR="00FB67F9" w:rsidRDefault="00FB67F9">
            <w:pPr>
              <w:rPr>
                <w:rFonts w:ascii="Times New Roman" w:hAnsi="Times New Roman"/>
                <w:sz w:val="20"/>
                <w:szCs w:val="20"/>
              </w:rPr>
            </w:pPr>
          </w:p>
        </w:tc>
        <w:tc>
          <w:tcPr>
            <w:tcW w:w="50" w:type="pct"/>
            <w:shd w:val="clear" w:color="auto" w:fill="auto"/>
            <w:vAlign w:val="center"/>
          </w:tcPr>
          <w:p w14:paraId="606F7B97" w14:textId="77777777" w:rsidR="00FB67F9" w:rsidRDefault="00FB67F9">
            <w:pPr>
              <w:rPr>
                <w:rFonts w:ascii="Times New Roman" w:hAnsi="Times New Roman"/>
                <w:sz w:val="20"/>
                <w:szCs w:val="20"/>
              </w:rPr>
            </w:pPr>
          </w:p>
        </w:tc>
        <w:tc>
          <w:tcPr>
            <w:tcW w:w="50" w:type="pct"/>
            <w:shd w:val="clear" w:color="auto" w:fill="auto"/>
            <w:vAlign w:val="center"/>
          </w:tcPr>
          <w:p w14:paraId="606F7B98" w14:textId="77777777" w:rsidR="00FB67F9" w:rsidRDefault="00FB67F9">
            <w:pPr>
              <w:rPr>
                <w:rFonts w:ascii="Times New Roman" w:hAnsi="Times New Roman"/>
                <w:sz w:val="20"/>
                <w:szCs w:val="20"/>
              </w:rPr>
            </w:pPr>
          </w:p>
        </w:tc>
        <w:tc>
          <w:tcPr>
            <w:tcW w:w="300" w:type="pct"/>
            <w:shd w:val="clear" w:color="auto" w:fill="auto"/>
            <w:vAlign w:val="center"/>
          </w:tcPr>
          <w:p w14:paraId="606F7B99" w14:textId="77777777" w:rsidR="00FB67F9" w:rsidRDefault="00FB67F9">
            <w:pPr>
              <w:rPr>
                <w:rFonts w:ascii="Times New Roman" w:hAnsi="Times New Roman"/>
                <w:sz w:val="20"/>
                <w:szCs w:val="20"/>
              </w:rPr>
            </w:pPr>
          </w:p>
        </w:tc>
        <w:tc>
          <w:tcPr>
            <w:tcW w:w="50" w:type="pct"/>
            <w:shd w:val="clear" w:color="auto" w:fill="auto"/>
            <w:vAlign w:val="center"/>
          </w:tcPr>
          <w:p w14:paraId="606F7B9A" w14:textId="77777777" w:rsidR="00FB67F9" w:rsidRDefault="00FB67F9">
            <w:pPr>
              <w:rPr>
                <w:rFonts w:ascii="Times New Roman" w:hAnsi="Times New Roman"/>
                <w:sz w:val="20"/>
                <w:szCs w:val="20"/>
              </w:rPr>
            </w:pPr>
          </w:p>
        </w:tc>
        <w:tc>
          <w:tcPr>
            <w:tcW w:w="50" w:type="pct"/>
            <w:shd w:val="clear" w:color="auto" w:fill="auto"/>
            <w:vAlign w:val="center"/>
          </w:tcPr>
          <w:p w14:paraId="606F7B9B" w14:textId="77777777" w:rsidR="00FB67F9" w:rsidRDefault="00FB67F9">
            <w:pPr>
              <w:rPr>
                <w:rFonts w:ascii="Times New Roman" w:hAnsi="Times New Roman"/>
                <w:sz w:val="20"/>
                <w:szCs w:val="20"/>
              </w:rPr>
            </w:pPr>
          </w:p>
        </w:tc>
        <w:tc>
          <w:tcPr>
            <w:tcW w:w="300" w:type="pct"/>
            <w:shd w:val="clear" w:color="auto" w:fill="auto"/>
            <w:vAlign w:val="center"/>
          </w:tcPr>
          <w:p w14:paraId="606F7B9C" w14:textId="77777777" w:rsidR="00FB67F9" w:rsidRDefault="00FB67F9">
            <w:pPr>
              <w:rPr>
                <w:rFonts w:ascii="Times New Roman" w:hAnsi="Times New Roman"/>
                <w:sz w:val="20"/>
                <w:szCs w:val="20"/>
              </w:rPr>
            </w:pPr>
          </w:p>
        </w:tc>
        <w:tc>
          <w:tcPr>
            <w:tcW w:w="50" w:type="pct"/>
            <w:shd w:val="clear" w:color="auto" w:fill="auto"/>
            <w:vAlign w:val="center"/>
          </w:tcPr>
          <w:p w14:paraId="606F7B9D" w14:textId="77777777" w:rsidR="00FB67F9" w:rsidRDefault="00FB67F9">
            <w:pPr>
              <w:rPr>
                <w:rFonts w:ascii="Times New Roman" w:hAnsi="Times New Roman"/>
                <w:sz w:val="20"/>
                <w:szCs w:val="20"/>
              </w:rPr>
            </w:pPr>
          </w:p>
        </w:tc>
        <w:tc>
          <w:tcPr>
            <w:tcW w:w="50" w:type="pct"/>
            <w:shd w:val="clear" w:color="auto" w:fill="auto"/>
            <w:vAlign w:val="center"/>
          </w:tcPr>
          <w:p w14:paraId="606F7B9E" w14:textId="77777777" w:rsidR="00FB67F9" w:rsidRDefault="00FB67F9">
            <w:pPr>
              <w:rPr>
                <w:rFonts w:ascii="Times New Roman" w:hAnsi="Times New Roman"/>
                <w:sz w:val="20"/>
                <w:szCs w:val="20"/>
              </w:rPr>
            </w:pPr>
          </w:p>
        </w:tc>
        <w:tc>
          <w:tcPr>
            <w:tcW w:w="300" w:type="pct"/>
            <w:shd w:val="clear" w:color="auto" w:fill="auto"/>
            <w:vAlign w:val="center"/>
          </w:tcPr>
          <w:p w14:paraId="606F7B9F" w14:textId="77777777" w:rsidR="00FB67F9" w:rsidRDefault="00FB67F9">
            <w:pPr>
              <w:rPr>
                <w:rFonts w:ascii="Times New Roman" w:hAnsi="Times New Roman"/>
                <w:sz w:val="20"/>
                <w:szCs w:val="20"/>
              </w:rPr>
            </w:pPr>
          </w:p>
        </w:tc>
        <w:tc>
          <w:tcPr>
            <w:tcW w:w="50" w:type="pct"/>
            <w:shd w:val="clear" w:color="auto" w:fill="auto"/>
            <w:vAlign w:val="center"/>
          </w:tcPr>
          <w:p w14:paraId="606F7BA0" w14:textId="77777777" w:rsidR="00FB67F9" w:rsidRDefault="00FB67F9">
            <w:pPr>
              <w:rPr>
                <w:rFonts w:ascii="Times New Roman" w:hAnsi="Times New Roman"/>
                <w:sz w:val="20"/>
                <w:szCs w:val="20"/>
              </w:rPr>
            </w:pPr>
          </w:p>
        </w:tc>
        <w:tc>
          <w:tcPr>
            <w:tcW w:w="50" w:type="pct"/>
            <w:shd w:val="clear" w:color="auto" w:fill="auto"/>
            <w:vAlign w:val="center"/>
          </w:tcPr>
          <w:p w14:paraId="606F7BA1" w14:textId="77777777" w:rsidR="00FB67F9" w:rsidRDefault="00FB67F9">
            <w:pPr>
              <w:rPr>
                <w:rFonts w:ascii="Times New Roman" w:hAnsi="Times New Roman"/>
                <w:sz w:val="20"/>
                <w:szCs w:val="20"/>
              </w:rPr>
            </w:pPr>
          </w:p>
        </w:tc>
        <w:tc>
          <w:tcPr>
            <w:tcW w:w="350" w:type="pct"/>
            <w:shd w:val="clear" w:color="auto" w:fill="auto"/>
            <w:vAlign w:val="center"/>
          </w:tcPr>
          <w:p w14:paraId="606F7BA2" w14:textId="77777777" w:rsidR="00FB67F9" w:rsidRDefault="00FB67F9">
            <w:pPr>
              <w:rPr>
                <w:rFonts w:ascii="Times New Roman" w:hAnsi="Times New Roman"/>
                <w:sz w:val="20"/>
                <w:szCs w:val="20"/>
              </w:rPr>
            </w:pPr>
          </w:p>
        </w:tc>
        <w:tc>
          <w:tcPr>
            <w:tcW w:w="50" w:type="pct"/>
            <w:shd w:val="clear" w:color="auto" w:fill="auto"/>
            <w:vAlign w:val="center"/>
          </w:tcPr>
          <w:p w14:paraId="606F7BA3" w14:textId="77777777" w:rsidR="00FB67F9" w:rsidRDefault="00FB67F9">
            <w:pPr>
              <w:rPr>
                <w:rFonts w:ascii="Times New Roman" w:hAnsi="Times New Roman"/>
                <w:sz w:val="20"/>
                <w:szCs w:val="20"/>
              </w:rPr>
            </w:pPr>
          </w:p>
        </w:tc>
        <w:tc>
          <w:tcPr>
            <w:tcW w:w="50" w:type="pct"/>
            <w:shd w:val="clear" w:color="auto" w:fill="auto"/>
            <w:vAlign w:val="center"/>
          </w:tcPr>
          <w:p w14:paraId="606F7BA4" w14:textId="77777777" w:rsidR="00FB67F9" w:rsidRDefault="00FB67F9">
            <w:pPr>
              <w:rPr>
                <w:rFonts w:ascii="Times New Roman" w:hAnsi="Times New Roman"/>
                <w:sz w:val="20"/>
                <w:szCs w:val="20"/>
              </w:rPr>
            </w:pPr>
          </w:p>
        </w:tc>
        <w:tc>
          <w:tcPr>
            <w:tcW w:w="400" w:type="pct"/>
            <w:shd w:val="clear" w:color="auto" w:fill="auto"/>
            <w:vAlign w:val="center"/>
          </w:tcPr>
          <w:p w14:paraId="606F7BA5" w14:textId="77777777" w:rsidR="00FB67F9" w:rsidRDefault="00FB67F9">
            <w:pPr>
              <w:rPr>
                <w:rFonts w:ascii="Times New Roman" w:hAnsi="Times New Roman"/>
                <w:sz w:val="20"/>
                <w:szCs w:val="20"/>
              </w:rPr>
            </w:pPr>
          </w:p>
        </w:tc>
        <w:tc>
          <w:tcPr>
            <w:tcW w:w="50" w:type="pct"/>
            <w:shd w:val="clear" w:color="auto" w:fill="auto"/>
            <w:vAlign w:val="center"/>
          </w:tcPr>
          <w:p w14:paraId="606F7BA6" w14:textId="77777777" w:rsidR="00FB67F9" w:rsidRDefault="00FB67F9">
            <w:pPr>
              <w:rPr>
                <w:rFonts w:ascii="Times New Roman" w:hAnsi="Times New Roman"/>
                <w:sz w:val="20"/>
                <w:szCs w:val="20"/>
              </w:rPr>
            </w:pPr>
          </w:p>
        </w:tc>
        <w:tc>
          <w:tcPr>
            <w:tcW w:w="50" w:type="pct"/>
            <w:shd w:val="clear" w:color="auto" w:fill="auto"/>
            <w:vAlign w:val="center"/>
          </w:tcPr>
          <w:p w14:paraId="606F7BA7" w14:textId="77777777" w:rsidR="00FB67F9" w:rsidRDefault="00FB67F9">
            <w:pPr>
              <w:rPr>
                <w:rFonts w:ascii="Times New Roman" w:hAnsi="Times New Roman"/>
                <w:sz w:val="20"/>
                <w:szCs w:val="20"/>
              </w:rPr>
            </w:pPr>
          </w:p>
        </w:tc>
        <w:tc>
          <w:tcPr>
            <w:tcW w:w="300" w:type="pct"/>
            <w:shd w:val="clear" w:color="auto" w:fill="auto"/>
            <w:vAlign w:val="center"/>
          </w:tcPr>
          <w:p w14:paraId="606F7BA8" w14:textId="77777777" w:rsidR="00FB67F9" w:rsidRDefault="00FB67F9">
            <w:pPr>
              <w:rPr>
                <w:rFonts w:ascii="Times New Roman" w:hAnsi="Times New Roman"/>
                <w:sz w:val="20"/>
                <w:szCs w:val="20"/>
              </w:rPr>
            </w:pPr>
          </w:p>
        </w:tc>
        <w:tc>
          <w:tcPr>
            <w:tcW w:w="50" w:type="pct"/>
            <w:shd w:val="clear" w:color="auto" w:fill="auto"/>
            <w:vAlign w:val="center"/>
          </w:tcPr>
          <w:p w14:paraId="606F7BA9" w14:textId="77777777" w:rsidR="00FB67F9" w:rsidRDefault="00FB67F9">
            <w:pPr>
              <w:rPr>
                <w:rFonts w:ascii="Times New Roman" w:hAnsi="Times New Roman"/>
                <w:sz w:val="20"/>
                <w:szCs w:val="20"/>
              </w:rPr>
            </w:pPr>
          </w:p>
        </w:tc>
      </w:tr>
      <w:tr w:rsidR="00FB67F9" w14:paraId="606F7BAD" w14:textId="77777777">
        <w:tc>
          <w:tcPr>
            <w:tcW w:w="0" w:type="auto"/>
            <w:shd w:val="clear" w:color="auto" w:fill="auto"/>
            <w:tcMar>
              <w:top w:w="40" w:type="dxa"/>
              <w:left w:w="40" w:type="dxa"/>
              <w:bottom w:w="40" w:type="dxa"/>
              <w:right w:w="40" w:type="dxa"/>
            </w:tcMar>
            <w:vAlign w:val="bottom"/>
          </w:tcPr>
          <w:p w14:paraId="606F7BA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E87722"/>
            </w:tcBorders>
            <w:shd w:val="clear" w:color="auto" w:fill="auto"/>
            <w:tcMar>
              <w:top w:w="40" w:type="dxa"/>
              <w:left w:w="40" w:type="dxa"/>
              <w:bottom w:w="40" w:type="dxa"/>
            </w:tcMar>
            <w:vAlign w:val="bottom"/>
          </w:tcPr>
          <w:p w14:paraId="606F7BA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 2018</w:t>
            </w:r>
          </w:p>
        </w:tc>
      </w:tr>
      <w:tr w:rsidR="00FB67F9" w14:paraId="606F7BC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BAE"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BA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NORTH AMERICA</w:t>
            </w:r>
          </w:p>
        </w:tc>
        <w:tc>
          <w:tcPr>
            <w:tcW w:w="0" w:type="auto"/>
            <w:tcBorders>
              <w:bottom w:val="single" w:sz="8" w:space="0" w:color="E87722"/>
            </w:tcBorders>
            <w:shd w:val="clear" w:color="auto" w:fill="auto"/>
            <w:vAlign w:val="bottom"/>
          </w:tcPr>
          <w:p w14:paraId="606F7BB0"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EUROPE, MIDDLE EAST &amp; AFRICA</w:t>
            </w:r>
          </w:p>
        </w:tc>
        <w:tc>
          <w:tcPr>
            <w:tcW w:w="0" w:type="auto"/>
            <w:tcBorders>
              <w:bottom w:val="single" w:sz="8" w:space="0" w:color="E87722"/>
            </w:tcBorders>
            <w:shd w:val="clear" w:color="auto" w:fill="auto"/>
            <w:vAlign w:val="bottom"/>
          </w:tcPr>
          <w:p w14:paraId="606F7BB2"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GREATER CHINA</w:t>
            </w:r>
          </w:p>
        </w:tc>
        <w:tc>
          <w:tcPr>
            <w:tcW w:w="0" w:type="auto"/>
            <w:tcBorders>
              <w:bottom w:val="single" w:sz="8" w:space="0" w:color="E87722"/>
            </w:tcBorders>
            <w:shd w:val="clear" w:color="auto" w:fill="auto"/>
            <w:vAlign w:val="bottom"/>
          </w:tcPr>
          <w:p w14:paraId="606F7BB4"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ASIA PACIFIC &amp; LATIN AMERICA</w:t>
            </w:r>
          </w:p>
        </w:tc>
        <w:tc>
          <w:tcPr>
            <w:tcW w:w="0" w:type="auto"/>
            <w:tcBorders>
              <w:bottom w:val="single" w:sz="8" w:space="0" w:color="E87722"/>
            </w:tcBorders>
            <w:shd w:val="clear" w:color="auto" w:fill="auto"/>
            <w:vAlign w:val="bottom"/>
          </w:tcPr>
          <w:p w14:paraId="606F7BB6"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GLOBAL BRAND </w:t>
            </w:r>
            <w:r>
              <w:rPr>
                <w:rFonts w:ascii="sans-serif" w:eastAsia="sans-serif" w:hAnsi="sans-serif" w:cs="sans-serif"/>
                <w:b/>
                <w:bCs/>
                <w:color w:val="000000"/>
                <w:sz w:val="17"/>
                <w:szCs w:val="17"/>
              </w:rPr>
              <w:t>DIVISIONS</w:t>
            </w:r>
          </w:p>
        </w:tc>
        <w:tc>
          <w:tcPr>
            <w:tcW w:w="0" w:type="auto"/>
            <w:tcBorders>
              <w:bottom w:val="single" w:sz="8" w:space="0" w:color="E87722"/>
            </w:tcBorders>
            <w:shd w:val="clear" w:color="auto" w:fill="auto"/>
            <w:vAlign w:val="bottom"/>
          </w:tcPr>
          <w:p w14:paraId="606F7BB8"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BRAND</w:t>
            </w:r>
          </w:p>
        </w:tc>
        <w:tc>
          <w:tcPr>
            <w:tcW w:w="0" w:type="auto"/>
            <w:tcBorders>
              <w:bottom w:val="single" w:sz="8" w:space="0" w:color="E87722"/>
            </w:tcBorders>
            <w:shd w:val="clear" w:color="auto" w:fill="auto"/>
            <w:vAlign w:val="bottom"/>
          </w:tcPr>
          <w:p w14:paraId="606F7BBA"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CONVERSE</w:t>
            </w:r>
          </w:p>
        </w:tc>
        <w:tc>
          <w:tcPr>
            <w:tcW w:w="0" w:type="auto"/>
            <w:tcBorders>
              <w:bottom w:val="single" w:sz="8" w:space="0" w:color="E87722"/>
            </w:tcBorders>
            <w:shd w:val="clear" w:color="auto" w:fill="auto"/>
            <w:vAlign w:val="bottom"/>
          </w:tcPr>
          <w:p w14:paraId="606F7BBC"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CORPORATE</w:t>
            </w:r>
          </w:p>
        </w:tc>
        <w:tc>
          <w:tcPr>
            <w:tcW w:w="0" w:type="auto"/>
            <w:tcBorders>
              <w:bottom w:val="single" w:sz="8" w:space="0" w:color="E87722"/>
            </w:tcBorders>
            <w:shd w:val="clear" w:color="auto" w:fill="auto"/>
            <w:vAlign w:val="bottom"/>
          </w:tcPr>
          <w:p w14:paraId="606F7BBE"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BB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INC.</w:t>
            </w:r>
          </w:p>
        </w:tc>
        <w:tc>
          <w:tcPr>
            <w:tcW w:w="0" w:type="auto"/>
            <w:tcBorders>
              <w:bottom w:val="single" w:sz="8" w:space="0" w:color="E87722"/>
            </w:tcBorders>
            <w:shd w:val="clear" w:color="auto" w:fill="auto"/>
            <w:vAlign w:val="bottom"/>
          </w:tcPr>
          <w:p w14:paraId="606F7BC0" w14:textId="77777777" w:rsidR="00FB67F9" w:rsidRDefault="00FB67F9">
            <w:pPr>
              <w:textAlignment w:val="bottom"/>
              <w:rPr>
                <w:rFonts w:ascii="Times New Roman" w:hAnsi="Times New Roman"/>
                <w:sz w:val="20"/>
                <w:szCs w:val="20"/>
              </w:rPr>
            </w:pPr>
          </w:p>
        </w:tc>
      </w:tr>
      <w:tr w:rsidR="00FB67F9" w14:paraId="606F7BCC" w14:textId="77777777">
        <w:tc>
          <w:tcPr>
            <w:tcW w:w="0" w:type="auto"/>
            <w:shd w:val="clear" w:color="auto" w:fill="auto"/>
            <w:tcMar>
              <w:top w:w="40" w:type="dxa"/>
              <w:left w:w="40" w:type="dxa"/>
              <w:bottom w:w="40" w:type="dxa"/>
              <w:right w:w="40" w:type="dxa"/>
            </w:tcMar>
            <w:vAlign w:val="bottom"/>
          </w:tcPr>
          <w:p w14:paraId="606F7BC2"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auto"/>
            <w:tcMar>
              <w:top w:w="40" w:type="dxa"/>
              <w:left w:w="40" w:type="dxa"/>
              <w:bottom w:w="40" w:type="dxa"/>
              <w:right w:w="40" w:type="dxa"/>
            </w:tcMar>
            <w:vAlign w:val="bottom"/>
          </w:tcPr>
          <w:p w14:paraId="606F7BC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BC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BE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BCD"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auto"/>
            <w:tcMar>
              <w:top w:w="40" w:type="dxa"/>
              <w:left w:w="40" w:type="dxa"/>
              <w:bottom w:w="40" w:type="dxa"/>
            </w:tcMar>
            <w:vAlign w:val="bottom"/>
          </w:tcPr>
          <w:p w14:paraId="606F7BC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C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2,245</w:t>
            </w:r>
          </w:p>
        </w:tc>
        <w:tc>
          <w:tcPr>
            <w:tcW w:w="0" w:type="auto"/>
            <w:tcBorders>
              <w:top w:val="single" w:sz="8" w:space="0" w:color="808080"/>
            </w:tcBorders>
            <w:shd w:val="clear" w:color="auto" w:fill="auto"/>
            <w:vAlign w:val="bottom"/>
          </w:tcPr>
          <w:p w14:paraId="606F7BD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D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D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1,419</w:t>
            </w:r>
          </w:p>
        </w:tc>
        <w:tc>
          <w:tcPr>
            <w:tcW w:w="0" w:type="auto"/>
            <w:tcBorders>
              <w:top w:val="single" w:sz="8" w:space="0" w:color="808080"/>
            </w:tcBorders>
            <w:shd w:val="clear" w:color="auto" w:fill="auto"/>
            <w:vAlign w:val="bottom"/>
          </w:tcPr>
          <w:p w14:paraId="606F7BD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D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1,022</w:t>
            </w:r>
          </w:p>
        </w:tc>
        <w:tc>
          <w:tcPr>
            <w:tcW w:w="0" w:type="auto"/>
            <w:tcBorders>
              <w:top w:val="single" w:sz="8" w:space="0" w:color="808080"/>
            </w:tcBorders>
            <w:shd w:val="clear" w:color="auto" w:fill="auto"/>
            <w:vAlign w:val="bottom"/>
          </w:tcPr>
          <w:p w14:paraId="606F7BD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D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879</w:t>
            </w:r>
          </w:p>
        </w:tc>
        <w:tc>
          <w:tcPr>
            <w:tcW w:w="0" w:type="auto"/>
            <w:tcBorders>
              <w:top w:val="single" w:sz="8" w:space="0" w:color="808080"/>
            </w:tcBorders>
            <w:shd w:val="clear" w:color="auto" w:fill="auto"/>
            <w:vAlign w:val="bottom"/>
          </w:tcPr>
          <w:p w14:paraId="606F7BD9"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D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BD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D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D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5,565</w:t>
            </w:r>
          </w:p>
        </w:tc>
        <w:tc>
          <w:tcPr>
            <w:tcW w:w="0" w:type="auto"/>
            <w:tcBorders>
              <w:top w:val="single" w:sz="8" w:space="0" w:color="808080"/>
            </w:tcBorders>
            <w:shd w:val="clear" w:color="auto" w:fill="auto"/>
            <w:vAlign w:val="bottom"/>
          </w:tcPr>
          <w:p w14:paraId="606F7BD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E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356</w:t>
            </w:r>
          </w:p>
        </w:tc>
        <w:tc>
          <w:tcPr>
            <w:tcW w:w="0" w:type="auto"/>
            <w:tcBorders>
              <w:top w:val="single" w:sz="8" w:space="0" w:color="808080"/>
            </w:tcBorders>
            <w:shd w:val="clear" w:color="auto" w:fill="auto"/>
            <w:vAlign w:val="bottom"/>
          </w:tcPr>
          <w:p w14:paraId="606F7BE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E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E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BE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BE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B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5,921</w:t>
            </w:r>
          </w:p>
        </w:tc>
        <w:tc>
          <w:tcPr>
            <w:tcW w:w="0" w:type="auto"/>
            <w:tcBorders>
              <w:top w:val="single" w:sz="8" w:space="0" w:color="808080"/>
            </w:tcBorders>
            <w:shd w:val="clear" w:color="auto" w:fill="auto"/>
            <w:vAlign w:val="bottom"/>
          </w:tcPr>
          <w:p w14:paraId="606F7BE8" w14:textId="77777777" w:rsidR="00FB67F9" w:rsidRDefault="00FB67F9">
            <w:pPr>
              <w:textAlignment w:val="bottom"/>
              <w:rPr>
                <w:rFonts w:ascii="Times New Roman" w:hAnsi="Times New Roman"/>
                <w:sz w:val="20"/>
                <w:szCs w:val="20"/>
              </w:rPr>
            </w:pPr>
          </w:p>
        </w:tc>
      </w:tr>
      <w:tr w:rsidR="00FB67F9" w14:paraId="606F7BF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BEA"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auto"/>
            <w:tcMar>
              <w:top w:w="40" w:type="dxa"/>
              <w:left w:w="40" w:type="dxa"/>
              <w:bottom w:w="40" w:type="dxa"/>
            </w:tcMar>
            <w:vAlign w:val="bottom"/>
          </w:tcPr>
          <w:p w14:paraId="606F7BE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1,405</w:t>
            </w:r>
          </w:p>
        </w:tc>
        <w:tc>
          <w:tcPr>
            <w:tcW w:w="0" w:type="auto"/>
            <w:tcBorders>
              <w:top w:val="single" w:sz="8" w:space="0" w:color="808080"/>
            </w:tcBorders>
            <w:shd w:val="clear" w:color="auto" w:fill="auto"/>
            <w:vAlign w:val="bottom"/>
          </w:tcPr>
          <w:p w14:paraId="606F7BE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BE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794</w:t>
            </w:r>
          </w:p>
        </w:tc>
        <w:tc>
          <w:tcPr>
            <w:tcW w:w="0" w:type="auto"/>
            <w:tcBorders>
              <w:top w:val="single" w:sz="8" w:space="0" w:color="808080"/>
            </w:tcBorders>
            <w:shd w:val="clear" w:color="auto" w:fill="auto"/>
            <w:vAlign w:val="bottom"/>
          </w:tcPr>
          <w:p w14:paraId="606F7BE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BE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490</w:t>
            </w:r>
          </w:p>
        </w:tc>
        <w:tc>
          <w:tcPr>
            <w:tcW w:w="0" w:type="auto"/>
            <w:tcBorders>
              <w:top w:val="single" w:sz="8" w:space="0" w:color="808080"/>
            </w:tcBorders>
            <w:shd w:val="clear" w:color="auto" w:fill="auto"/>
            <w:vAlign w:val="bottom"/>
          </w:tcPr>
          <w:p w14:paraId="606F7BF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B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360</w:t>
            </w:r>
          </w:p>
        </w:tc>
        <w:tc>
          <w:tcPr>
            <w:tcW w:w="0" w:type="auto"/>
            <w:tcBorders>
              <w:top w:val="single" w:sz="8" w:space="0" w:color="808080"/>
            </w:tcBorders>
            <w:shd w:val="clear" w:color="auto" w:fill="auto"/>
            <w:vAlign w:val="bottom"/>
          </w:tcPr>
          <w:p w14:paraId="606F7BF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BF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BF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BF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3,049</w:t>
            </w:r>
          </w:p>
        </w:tc>
        <w:tc>
          <w:tcPr>
            <w:tcW w:w="0" w:type="auto"/>
            <w:tcBorders>
              <w:top w:val="single" w:sz="8" w:space="0" w:color="808080"/>
            </w:tcBorders>
            <w:shd w:val="clear" w:color="auto" w:fill="auto"/>
            <w:vAlign w:val="bottom"/>
          </w:tcPr>
          <w:p w14:paraId="606F7BF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BF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tcBorders>
              <w:top w:val="single" w:sz="8" w:space="0" w:color="808080"/>
              <w:bottom w:val="single" w:sz="8" w:space="0" w:color="808080"/>
            </w:tcBorders>
            <w:shd w:val="clear" w:color="auto" w:fill="auto"/>
            <w:vAlign w:val="bottom"/>
          </w:tcPr>
          <w:p w14:paraId="606F7BF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BF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BF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BF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3,085</w:t>
            </w:r>
          </w:p>
        </w:tc>
        <w:tc>
          <w:tcPr>
            <w:tcW w:w="0" w:type="auto"/>
            <w:tcBorders>
              <w:top w:val="single" w:sz="8" w:space="0" w:color="808080"/>
            </w:tcBorders>
            <w:shd w:val="clear" w:color="auto" w:fill="auto"/>
            <w:vAlign w:val="bottom"/>
          </w:tcPr>
          <w:p w14:paraId="606F7BFC" w14:textId="77777777" w:rsidR="00FB67F9" w:rsidRDefault="00FB67F9">
            <w:pPr>
              <w:textAlignment w:val="bottom"/>
              <w:rPr>
                <w:rFonts w:ascii="Times New Roman" w:hAnsi="Times New Roman"/>
                <w:sz w:val="20"/>
                <w:szCs w:val="20"/>
              </w:rPr>
            </w:pPr>
          </w:p>
        </w:tc>
      </w:tr>
      <w:tr w:rsidR="00FB67F9" w14:paraId="606F7C1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BFE" w14:textId="77777777" w:rsidR="00FB67F9" w:rsidRDefault="00E839DF">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BF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132</w:t>
            </w:r>
          </w:p>
        </w:tc>
        <w:tc>
          <w:tcPr>
            <w:tcW w:w="0" w:type="auto"/>
            <w:tcBorders>
              <w:top w:val="single" w:sz="8" w:space="0" w:color="808080"/>
              <w:bottom w:val="single" w:sz="8" w:space="0" w:color="808080"/>
            </w:tcBorders>
            <w:shd w:val="clear" w:color="auto" w:fill="auto"/>
            <w:vAlign w:val="bottom"/>
          </w:tcPr>
          <w:p w14:paraId="606F7C0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100</w:t>
            </w:r>
          </w:p>
        </w:tc>
        <w:tc>
          <w:tcPr>
            <w:tcW w:w="0" w:type="auto"/>
            <w:tcBorders>
              <w:top w:val="single" w:sz="8" w:space="0" w:color="808080"/>
              <w:bottom w:val="single" w:sz="8" w:space="0" w:color="808080"/>
            </w:tcBorders>
            <w:shd w:val="clear" w:color="auto" w:fill="auto"/>
            <w:vAlign w:val="bottom"/>
          </w:tcPr>
          <w:p w14:paraId="606F7C0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top w:val="single" w:sz="8" w:space="0" w:color="808080"/>
              <w:bottom w:val="single" w:sz="8" w:space="0" w:color="808080"/>
            </w:tcBorders>
            <w:shd w:val="clear" w:color="auto" w:fill="auto"/>
            <w:vAlign w:val="bottom"/>
          </w:tcPr>
          <w:p w14:paraId="606F7C0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59</w:t>
            </w:r>
          </w:p>
        </w:tc>
        <w:tc>
          <w:tcPr>
            <w:tcW w:w="0" w:type="auto"/>
            <w:tcBorders>
              <w:top w:val="single" w:sz="8" w:space="0" w:color="808080"/>
              <w:bottom w:val="single" w:sz="8" w:space="0" w:color="808080"/>
            </w:tcBorders>
            <w:shd w:val="clear" w:color="auto" w:fill="auto"/>
            <w:vAlign w:val="bottom"/>
          </w:tcPr>
          <w:p w14:paraId="606F7C0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C0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323</w:t>
            </w:r>
          </w:p>
        </w:tc>
        <w:tc>
          <w:tcPr>
            <w:tcW w:w="0" w:type="auto"/>
            <w:tcBorders>
              <w:top w:val="single" w:sz="8" w:space="0" w:color="808080"/>
              <w:bottom w:val="single" w:sz="8" w:space="0" w:color="808080"/>
            </w:tcBorders>
            <w:shd w:val="clear" w:color="auto" w:fill="auto"/>
            <w:vAlign w:val="bottom"/>
          </w:tcPr>
          <w:p w14:paraId="606F7C0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vAlign w:val="bottom"/>
          </w:tcPr>
          <w:p w14:paraId="606F7C0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C0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0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328</w:t>
            </w:r>
          </w:p>
        </w:tc>
        <w:tc>
          <w:tcPr>
            <w:tcW w:w="0" w:type="auto"/>
            <w:tcBorders>
              <w:top w:val="single" w:sz="8" w:space="0" w:color="808080"/>
              <w:bottom w:val="single" w:sz="8" w:space="0" w:color="808080"/>
            </w:tcBorders>
            <w:shd w:val="clear" w:color="auto" w:fill="auto"/>
            <w:vAlign w:val="bottom"/>
          </w:tcPr>
          <w:p w14:paraId="606F7C10" w14:textId="77777777" w:rsidR="00FB67F9" w:rsidRDefault="00FB67F9">
            <w:pPr>
              <w:textAlignment w:val="bottom"/>
              <w:rPr>
                <w:rFonts w:ascii="Times New Roman" w:hAnsi="Times New Roman"/>
                <w:sz w:val="20"/>
                <w:szCs w:val="20"/>
              </w:rPr>
            </w:pPr>
          </w:p>
        </w:tc>
      </w:tr>
      <w:tr w:rsidR="00FB67F9" w14:paraId="606F7C25" w14:textId="77777777">
        <w:tc>
          <w:tcPr>
            <w:tcW w:w="0" w:type="auto"/>
            <w:shd w:val="clear" w:color="auto" w:fill="auto"/>
            <w:tcMar>
              <w:top w:w="40" w:type="dxa"/>
              <w:left w:w="240" w:type="dxa"/>
              <w:bottom w:w="40" w:type="dxa"/>
              <w:right w:w="40" w:type="dxa"/>
            </w:tcMar>
            <w:vAlign w:val="bottom"/>
          </w:tcPr>
          <w:p w14:paraId="606F7C12"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auto"/>
            <w:tcMar>
              <w:top w:w="40" w:type="dxa"/>
              <w:left w:w="40" w:type="dxa"/>
              <w:bottom w:w="40" w:type="dxa"/>
            </w:tcMar>
            <w:vAlign w:val="bottom"/>
          </w:tcPr>
          <w:p w14:paraId="606F7C1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14"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1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1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1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1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1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1A"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1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vAlign w:val="bottom"/>
          </w:tcPr>
          <w:p w14:paraId="606F7C1C"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vAlign w:val="bottom"/>
          </w:tcPr>
          <w:p w14:paraId="606F7C1E"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1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auto"/>
            <w:vAlign w:val="bottom"/>
          </w:tcPr>
          <w:p w14:paraId="606F7C20"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2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vAlign w:val="bottom"/>
          </w:tcPr>
          <w:p w14:paraId="606F7C22"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2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w:t>
            </w:r>
          </w:p>
        </w:tc>
        <w:tc>
          <w:tcPr>
            <w:tcW w:w="0" w:type="auto"/>
            <w:shd w:val="clear" w:color="auto" w:fill="auto"/>
            <w:vAlign w:val="bottom"/>
          </w:tcPr>
          <w:p w14:paraId="606F7C24" w14:textId="77777777" w:rsidR="00FB67F9" w:rsidRDefault="00FB67F9">
            <w:pPr>
              <w:textAlignment w:val="bottom"/>
              <w:rPr>
                <w:rFonts w:ascii="Times New Roman" w:hAnsi="Times New Roman"/>
                <w:sz w:val="20"/>
                <w:szCs w:val="20"/>
              </w:rPr>
            </w:pPr>
          </w:p>
        </w:tc>
      </w:tr>
      <w:tr w:rsidR="00FB67F9" w14:paraId="606F7C4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C2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2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2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3,782</w:t>
            </w:r>
          </w:p>
        </w:tc>
        <w:tc>
          <w:tcPr>
            <w:tcW w:w="0" w:type="auto"/>
            <w:tcBorders>
              <w:top w:val="single" w:sz="8" w:space="0" w:color="E87722"/>
              <w:bottom w:val="single" w:sz="8" w:space="0" w:color="E87722"/>
            </w:tcBorders>
            <w:shd w:val="clear" w:color="auto" w:fill="auto"/>
            <w:vAlign w:val="bottom"/>
          </w:tcPr>
          <w:p w14:paraId="606F7C2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2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2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2,313</w:t>
            </w:r>
          </w:p>
        </w:tc>
        <w:tc>
          <w:tcPr>
            <w:tcW w:w="0" w:type="auto"/>
            <w:tcBorders>
              <w:top w:val="single" w:sz="8" w:space="0" w:color="E87722"/>
              <w:bottom w:val="single" w:sz="8" w:space="0" w:color="E87722"/>
            </w:tcBorders>
            <w:shd w:val="clear" w:color="auto" w:fill="auto"/>
            <w:vAlign w:val="bottom"/>
          </w:tcPr>
          <w:p w14:paraId="606F7C2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2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2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1,544</w:t>
            </w:r>
          </w:p>
        </w:tc>
        <w:tc>
          <w:tcPr>
            <w:tcW w:w="0" w:type="auto"/>
            <w:tcBorders>
              <w:top w:val="single" w:sz="8" w:space="0" w:color="E87722"/>
              <w:bottom w:val="single" w:sz="8" w:space="0" w:color="E87722"/>
            </w:tcBorders>
            <w:shd w:val="clear" w:color="auto" w:fill="auto"/>
            <w:vAlign w:val="bottom"/>
          </w:tcPr>
          <w:p w14:paraId="606F7C2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3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3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1,298</w:t>
            </w:r>
          </w:p>
        </w:tc>
        <w:tc>
          <w:tcPr>
            <w:tcW w:w="0" w:type="auto"/>
            <w:tcBorders>
              <w:top w:val="single" w:sz="8" w:space="0" w:color="E87722"/>
              <w:bottom w:val="single" w:sz="8" w:space="0" w:color="E87722"/>
            </w:tcBorders>
            <w:shd w:val="clear" w:color="auto" w:fill="auto"/>
            <w:vAlign w:val="bottom"/>
          </w:tcPr>
          <w:p w14:paraId="606F7C3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3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3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vAlign w:val="bottom"/>
          </w:tcPr>
          <w:p w14:paraId="606F7C3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3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3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8,946</w:t>
            </w:r>
          </w:p>
        </w:tc>
        <w:tc>
          <w:tcPr>
            <w:tcW w:w="0" w:type="auto"/>
            <w:tcBorders>
              <w:top w:val="single" w:sz="8" w:space="0" w:color="E87722"/>
              <w:bottom w:val="single" w:sz="8" w:space="0" w:color="E87722"/>
            </w:tcBorders>
            <w:shd w:val="clear" w:color="auto" w:fill="auto"/>
            <w:vAlign w:val="bottom"/>
          </w:tcPr>
          <w:p w14:paraId="606F7C3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3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3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425</w:t>
            </w:r>
          </w:p>
        </w:tc>
        <w:tc>
          <w:tcPr>
            <w:tcW w:w="0" w:type="auto"/>
            <w:tcBorders>
              <w:top w:val="single" w:sz="8" w:space="0" w:color="E87722"/>
              <w:bottom w:val="single" w:sz="8" w:space="0" w:color="E87722"/>
            </w:tcBorders>
            <w:shd w:val="clear" w:color="auto" w:fill="auto"/>
            <w:vAlign w:val="bottom"/>
          </w:tcPr>
          <w:p w14:paraId="606F7C3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3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3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vAlign w:val="bottom"/>
          </w:tcPr>
          <w:p w14:paraId="606F7C3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3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4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9,374</w:t>
            </w:r>
          </w:p>
        </w:tc>
        <w:tc>
          <w:tcPr>
            <w:tcW w:w="0" w:type="auto"/>
            <w:tcBorders>
              <w:top w:val="single" w:sz="8" w:space="0" w:color="E87722"/>
              <w:bottom w:val="single" w:sz="8" w:space="0" w:color="E87722"/>
            </w:tcBorders>
            <w:shd w:val="clear" w:color="auto" w:fill="auto"/>
            <w:vAlign w:val="bottom"/>
          </w:tcPr>
          <w:p w14:paraId="606F7C41" w14:textId="77777777" w:rsidR="00FB67F9" w:rsidRDefault="00FB67F9">
            <w:pPr>
              <w:textAlignment w:val="bottom"/>
              <w:rPr>
                <w:rFonts w:ascii="Times New Roman" w:hAnsi="Times New Roman"/>
                <w:sz w:val="20"/>
                <w:szCs w:val="20"/>
              </w:rPr>
            </w:pPr>
          </w:p>
        </w:tc>
      </w:tr>
      <w:tr w:rsidR="00FB67F9" w14:paraId="606F7C4D" w14:textId="77777777">
        <w:tc>
          <w:tcPr>
            <w:tcW w:w="0" w:type="auto"/>
            <w:shd w:val="clear" w:color="auto" w:fill="auto"/>
            <w:tcMar>
              <w:top w:w="40" w:type="dxa"/>
              <w:left w:w="40" w:type="dxa"/>
              <w:bottom w:w="40" w:type="dxa"/>
              <w:right w:w="40" w:type="dxa"/>
            </w:tcMar>
            <w:vAlign w:val="bottom"/>
          </w:tcPr>
          <w:p w14:paraId="606F7C43"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auto"/>
            <w:tcMar>
              <w:top w:w="40" w:type="dxa"/>
              <w:left w:w="40" w:type="dxa"/>
              <w:bottom w:w="40" w:type="dxa"/>
              <w:right w:w="40" w:type="dxa"/>
            </w:tcMar>
            <w:vAlign w:val="bottom"/>
          </w:tcPr>
          <w:p w14:paraId="606F7C44"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5"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6"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7"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8"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9"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A"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B"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C4C" w14:textId="77777777" w:rsidR="00FB67F9" w:rsidRDefault="00FB67F9">
            <w:pPr>
              <w:textAlignment w:val="bottom"/>
              <w:rPr>
                <w:rFonts w:ascii="Times New Roman" w:hAnsi="Times New Roman"/>
                <w:sz w:val="17"/>
                <w:szCs w:val="17"/>
              </w:rPr>
            </w:pPr>
          </w:p>
        </w:tc>
      </w:tr>
      <w:tr w:rsidR="00FB67F9" w14:paraId="606F7C6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C4E"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auto"/>
            <w:tcMar>
              <w:top w:w="40" w:type="dxa"/>
              <w:left w:w="40" w:type="dxa"/>
              <w:bottom w:w="40" w:type="dxa"/>
            </w:tcMar>
            <w:vAlign w:val="bottom"/>
          </w:tcPr>
          <w:p w14:paraId="606F7C4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2,655</w:t>
            </w:r>
          </w:p>
        </w:tc>
        <w:tc>
          <w:tcPr>
            <w:tcW w:w="0" w:type="auto"/>
            <w:tcBorders>
              <w:top w:val="single" w:sz="8" w:space="0" w:color="808080"/>
            </w:tcBorders>
            <w:shd w:val="clear" w:color="auto" w:fill="auto"/>
            <w:vAlign w:val="bottom"/>
          </w:tcPr>
          <w:p w14:paraId="606F7C5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5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5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1,617</w:t>
            </w:r>
          </w:p>
        </w:tc>
        <w:tc>
          <w:tcPr>
            <w:tcW w:w="0" w:type="auto"/>
            <w:tcBorders>
              <w:top w:val="single" w:sz="8" w:space="0" w:color="808080"/>
            </w:tcBorders>
            <w:shd w:val="clear" w:color="auto" w:fill="auto"/>
            <w:vAlign w:val="bottom"/>
          </w:tcPr>
          <w:p w14:paraId="606F7C5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5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5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897</w:t>
            </w:r>
          </w:p>
        </w:tc>
        <w:tc>
          <w:tcPr>
            <w:tcW w:w="0" w:type="auto"/>
            <w:tcBorders>
              <w:top w:val="single" w:sz="8" w:space="0" w:color="808080"/>
            </w:tcBorders>
            <w:shd w:val="clear" w:color="auto" w:fill="auto"/>
            <w:vAlign w:val="bottom"/>
          </w:tcPr>
          <w:p w14:paraId="606F7C5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5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5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937</w:t>
            </w:r>
          </w:p>
        </w:tc>
        <w:tc>
          <w:tcPr>
            <w:tcW w:w="0" w:type="auto"/>
            <w:tcBorders>
              <w:top w:val="single" w:sz="8" w:space="0" w:color="808080"/>
            </w:tcBorders>
            <w:shd w:val="clear" w:color="auto" w:fill="auto"/>
            <w:vAlign w:val="bottom"/>
          </w:tcPr>
          <w:p w14:paraId="606F7C5A"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5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C5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5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5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6,106</w:t>
            </w:r>
          </w:p>
        </w:tc>
        <w:tc>
          <w:tcPr>
            <w:tcW w:w="0" w:type="auto"/>
            <w:tcBorders>
              <w:top w:val="single" w:sz="8" w:space="0" w:color="808080"/>
            </w:tcBorders>
            <w:shd w:val="clear" w:color="auto" w:fill="auto"/>
            <w:vAlign w:val="bottom"/>
          </w:tcPr>
          <w:p w14:paraId="606F7C6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6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6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256</w:t>
            </w:r>
          </w:p>
        </w:tc>
        <w:tc>
          <w:tcPr>
            <w:tcW w:w="0" w:type="auto"/>
            <w:tcBorders>
              <w:top w:val="single" w:sz="8" w:space="0" w:color="808080"/>
            </w:tcBorders>
            <w:shd w:val="clear" w:color="auto" w:fill="auto"/>
            <w:vAlign w:val="bottom"/>
          </w:tcPr>
          <w:p w14:paraId="606F7C6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6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6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C6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C6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C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6,362</w:t>
            </w:r>
          </w:p>
        </w:tc>
        <w:tc>
          <w:tcPr>
            <w:tcW w:w="0" w:type="auto"/>
            <w:tcBorders>
              <w:top w:val="single" w:sz="8" w:space="0" w:color="808080"/>
            </w:tcBorders>
            <w:shd w:val="clear" w:color="auto" w:fill="auto"/>
            <w:vAlign w:val="bottom"/>
          </w:tcPr>
          <w:p w14:paraId="606F7C69" w14:textId="77777777" w:rsidR="00FB67F9" w:rsidRDefault="00FB67F9">
            <w:pPr>
              <w:textAlignment w:val="bottom"/>
              <w:rPr>
                <w:rFonts w:ascii="Times New Roman" w:hAnsi="Times New Roman"/>
                <w:sz w:val="20"/>
                <w:szCs w:val="20"/>
              </w:rPr>
            </w:pPr>
          </w:p>
        </w:tc>
      </w:tr>
      <w:tr w:rsidR="00FB67F9" w14:paraId="606F7C7E"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C6B"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6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1,127</w:t>
            </w:r>
          </w:p>
        </w:tc>
        <w:tc>
          <w:tcPr>
            <w:tcW w:w="0" w:type="auto"/>
            <w:tcBorders>
              <w:top w:val="single" w:sz="8" w:space="0" w:color="808080"/>
              <w:bottom w:val="single" w:sz="8" w:space="0" w:color="808080"/>
            </w:tcBorders>
            <w:shd w:val="clear" w:color="auto" w:fill="auto"/>
            <w:vAlign w:val="bottom"/>
          </w:tcPr>
          <w:p w14:paraId="606F7C6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6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696</w:t>
            </w:r>
          </w:p>
        </w:tc>
        <w:tc>
          <w:tcPr>
            <w:tcW w:w="0" w:type="auto"/>
            <w:tcBorders>
              <w:top w:val="single" w:sz="8" w:space="0" w:color="808080"/>
              <w:bottom w:val="single" w:sz="8" w:space="0" w:color="808080"/>
            </w:tcBorders>
            <w:shd w:val="clear" w:color="auto" w:fill="auto"/>
            <w:vAlign w:val="bottom"/>
          </w:tcPr>
          <w:p w14:paraId="606F7C6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7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647</w:t>
            </w:r>
          </w:p>
        </w:tc>
        <w:tc>
          <w:tcPr>
            <w:tcW w:w="0" w:type="auto"/>
            <w:tcBorders>
              <w:top w:val="single" w:sz="8" w:space="0" w:color="808080"/>
              <w:bottom w:val="single" w:sz="8" w:space="0" w:color="808080"/>
            </w:tcBorders>
            <w:shd w:val="clear" w:color="auto" w:fill="auto"/>
            <w:vAlign w:val="bottom"/>
          </w:tcPr>
          <w:p w14:paraId="606F7C7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7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361</w:t>
            </w:r>
          </w:p>
        </w:tc>
        <w:tc>
          <w:tcPr>
            <w:tcW w:w="0" w:type="auto"/>
            <w:tcBorders>
              <w:top w:val="single" w:sz="8" w:space="0" w:color="808080"/>
              <w:bottom w:val="single" w:sz="8" w:space="0" w:color="808080"/>
            </w:tcBorders>
            <w:shd w:val="clear" w:color="auto" w:fill="auto"/>
            <w:vAlign w:val="bottom"/>
          </w:tcPr>
          <w:p w14:paraId="606F7C7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7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C7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7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2,831</w:t>
            </w:r>
          </w:p>
        </w:tc>
        <w:tc>
          <w:tcPr>
            <w:tcW w:w="0" w:type="auto"/>
            <w:tcBorders>
              <w:top w:val="single" w:sz="8" w:space="0" w:color="808080"/>
              <w:bottom w:val="single" w:sz="8" w:space="0" w:color="808080"/>
            </w:tcBorders>
            <w:shd w:val="clear" w:color="auto" w:fill="auto"/>
            <w:vAlign w:val="bottom"/>
          </w:tcPr>
          <w:p w14:paraId="606F7C7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7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141</w:t>
            </w:r>
          </w:p>
        </w:tc>
        <w:tc>
          <w:tcPr>
            <w:tcW w:w="0" w:type="auto"/>
            <w:tcBorders>
              <w:top w:val="single" w:sz="8" w:space="0" w:color="808080"/>
              <w:bottom w:val="single" w:sz="8" w:space="0" w:color="808080"/>
            </w:tcBorders>
            <w:shd w:val="clear" w:color="auto" w:fill="auto"/>
            <w:vAlign w:val="bottom"/>
          </w:tcPr>
          <w:p w14:paraId="606F7C7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7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C7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C7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2,972</w:t>
            </w:r>
          </w:p>
        </w:tc>
        <w:tc>
          <w:tcPr>
            <w:tcW w:w="0" w:type="auto"/>
            <w:tcBorders>
              <w:top w:val="single" w:sz="8" w:space="0" w:color="808080"/>
              <w:bottom w:val="single" w:sz="8" w:space="0" w:color="808080"/>
            </w:tcBorders>
            <w:shd w:val="clear" w:color="auto" w:fill="auto"/>
            <w:vAlign w:val="bottom"/>
          </w:tcPr>
          <w:p w14:paraId="606F7C7D" w14:textId="77777777" w:rsidR="00FB67F9" w:rsidRDefault="00FB67F9">
            <w:pPr>
              <w:textAlignment w:val="bottom"/>
              <w:rPr>
                <w:rFonts w:ascii="Times New Roman" w:hAnsi="Times New Roman"/>
                <w:sz w:val="20"/>
                <w:szCs w:val="20"/>
              </w:rPr>
            </w:pPr>
          </w:p>
        </w:tc>
      </w:tr>
      <w:tr w:rsidR="00FB67F9" w14:paraId="606F7C92" w14:textId="77777777">
        <w:tc>
          <w:tcPr>
            <w:tcW w:w="0" w:type="auto"/>
            <w:shd w:val="clear" w:color="auto" w:fill="auto"/>
            <w:tcMar>
              <w:top w:w="40" w:type="dxa"/>
              <w:left w:w="240" w:type="dxa"/>
              <w:bottom w:w="40" w:type="dxa"/>
              <w:right w:w="40" w:type="dxa"/>
            </w:tcMar>
            <w:vAlign w:val="bottom"/>
          </w:tcPr>
          <w:p w14:paraId="606F7C7F"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auto"/>
            <w:tcMar>
              <w:top w:w="40" w:type="dxa"/>
              <w:left w:w="40" w:type="dxa"/>
              <w:bottom w:w="40" w:type="dxa"/>
            </w:tcMar>
            <w:vAlign w:val="bottom"/>
          </w:tcPr>
          <w:p w14:paraId="606F7C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81"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83"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85"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8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C87"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8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vAlign w:val="bottom"/>
          </w:tcPr>
          <w:p w14:paraId="606F7C89"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8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vAlign w:val="bottom"/>
          </w:tcPr>
          <w:p w14:paraId="606F7C8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8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auto"/>
            <w:vAlign w:val="bottom"/>
          </w:tcPr>
          <w:p w14:paraId="606F7C8D"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8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vAlign w:val="bottom"/>
          </w:tcPr>
          <w:p w14:paraId="606F7C8F"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C9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w:t>
            </w:r>
          </w:p>
        </w:tc>
        <w:tc>
          <w:tcPr>
            <w:tcW w:w="0" w:type="auto"/>
            <w:shd w:val="clear" w:color="auto" w:fill="auto"/>
            <w:vAlign w:val="bottom"/>
          </w:tcPr>
          <w:p w14:paraId="606F7C91" w14:textId="77777777" w:rsidR="00FB67F9" w:rsidRDefault="00FB67F9">
            <w:pPr>
              <w:textAlignment w:val="bottom"/>
              <w:rPr>
                <w:rFonts w:ascii="Times New Roman" w:hAnsi="Times New Roman"/>
                <w:sz w:val="20"/>
                <w:szCs w:val="20"/>
              </w:rPr>
            </w:pPr>
          </w:p>
        </w:tc>
      </w:tr>
      <w:tr w:rsidR="00FB67F9" w14:paraId="606F7CAF"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C9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9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9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3,782</w:t>
            </w:r>
          </w:p>
        </w:tc>
        <w:tc>
          <w:tcPr>
            <w:tcW w:w="0" w:type="auto"/>
            <w:tcBorders>
              <w:top w:val="single" w:sz="8" w:space="0" w:color="E87722"/>
              <w:bottom w:val="single" w:sz="8" w:space="0" w:color="E87722"/>
            </w:tcBorders>
            <w:shd w:val="clear" w:color="auto" w:fill="auto"/>
            <w:vAlign w:val="bottom"/>
          </w:tcPr>
          <w:p w14:paraId="606F7C9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9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9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2,313</w:t>
            </w:r>
          </w:p>
        </w:tc>
        <w:tc>
          <w:tcPr>
            <w:tcW w:w="0" w:type="auto"/>
            <w:tcBorders>
              <w:top w:val="single" w:sz="8" w:space="0" w:color="E87722"/>
              <w:bottom w:val="single" w:sz="8" w:space="0" w:color="E87722"/>
            </w:tcBorders>
            <w:shd w:val="clear" w:color="auto" w:fill="auto"/>
            <w:vAlign w:val="bottom"/>
          </w:tcPr>
          <w:p w14:paraId="606F7C9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9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9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1,544</w:t>
            </w:r>
          </w:p>
        </w:tc>
        <w:tc>
          <w:tcPr>
            <w:tcW w:w="0" w:type="auto"/>
            <w:tcBorders>
              <w:top w:val="single" w:sz="8" w:space="0" w:color="E87722"/>
              <w:bottom w:val="single" w:sz="8" w:space="0" w:color="E87722"/>
            </w:tcBorders>
            <w:shd w:val="clear" w:color="auto" w:fill="auto"/>
            <w:vAlign w:val="bottom"/>
          </w:tcPr>
          <w:p w14:paraId="606F7C9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9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9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1,298</w:t>
            </w:r>
          </w:p>
        </w:tc>
        <w:tc>
          <w:tcPr>
            <w:tcW w:w="0" w:type="auto"/>
            <w:tcBorders>
              <w:top w:val="single" w:sz="8" w:space="0" w:color="E87722"/>
              <w:bottom w:val="single" w:sz="8" w:space="0" w:color="E87722"/>
            </w:tcBorders>
            <w:shd w:val="clear" w:color="auto" w:fill="auto"/>
            <w:vAlign w:val="bottom"/>
          </w:tcPr>
          <w:p w14:paraId="606F7C9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A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A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vAlign w:val="bottom"/>
          </w:tcPr>
          <w:p w14:paraId="606F7CA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A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A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8,946</w:t>
            </w:r>
          </w:p>
        </w:tc>
        <w:tc>
          <w:tcPr>
            <w:tcW w:w="0" w:type="auto"/>
            <w:tcBorders>
              <w:top w:val="single" w:sz="8" w:space="0" w:color="E87722"/>
              <w:bottom w:val="single" w:sz="8" w:space="0" w:color="E87722"/>
            </w:tcBorders>
            <w:shd w:val="clear" w:color="auto" w:fill="auto"/>
            <w:vAlign w:val="bottom"/>
          </w:tcPr>
          <w:p w14:paraId="606F7CA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A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A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425</w:t>
            </w:r>
          </w:p>
        </w:tc>
        <w:tc>
          <w:tcPr>
            <w:tcW w:w="0" w:type="auto"/>
            <w:tcBorders>
              <w:top w:val="single" w:sz="8" w:space="0" w:color="E87722"/>
              <w:bottom w:val="single" w:sz="8" w:space="0" w:color="E87722"/>
            </w:tcBorders>
            <w:shd w:val="clear" w:color="auto" w:fill="auto"/>
            <w:vAlign w:val="bottom"/>
          </w:tcPr>
          <w:p w14:paraId="606F7CA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A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A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vAlign w:val="bottom"/>
          </w:tcPr>
          <w:p w14:paraId="606F7CA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CA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CA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9,374</w:t>
            </w:r>
          </w:p>
        </w:tc>
        <w:tc>
          <w:tcPr>
            <w:tcW w:w="0" w:type="auto"/>
            <w:tcBorders>
              <w:top w:val="single" w:sz="8" w:space="0" w:color="E87722"/>
              <w:bottom w:val="single" w:sz="8" w:space="0" w:color="E87722"/>
            </w:tcBorders>
            <w:shd w:val="clear" w:color="auto" w:fill="auto"/>
            <w:vAlign w:val="bottom"/>
          </w:tcPr>
          <w:p w14:paraId="606F7CAE" w14:textId="77777777" w:rsidR="00FB67F9" w:rsidRDefault="00FB67F9">
            <w:pPr>
              <w:textAlignment w:val="bottom"/>
              <w:rPr>
                <w:rFonts w:ascii="Times New Roman" w:hAnsi="Times New Roman"/>
                <w:sz w:val="20"/>
                <w:szCs w:val="20"/>
              </w:rPr>
            </w:pPr>
          </w:p>
        </w:tc>
      </w:tr>
    </w:tbl>
    <w:p w14:paraId="606F7CB0" w14:textId="77777777" w:rsidR="00FB67F9" w:rsidRDefault="00FB67F9">
      <w:pPr>
        <w:spacing w:line="312" w:lineRule="auto"/>
        <w:rPr>
          <w:rFonts w:ascii="Times New Roman" w:hAnsi="Times New Roman"/>
          <w:sz w:val="20"/>
          <w:szCs w:val="20"/>
        </w:rPr>
      </w:pPr>
    </w:p>
    <w:p w14:paraId="606F7CB1" w14:textId="77777777" w:rsidR="00FB67F9" w:rsidRDefault="00FB67F9">
      <w:pPr>
        <w:rPr>
          <w:rFonts w:ascii="Times New Roman" w:hAnsi="Times New Roman"/>
          <w:sz w:val="20"/>
          <w:szCs w:val="20"/>
        </w:rPr>
      </w:pPr>
    </w:p>
    <w:p w14:paraId="606F7CB2"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20</w:t>
      </w:r>
      <w:r>
        <w:rPr>
          <w:rFonts w:ascii="sans-serif" w:eastAsia="sans-serif" w:hAnsi="sans-serif" w:cs="sans-serif"/>
          <w:sz w:val="17"/>
          <w:szCs w:val="17"/>
        </w:rPr>
        <w:t xml:space="preserve"> </w:t>
      </w:r>
    </w:p>
    <w:p w14:paraId="606F7CB3" w14:textId="77777777" w:rsidR="00FB67F9" w:rsidRDefault="00E839DF">
      <w:r>
        <w:rPr>
          <w:rFonts w:ascii="Times New Roman" w:hAnsi="Times New Roman"/>
          <w:sz w:val="17"/>
          <w:szCs w:val="17"/>
        </w:rPr>
        <w:pict w14:anchorId="606F8F91">
          <v:rect id="_x0000_i1046" style="width:415.3pt;height:1.5pt" o:hralign="center" o:hrstd="t" o:hr="t" fillcolor="#a0a0a0" stroked="f"/>
        </w:pict>
      </w:r>
    </w:p>
    <w:p w14:paraId="606F7CB4" w14:textId="77777777" w:rsidR="00FB67F9" w:rsidRDefault="00FB67F9">
      <w:pPr>
        <w:rPr>
          <w:rFonts w:ascii="Times New Roman" w:hAnsi="Times New Roman"/>
          <w:sz w:val="17"/>
          <w:szCs w:val="17"/>
        </w:rPr>
      </w:pPr>
    </w:p>
    <w:p w14:paraId="606F7CB5" w14:textId="77777777" w:rsidR="00FB67F9" w:rsidRDefault="00E839DF">
      <w:pPr>
        <w:rPr>
          <w:rFonts w:ascii="Times New Roman" w:hAnsi="Times New Roman"/>
          <w:sz w:val="17"/>
          <w:szCs w:val="17"/>
        </w:rPr>
      </w:pPr>
      <w:hyperlink r:id="rId90" w:anchor="s42C493F7582652B69E70047AB812E6A5" w:history="1">
        <w:r>
          <w:rPr>
            <w:rStyle w:val="a5"/>
            <w:rFonts w:ascii="sans-serif" w:eastAsia="sans-serif" w:hAnsi="sans-serif" w:cs="sans-serif"/>
            <w:sz w:val="17"/>
            <w:szCs w:val="17"/>
          </w:rPr>
          <w:t>Ta</w:t>
        </w:r>
        <w:r>
          <w:rPr>
            <w:rStyle w:val="a5"/>
            <w:rFonts w:ascii="sans-serif" w:eastAsia="sans-serif" w:hAnsi="sans-serif" w:cs="sans-serif"/>
            <w:sz w:val="17"/>
            <w:szCs w:val="17"/>
          </w:rPr>
          <w:t>ble of Contents</w:t>
        </w:r>
      </w:hyperlink>
    </w:p>
    <w:p w14:paraId="606F7CB6" w14:textId="77777777" w:rsidR="00FB67F9" w:rsidRDefault="00FB67F9">
      <w:pPr>
        <w:rPr>
          <w:rFonts w:ascii="Times New Roman" w:hAnsi="Times New Roman"/>
          <w:sz w:val="17"/>
          <w:szCs w:val="17"/>
        </w:rPr>
      </w:pPr>
    </w:p>
    <w:p w14:paraId="606F7CB7"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446"/>
        <w:gridCol w:w="136"/>
        <w:gridCol w:w="607"/>
        <w:gridCol w:w="6"/>
        <w:gridCol w:w="136"/>
        <w:gridCol w:w="567"/>
        <w:gridCol w:w="6"/>
        <w:gridCol w:w="135"/>
        <w:gridCol w:w="594"/>
        <w:gridCol w:w="6"/>
        <w:gridCol w:w="136"/>
        <w:gridCol w:w="607"/>
        <w:gridCol w:w="6"/>
        <w:gridCol w:w="136"/>
        <w:gridCol w:w="661"/>
        <w:gridCol w:w="6"/>
        <w:gridCol w:w="135"/>
        <w:gridCol w:w="520"/>
        <w:gridCol w:w="6"/>
        <w:gridCol w:w="135"/>
        <w:gridCol w:w="700"/>
        <w:gridCol w:w="6"/>
        <w:gridCol w:w="136"/>
        <w:gridCol w:w="810"/>
        <w:gridCol w:w="6"/>
        <w:gridCol w:w="135"/>
        <w:gridCol w:w="520"/>
        <w:gridCol w:w="6"/>
      </w:tblGrid>
      <w:tr w:rsidR="00FB67F9" w14:paraId="606F7CB9" w14:textId="77777777">
        <w:tc>
          <w:tcPr>
            <w:tcW w:w="0" w:type="auto"/>
            <w:gridSpan w:val="28"/>
            <w:shd w:val="clear" w:color="auto" w:fill="auto"/>
            <w:vAlign w:val="center"/>
          </w:tcPr>
          <w:p w14:paraId="606F7CB8" w14:textId="77777777" w:rsidR="00FB67F9" w:rsidRDefault="00FB67F9">
            <w:pPr>
              <w:rPr>
                <w:rFonts w:ascii="Times New Roman" w:hAnsi="Times New Roman"/>
                <w:sz w:val="20"/>
                <w:szCs w:val="20"/>
              </w:rPr>
            </w:pPr>
          </w:p>
        </w:tc>
      </w:tr>
      <w:tr w:rsidR="00FB67F9" w14:paraId="606F7CD6" w14:textId="77777777">
        <w:tc>
          <w:tcPr>
            <w:tcW w:w="1250" w:type="pct"/>
            <w:shd w:val="clear" w:color="auto" w:fill="auto"/>
            <w:vAlign w:val="center"/>
          </w:tcPr>
          <w:p w14:paraId="606F7CBA" w14:textId="77777777" w:rsidR="00FB67F9" w:rsidRDefault="00FB67F9">
            <w:pPr>
              <w:rPr>
                <w:rFonts w:ascii="Times New Roman" w:hAnsi="Times New Roman"/>
                <w:sz w:val="20"/>
                <w:szCs w:val="20"/>
              </w:rPr>
            </w:pPr>
          </w:p>
        </w:tc>
        <w:tc>
          <w:tcPr>
            <w:tcW w:w="50" w:type="pct"/>
            <w:shd w:val="clear" w:color="auto" w:fill="auto"/>
            <w:vAlign w:val="center"/>
          </w:tcPr>
          <w:p w14:paraId="606F7CBB" w14:textId="77777777" w:rsidR="00FB67F9" w:rsidRDefault="00FB67F9">
            <w:pPr>
              <w:rPr>
                <w:rFonts w:ascii="Times New Roman" w:hAnsi="Times New Roman"/>
                <w:sz w:val="20"/>
                <w:szCs w:val="20"/>
              </w:rPr>
            </w:pPr>
          </w:p>
        </w:tc>
        <w:tc>
          <w:tcPr>
            <w:tcW w:w="300" w:type="pct"/>
            <w:shd w:val="clear" w:color="auto" w:fill="auto"/>
            <w:vAlign w:val="center"/>
          </w:tcPr>
          <w:p w14:paraId="606F7CBC" w14:textId="77777777" w:rsidR="00FB67F9" w:rsidRDefault="00FB67F9">
            <w:pPr>
              <w:rPr>
                <w:rFonts w:ascii="Times New Roman" w:hAnsi="Times New Roman"/>
                <w:sz w:val="20"/>
                <w:szCs w:val="20"/>
              </w:rPr>
            </w:pPr>
          </w:p>
        </w:tc>
        <w:tc>
          <w:tcPr>
            <w:tcW w:w="50" w:type="pct"/>
            <w:shd w:val="clear" w:color="auto" w:fill="auto"/>
            <w:vAlign w:val="center"/>
          </w:tcPr>
          <w:p w14:paraId="606F7CBD" w14:textId="77777777" w:rsidR="00FB67F9" w:rsidRDefault="00FB67F9">
            <w:pPr>
              <w:rPr>
                <w:rFonts w:ascii="Times New Roman" w:hAnsi="Times New Roman"/>
                <w:sz w:val="20"/>
                <w:szCs w:val="20"/>
              </w:rPr>
            </w:pPr>
          </w:p>
        </w:tc>
        <w:tc>
          <w:tcPr>
            <w:tcW w:w="50" w:type="pct"/>
            <w:shd w:val="clear" w:color="auto" w:fill="auto"/>
            <w:vAlign w:val="center"/>
          </w:tcPr>
          <w:p w14:paraId="606F7CBE" w14:textId="77777777" w:rsidR="00FB67F9" w:rsidRDefault="00FB67F9">
            <w:pPr>
              <w:rPr>
                <w:rFonts w:ascii="Times New Roman" w:hAnsi="Times New Roman"/>
                <w:sz w:val="20"/>
                <w:szCs w:val="20"/>
              </w:rPr>
            </w:pPr>
          </w:p>
        </w:tc>
        <w:tc>
          <w:tcPr>
            <w:tcW w:w="300" w:type="pct"/>
            <w:shd w:val="clear" w:color="auto" w:fill="auto"/>
            <w:vAlign w:val="center"/>
          </w:tcPr>
          <w:p w14:paraId="606F7CBF" w14:textId="77777777" w:rsidR="00FB67F9" w:rsidRDefault="00FB67F9">
            <w:pPr>
              <w:rPr>
                <w:rFonts w:ascii="Times New Roman" w:hAnsi="Times New Roman"/>
                <w:sz w:val="20"/>
                <w:szCs w:val="20"/>
              </w:rPr>
            </w:pPr>
          </w:p>
        </w:tc>
        <w:tc>
          <w:tcPr>
            <w:tcW w:w="50" w:type="pct"/>
            <w:shd w:val="clear" w:color="auto" w:fill="auto"/>
            <w:vAlign w:val="center"/>
          </w:tcPr>
          <w:p w14:paraId="606F7CC0" w14:textId="77777777" w:rsidR="00FB67F9" w:rsidRDefault="00FB67F9">
            <w:pPr>
              <w:rPr>
                <w:rFonts w:ascii="Times New Roman" w:hAnsi="Times New Roman"/>
                <w:sz w:val="20"/>
                <w:szCs w:val="20"/>
              </w:rPr>
            </w:pPr>
          </w:p>
        </w:tc>
        <w:tc>
          <w:tcPr>
            <w:tcW w:w="50" w:type="pct"/>
            <w:shd w:val="clear" w:color="auto" w:fill="auto"/>
            <w:vAlign w:val="center"/>
          </w:tcPr>
          <w:p w14:paraId="606F7CC1" w14:textId="77777777" w:rsidR="00FB67F9" w:rsidRDefault="00FB67F9">
            <w:pPr>
              <w:rPr>
                <w:rFonts w:ascii="Times New Roman" w:hAnsi="Times New Roman"/>
                <w:sz w:val="20"/>
                <w:szCs w:val="20"/>
              </w:rPr>
            </w:pPr>
          </w:p>
        </w:tc>
        <w:tc>
          <w:tcPr>
            <w:tcW w:w="300" w:type="pct"/>
            <w:shd w:val="clear" w:color="auto" w:fill="auto"/>
            <w:vAlign w:val="center"/>
          </w:tcPr>
          <w:p w14:paraId="606F7CC2" w14:textId="77777777" w:rsidR="00FB67F9" w:rsidRDefault="00FB67F9">
            <w:pPr>
              <w:rPr>
                <w:rFonts w:ascii="Times New Roman" w:hAnsi="Times New Roman"/>
                <w:sz w:val="20"/>
                <w:szCs w:val="20"/>
              </w:rPr>
            </w:pPr>
          </w:p>
        </w:tc>
        <w:tc>
          <w:tcPr>
            <w:tcW w:w="50" w:type="pct"/>
            <w:shd w:val="clear" w:color="auto" w:fill="auto"/>
            <w:vAlign w:val="center"/>
          </w:tcPr>
          <w:p w14:paraId="606F7CC3" w14:textId="77777777" w:rsidR="00FB67F9" w:rsidRDefault="00FB67F9">
            <w:pPr>
              <w:rPr>
                <w:rFonts w:ascii="Times New Roman" w:hAnsi="Times New Roman"/>
                <w:sz w:val="20"/>
                <w:szCs w:val="20"/>
              </w:rPr>
            </w:pPr>
          </w:p>
        </w:tc>
        <w:tc>
          <w:tcPr>
            <w:tcW w:w="50" w:type="pct"/>
            <w:shd w:val="clear" w:color="auto" w:fill="auto"/>
            <w:vAlign w:val="center"/>
          </w:tcPr>
          <w:p w14:paraId="606F7CC4" w14:textId="77777777" w:rsidR="00FB67F9" w:rsidRDefault="00FB67F9">
            <w:pPr>
              <w:rPr>
                <w:rFonts w:ascii="Times New Roman" w:hAnsi="Times New Roman"/>
                <w:sz w:val="20"/>
                <w:szCs w:val="20"/>
              </w:rPr>
            </w:pPr>
          </w:p>
        </w:tc>
        <w:tc>
          <w:tcPr>
            <w:tcW w:w="300" w:type="pct"/>
            <w:shd w:val="clear" w:color="auto" w:fill="auto"/>
            <w:vAlign w:val="center"/>
          </w:tcPr>
          <w:p w14:paraId="606F7CC5" w14:textId="77777777" w:rsidR="00FB67F9" w:rsidRDefault="00FB67F9">
            <w:pPr>
              <w:rPr>
                <w:rFonts w:ascii="Times New Roman" w:hAnsi="Times New Roman"/>
                <w:sz w:val="20"/>
                <w:szCs w:val="20"/>
              </w:rPr>
            </w:pPr>
          </w:p>
        </w:tc>
        <w:tc>
          <w:tcPr>
            <w:tcW w:w="50" w:type="pct"/>
            <w:shd w:val="clear" w:color="auto" w:fill="auto"/>
            <w:vAlign w:val="center"/>
          </w:tcPr>
          <w:p w14:paraId="606F7CC6" w14:textId="77777777" w:rsidR="00FB67F9" w:rsidRDefault="00FB67F9">
            <w:pPr>
              <w:rPr>
                <w:rFonts w:ascii="Times New Roman" w:hAnsi="Times New Roman"/>
                <w:sz w:val="20"/>
                <w:szCs w:val="20"/>
              </w:rPr>
            </w:pPr>
          </w:p>
        </w:tc>
        <w:tc>
          <w:tcPr>
            <w:tcW w:w="50" w:type="pct"/>
            <w:shd w:val="clear" w:color="auto" w:fill="auto"/>
            <w:vAlign w:val="center"/>
          </w:tcPr>
          <w:p w14:paraId="606F7CC7" w14:textId="77777777" w:rsidR="00FB67F9" w:rsidRDefault="00FB67F9">
            <w:pPr>
              <w:rPr>
                <w:rFonts w:ascii="Times New Roman" w:hAnsi="Times New Roman"/>
                <w:sz w:val="20"/>
                <w:szCs w:val="20"/>
              </w:rPr>
            </w:pPr>
          </w:p>
        </w:tc>
        <w:tc>
          <w:tcPr>
            <w:tcW w:w="300" w:type="pct"/>
            <w:shd w:val="clear" w:color="auto" w:fill="auto"/>
            <w:vAlign w:val="center"/>
          </w:tcPr>
          <w:p w14:paraId="606F7CC8" w14:textId="77777777" w:rsidR="00FB67F9" w:rsidRDefault="00FB67F9">
            <w:pPr>
              <w:rPr>
                <w:rFonts w:ascii="Times New Roman" w:hAnsi="Times New Roman"/>
                <w:sz w:val="20"/>
                <w:szCs w:val="20"/>
              </w:rPr>
            </w:pPr>
          </w:p>
        </w:tc>
        <w:tc>
          <w:tcPr>
            <w:tcW w:w="50" w:type="pct"/>
            <w:shd w:val="clear" w:color="auto" w:fill="auto"/>
            <w:vAlign w:val="center"/>
          </w:tcPr>
          <w:p w14:paraId="606F7CC9" w14:textId="77777777" w:rsidR="00FB67F9" w:rsidRDefault="00FB67F9">
            <w:pPr>
              <w:rPr>
                <w:rFonts w:ascii="Times New Roman" w:hAnsi="Times New Roman"/>
                <w:sz w:val="20"/>
                <w:szCs w:val="20"/>
              </w:rPr>
            </w:pPr>
          </w:p>
        </w:tc>
        <w:tc>
          <w:tcPr>
            <w:tcW w:w="50" w:type="pct"/>
            <w:shd w:val="clear" w:color="auto" w:fill="auto"/>
            <w:vAlign w:val="center"/>
          </w:tcPr>
          <w:p w14:paraId="606F7CCA" w14:textId="77777777" w:rsidR="00FB67F9" w:rsidRDefault="00FB67F9">
            <w:pPr>
              <w:rPr>
                <w:rFonts w:ascii="Times New Roman" w:hAnsi="Times New Roman"/>
                <w:sz w:val="20"/>
                <w:szCs w:val="20"/>
              </w:rPr>
            </w:pPr>
          </w:p>
        </w:tc>
        <w:tc>
          <w:tcPr>
            <w:tcW w:w="300" w:type="pct"/>
            <w:shd w:val="clear" w:color="auto" w:fill="auto"/>
            <w:vAlign w:val="center"/>
          </w:tcPr>
          <w:p w14:paraId="606F7CCB" w14:textId="77777777" w:rsidR="00FB67F9" w:rsidRDefault="00FB67F9">
            <w:pPr>
              <w:rPr>
                <w:rFonts w:ascii="Times New Roman" w:hAnsi="Times New Roman"/>
                <w:sz w:val="20"/>
                <w:szCs w:val="20"/>
              </w:rPr>
            </w:pPr>
          </w:p>
        </w:tc>
        <w:tc>
          <w:tcPr>
            <w:tcW w:w="50" w:type="pct"/>
            <w:shd w:val="clear" w:color="auto" w:fill="auto"/>
            <w:vAlign w:val="center"/>
          </w:tcPr>
          <w:p w14:paraId="606F7CCC" w14:textId="77777777" w:rsidR="00FB67F9" w:rsidRDefault="00FB67F9">
            <w:pPr>
              <w:rPr>
                <w:rFonts w:ascii="Times New Roman" w:hAnsi="Times New Roman"/>
                <w:sz w:val="20"/>
                <w:szCs w:val="20"/>
              </w:rPr>
            </w:pPr>
          </w:p>
        </w:tc>
        <w:tc>
          <w:tcPr>
            <w:tcW w:w="50" w:type="pct"/>
            <w:shd w:val="clear" w:color="auto" w:fill="auto"/>
            <w:vAlign w:val="center"/>
          </w:tcPr>
          <w:p w14:paraId="606F7CCD" w14:textId="77777777" w:rsidR="00FB67F9" w:rsidRDefault="00FB67F9">
            <w:pPr>
              <w:rPr>
                <w:rFonts w:ascii="Times New Roman" w:hAnsi="Times New Roman"/>
                <w:sz w:val="20"/>
                <w:szCs w:val="20"/>
              </w:rPr>
            </w:pPr>
          </w:p>
        </w:tc>
        <w:tc>
          <w:tcPr>
            <w:tcW w:w="350" w:type="pct"/>
            <w:shd w:val="clear" w:color="auto" w:fill="auto"/>
            <w:vAlign w:val="center"/>
          </w:tcPr>
          <w:p w14:paraId="606F7CCE" w14:textId="77777777" w:rsidR="00FB67F9" w:rsidRDefault="00FB67F9">
            <w:pPr>
              <w:rPr>
                <w:rFonts w:ascii="Times New Roman" w:hAnsi="Times New Roman"/>
                <w:sz w:val="20"/>
                <w:szCs w:val="20"/>
              </w:rPr>
            </w:pPr>
          </w:p>
        </w:tc>
        <w:tc>
          <w:tcPr>
            <w:tcW w:w="50" w:type="pct"/>
            <w:shd w:val="clear" w:color="auto" w:fill="auto"/>
            <w:vAlign w:val="center"/>
          </w:tcPr>
          <w:p w14:paraId="606F7CCF" w14:textId="77777777" w:rsidR="00FB67F9" w:rsidRDefault="00FB67F9">
            <w:pPr>
              <w:rPr>
                <w:rFonts w:ascii="Times New Roman" w:hAnsi="Times New Roman"/>
                <w:sz w:val="20"/>
                <w:szCs w:val="20"/>
              </w:rPr>
            </w:pPr>
          </w:p>
        </w:tc>
        <w:tc>
          <w:tcPr>
            <w:tcW w:w="50" w:type="pct"/>
            <w:shd w:val="clear" w:color="auto" w:fill="auto"/>
            <w:vAlign w:val="center"/>
          </w:tcPr>
          <w:p w14:paraId="606F7CD0" w14:textId="77777777" w:rsidR="00FB67F9" w:rsidRDefault="00FB67F9">
            <w:pPr>
              <w:rPr>
                <w:rFonts w:ascii="Times New Roman" w:hAnsi="Times New Roman"/>
                <w:sz w:val="20"/>
                <w:szCs w:val="20"/>
              </w:rPr>
            </w:pPr>
          </w:p>
        </w:tc>
        <w:tc>
          <w:tcPr>
            <w:tcW w:w="400" w:type="pct"/>
            <w:shd w:val="clear" w:color="auto" w:fill="auto"/>
            <w:vAlign w:val="center"/>
          </w:tcPr>
          <w:p w14:paraId="606F7CD1" w14:textId="77777777" w:rsidR="00FB67F9" w:rsidRDefault="00FB67F9">
            <w:pPr>
              <w:rPr>
                <w:rFonts w:ascii="Times New Roman" w:hAnsi="Times New Roman"/>
                <w:sz w:val="20"/>
                <w:szCs w:val="20"/>
              </w:rPr>
            </w:pPr>
          </w:p>
        </w:tc>
        <w:tc>
          <w:tcPr>
            <w:tcW w:w="50" w:type="pct"/>
            <w:shd w:val="clear" w:color="auto" w:fill="auto"/>
            <w:vAlign w:val="center"/>
          </w:tcPr>
          <w:p w14:paraId="606F7CD2" w14:textId="77777777" w:rsidR="00FB67F9" w:rsidRDefault="00FB67F9">
            <w:pPr>
              <w:rPr>
                <w:rFonts w:ascii="Times New Roman" w:hAnsi="Times New Roman"/>
                <w:sz w:val="20"/>
                <w:szCs w:val="20"/>
              </w:rPr>
            </w:pPr>
          </w:p>
        </w:tc>
        <w:tc>
          <w:tcPr>
            <w:tcW w:w="50" w:type="pct"/>
            <w:shd w:val="clear" w:color="auto" w:fill="auto"/>
            <w:vAlign w:val="center"/>
          </w:tcPr>
          <w:p w14:paraId="606F7CD3" w14:textId="77777777" w:rsidR="00FB67F9" w:rsidRDefault="00FB67F9">
            <w:pPr>
              <w:rPr>
                <w:rFonts w:ascii="Times New Roman" w:hAnsi="Times New Roman"/>
                <w:sz w:val="20"/>
                <w:szCs w:val="20"/>
              </w:rPr>
            </w:pPr>
          </w:p>
        </w:tc>
        <w:tc>
          <w:tcPr>
            <w:tcW w:w="300" w:type="pct"/>
            <w:shd w:val="clear" w:color="auto" w:fill="auto"/>
            <w:vAlign w:val="center"/>
          </w:tcPr>
          <w:p w14:paraId="606F7CD4" w14:textId="77777777" w:rsidR="00FB67F9" w:rsidRDefault="00FB67F9">
            <w:pPr>
              <w:rPr>
                <w:rFonts w:ascii="Times New Roman" w:hAnsi="Times New Roman"/>
                <w:sz w:val="20"/>
                <w:szCs w:val="20"/>
              </w:rPr>
            </w:pPr>
          </w:p>
        </w:tc>
        <w:tc>
          <w:tcPr>
            <w:tcW w:w="50" w:type="pct"/>
            <w:shd w:val="clear" w:color="auto" w:fill="auto"/>
            <w:vAlign w:val="center"/>
          </w:tcPr>
          <w:p w14:paraId="606F7CD5" w14:textId="77777777" w:rsidR="00FB67F9" w:rsidRDefault="00FB67F9">
            <w:pPr>
              <w:rPr>
                <w:rFonts w:ascii="Times New Roman" w:hAnsi="Times New Roman"/>
                <w:sz w:val="20"/>
                <w:szCs w:val="20"/>
              </w:rPr>
            </w:pPr>
          </w:p>
        </w:tc>
      </w:tr>
      <w:tr w:rsidR="00FB67F9" w14:paraId="606F7CD9" w14:textId="77777777">
        <w:tc>
          <w:tcPr>
            <w:tcW w:w="0" w:type="auto"/>
            <w:shd w:val="clear" w:color="auto" w:fill="auto"/>
            <w:tcMar>
              <w:top w:w="40" w:type="dxa"/>
              <w:left w:w="40" w:type="dxa"/>
              <w:bottom w:w="40" w:type="dxa"/>
              <w:right w:w="40" w:type="dxa"/>
            </w:tcMar>
            <w:vAlign w:val="bottom"/>
          </w:tcPr>
          <w:p w14:paraId="606F7CD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E87722"/>
            </w:tcBorders>
            <w:shd w:val="clear" w:color="auto" w:fill="auto"/>
            <w:tcMar>
              <w:top w:w="40" w:type="dxa"/>
              <w:left w:w="40" w:type="dxa"/>
              <w:bottom w:w="40" w:type="dxa"/>
            </w:tcMar>
            <w:vAlign w:val="bottom"/>
          </w:tcPr>
          <w:p w14:paraId="606F7CD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 2019</w:t>
            </w:r>
          </w:p>
        </w:tc>
      </w:tr>
      <w:tr w:rsidR="00FB67F9" w14:paraId="606F7CE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CDA"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CD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NORTH AMERICA</w:t>
            </w:r>
          </w:p>
        </w:tc>
        <w:tc>
          <w:tcPr>
            <w:tcW w:w="0" w:type="auto"/>
            <w:tcBorders>
              <w:bottom w:val="single" w:sz="8" w:space="0" w:color="E87722"/>
            </w:tcBorders>
            <w:shd w:val="clear" w:color="auto" w:fill="auto"/>
            <w:vAlign w:val="bottom"/>
          </w:tcPr>
          <w:p w14:paraId="606F7CDC"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D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EUROPE, MIDDLE EAST &amp; AFRICA</w:t>
            </w:r>
          </w:p>
        </w:tc>
        <w:tc>
          <w:tcPr>
            <w:tcW w:w="0" w:type="auto"/>
            <w:tcBorders>
              <w:bottom w:val="single" w:sz="8" w:space="0" w:color="E87722"/>
            </w:tcBorders>
            <w:shd w:val="clear" w:color="auto" w:fill="auto"/>
            <w:vAlign w:val="bottom"/>
          </w:tcPr>
          <w:p w14:paraId="606F7CDE"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D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GREATER CHINA</w:t>
            </w:r>
          </w:p>
        </w:tc>
        <w:tc>
          <w:tcPr>
            <w:tcW w:w="0" w:type="auto"/>
            <w:tcBorders>
              <w:bottom w:val="single" w:sz="8" w:space="0" w:color="E87722"/>
            </w:tcBorders>
            <w:shd w:val="clear" w:color="auto" w:fill="auto"/>
            <w:vAlign w:val="bottom"/>
          </w:tcPr>
          <w:p w14:paraId="606F7CE0"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E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ASIA PACIFIC &amp; LATIN AMERICA</w:t>
            </w:r>
          </w:p>
        </w:tc>
        <w:tc>
          <w:tcPr>
            <w:tcW w:w="0" w:type="auto"/>
            <w:tcBorders>
              <w:bottom w:val="single" w:sz="8" w:space="0" w:color="E87722"/>
            </w:tcBorders>
            <w:shd w:val="clear" w:color="auto" w:fill="auto"/>
            <w:vAlign w:val="bottom"/>
          </w:tcPr>
          <w:p w14:paraId="606F7CE2"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E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GLOBAL BRAND </w:t>
            </w:r>
            <w:r>
              <w:rPr>
                <w:rFonts w:ascii="sans-serif" w:eastAsia="sans-serif" w:hAnsi="sans-serif" w:cs="sans-serif"/>
                <w:b/>
                <w:bCs/>
                <w:color w:val="000000"/>
                <w:sz w:val="17"/>
                <w:szCs w:val="17"/>
              </w:rPr>
              <w:t>DIVISIONS</w:t>
            </w:r>
          </w:p>
        </w:tc>
        <w:tc>
          <w:tcPr>
            <w:tcW w:w="0" w:type="auto"/>
            <w:tcBorders>
              <w:bottom w:val="single" w:sz="8" w:space="0" w:color="E87722"/>
            </w:tcBorders>
            <w:shd w:val="clear" w:color="auto" w:fill="auto"/>
            <w:vAlign w:val="bottom"/>
          </w:tcPr>
          <w:p w14:paraId="606F7CE4"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E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BRAND</w:t>
            </w:r>
          </w:p>
        </w:tc>
        <w:tc>
          <w:tcPr>
            <w:tcW w:w="0" w:type="auto"/>
            <w:tcBorders>
              <w:bottom w:val="single" w:sz="8" w:space="0" w:color="E87722"/>
            </w:tcBorders>
            <w:shd w:val="clear" w:color="auto" w:fill="auto"/>
            <w:vAlign w:val="bottom"/>
          </w:tcPr>
          <w:p w14:paraId="606F7CE6"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E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CONVERSE</w:t>
            </w:r>
          </w:p>
        </w:tc>
        <w:tc>
          <w:tcPr>
            <w:tcW w:w="0" w:type="auto"/>
            <w:tcBorders>
              <w:bottom w:val="single" w:sz="8" w:space="0" w:color="E87722"/>
            </w:tcBorders>
            <w:shd w:val="clear" w:color="auto" w:fill="auto"/>
            <w:vAlign w:val="bottom"/>
          </w:tcPr>
          <w:p w14:paraId="606F7CE8"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E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CORPORATE</w:t>
            </w:r>
          </w:p>
        </w:tc>
        <w:tc>
          <w:tcPr>
            <w:tcW w:w="0" w:type="auto"/>
            <w:tcBorders>
              <w:bottom w:val="single" w:sz="8" w:space="0" w:color="E87722"/>
            </w:tcBorders>
            <w:shd w:val="clear" w:color="auto" w:fill="auto"/>
            <w:vAlign w:val="bottom"/>
          </w:tcPr>
          <w:p w14:paraId="606F7CEA"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CE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INC.</w:t>
            </w:r>
          </w:p>
        </w:tc>
        <w:tc>
          <w:tcPr>
            <w:tcW w:w="0" w:type="auto"/>
            <w:tcBorders>
              <w:bottom w:val="single" w:sz="8" w:space="0" w:color="E87722"/>
            </w:tcBorders>
            <w:shd w:val="clear" w:color="auto" w:fill="auto"/>
            <w:vAlign w:val="bottom"/>
          </w:tcPr>
          <w:p w14:paraId="606F7CEC" w14:textId="77777777" w:rsidR="00FB67F9" w:rsidRDefault="00FB67F9">
            <w:pPr>
              <w:textAlignment w:val="bottom"/>
              <w:rPr>
                <w:rFonts w:ascii="Times New Roman" w:hAnsi="Times New Roman"/>
                <w:sz w:val="20"/>
                <w:szCs w:val="20"/>
              </w:rPr>
            </w:pPr>
          </w:p>
        </w:tc>
      </w:tr>
      <w:tr w:rsidR="00FB67F9" w14:paraId="606F7CF8" w14:textId="77777777">
        <w:tc>
          <w:tcPr>
            <w:tcW w:w="0" w:type="auto"/>
            <w:shd w:val="clear" w:color="auto" w:fill="auto"/>
            <w:tcMar>
              <w:top w:w="40" w:type="dxa"/>
              <w:left w:w="40" w:type="dxa"/>
              <w:bottom w:w="40" w:type="dxa"/>
              <w:right w:w="40" w:type="dxa"/>
            </w:tcMar>
            <w:vAlign w:val="bottom"/>
          </w:tcPr>
          <w:p w14:paraId="606F7CEE"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7CE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CF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D1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CF9"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7CF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CF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5,095</w:t>
            </w:r>
          </w:p>
        </w:tc>
        <w:tc>
          <w:tcPr>
            <w:tcW w:w="0" w:type="auto"/>
            <w:tcBorders>
              <w:top w:val="single" w:sz="8" w:space="0" w:color="808080"/>
            </w:tcBorders>
            <w:shd w:val="clear" w:color="auto" w:fill="FFF1E7"/>
            <w:vAlign w:val="bottom"/>
          </w:tcPr>
          <w:p w14:paraId="606F7CF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CF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CF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3,294</w:t>
            </w:r>
          </w:p>
        </w:tc>
        <w:tc>
          <w:tcPr>
            <w:tcW w:w="0" w:type="auto"/>
            <w:tcBorders>
              <w:top w:val="single" w:sz="8" w:space="0" w:color="808080"/>
            </w:tcBorders>
            <w:shd w:val="clear" w:color="auto" w:fill="FFF1E7"/>
            <w:vAlign w:val="bottom"/>
          </w:tcPr>
          <w:p w14:paraId="606F7CF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0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0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2,411</w:t>
            </w:r>
          </w:p>
        </w:tc>
        <w:tc>
          <w:tcPr>
            <w:tcW w:w="0" w:type="auto"/>
            <w:tcBorders>
              <w:top w:val="single" w:sz="8" w:space="0" w:color="808080"/>
            </w:tcBorders>
            <w:shd w:val="clear" w:color="auto" w:fill="FFF1E7"/>
            <w:vAlign w:val="bottom"/>
          </w:tcPr>
          <w:p w14:paraId="606F7D0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0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0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1,927</w:t>
            </w:r>
          </w:p>
        </w:tc>
        <w:tc>
          <w:tcPr>
            <w:tcW w:w="0" w:type="auto"/>
            <w:tcBorders>
              <w:top w:val="single" w:sz="8" w:space="0" w:color="808080"/>
            </w:tcBorders>
            <w:shd w:val="clear" w:color="auto" w:fill="FFF1E7"/>
            <w:vAlign w:val="bottom"/>
          </w:tcPr>
          <w:p w14:paraId="606F7D0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0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0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D0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0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0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12,727</w:t>
            </w:r>
          </w:p>
        </w:tc>
        <w:tc>
          <w:tcPr>
            <w:tcW w:w="0" w:type="auto"/>
            <w:tcBorders>
              <w:top w:val="single" w:sz="8" w:space="0" w:color="808080"/>
            </w:tcBorders>
            <w:shd w:val="clear" w:color="auto" w:fill="FFF1E7"/>
            <w:vAlign w:val="bottom"/>
          </w:tcPr>
          <w:p w14:paraId="606F7D0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0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0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912</w:t>
            </w:r>
          </w:p>
        </w:tc>
        <w:tc>
          <w:tcPr>
            <w:tcW w:w="0" w:type="auto"/>
            <w:tcBorders>
              <w:top w:val="single" w:sz="8" w:space="0" w:color="808080"/>
            </w:tcBorders>
            <w:shd w:val="clear" w:color="auto" w:fill="FFF1E7"/>
            <w:vAlign w:val="bottom"/>
          </w:tcPr>
          <w:p w14:paraId="606F7D0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0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1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D1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1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1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13,639</w:t>
            </w:r>
          </w:p>
        </w:tc>
        <w:tc>
          <w:tcPr>
            <w:tcW w:w="0" w:type="auto"/>
            <w:tcBorders>
              <w:top w:val="single" w:sz="8" w:space="0" w:color="808080"/>
            </w:tcBorders>
            <w:shd w:val="clear" w:color="auto" w:fill="FFF1E7"/>
            <w:vAlign w:val="bottom"/>
          </w:tcPr>
          <w:p w14:paraId="606F7D14" w14:textId="77777777" w:rsidR="00FB67F9" w:rsidRDefault="00FB67F9">
            <w:pPr>
              <w:textAlignment w:val="bottom"/>
              <w:rPr>
                <w:rFonts w:ascii="Times New Roman" w:hAnsi="Times New Roman"/>
                <w:sz w:val="20"/>
                <w:szCs w:val="20"/>
              </w:rPr>
            </w:pPr>
          </w:p>
        </w:tc>
      </w:tr>
      <w:tr w:rsidR="00FB67F9" w14:paraId="606F7D2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D16"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FFF1E7"/>
            <w:tcMar>
              <w:top w:w="40" w:type="dxa"/>
              <w:left w:w="40" w:type="dxa"/>
              <w:bottom w:w="40" w:type="dxa"/>
            </w:tcMar>
            <w:vAlign w:val="bottom"/>
          </w:tcPr>
          <w:p w14:paraId="606F7D1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2,848</w:t>
            </w:r>
          </w:p>
        </w:tc>
        <w:tc>
          <w:tcPr>
            <w:tcW w:w="0" w:type="auto"/>
            <w:tcBorders>
              <w:top w:val="single" w:sz="8" w:space="0" w:color="808080"/>
            </w:tcBorders>
            <w:shd w:val="clear" w:color="auto" w:fill="FFF1E7"/>
            <w:vAlign w:val="bottom"/>
          </w:tcPr>
          <w:p w14:paraId="606F7D1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D1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1,766</w:t>
            </w:r>
          </w:p>
        </w:tc>
        <w:tc>
          <w:tcPr>
            <w:tcW w:w="0" w:type="auto"/>
            <w:tcBorders>
              <w:top w:val="single" w:sz="8" w:space="0" w:color="808080"/>
            </w:tcBorders>
            <w:shd w:val="clear" w:color="auto" w:fill="FFF1E7"/>
            <w:vAlign w:val="bottom"/>
          </w:tcPr>
          <w:p w14:paraId="606F7D1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D1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1,028</w:t>
            </w:r>
          </w:p>
        </w:tc>
        <w:tc>
          <w:tcPr>
            <w:tcW w:w="0" w:type="auto"/>
            <w:tcBorders>
              <w:top w:val="single" w:sz="8" w:space="0" w:color="808080"/>
            </w:tcBorders>
            <w:shd w:val="clear" w:color="auto" w:fill="FFF1E7"/>
            <w:vAlign w:val="bottom"/>
          </w:tcPr>
          <w:p w14:paraId="606F7D1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D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766</w:t>
            </w:r>
          </w:p>
        </w:tc>
        <w:tc>
          <w:tcPr>
            <w:tcW w:w="0" w:type="auto"/>
            <w:tcBorders>
              <w:top w:val="single" w:sz="8" w:space="0" w:color="808080"/>
            </w:tcBorders>
            <w:shd w:val="clear" w:color="auto" w:fill="FFF1E7"/>
            <w:vAlign w:val="bottom"/>
          </w:tcPr>
          <w:p w14:paraId="606F7D1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D1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D2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D2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6,408</w:t>
            </w:r>
          </w:p>
        </w:tc>
        <w:tc>
          <w:tcPr>
            <w:tcW w:w="0" w:type="auto"/>
            <w:tcBorders>
              <w:top w:val="single" w:sz="8" w:space="0" w:color="808080"/>
            </w:tcBorders>
            <w:shd w:val="clear" w:color="auto" w:fill="FFF1E7"/>
            <w:vAlign w:val="bottom"/>
          </w:tcPr>
          <w:p w14:paraId="606F7D2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2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w:t>
            </w:r>
          </w:p>
        </w:tc>
        <w:tc>
          <w:tcPr>
            <w:tcW w:w="0" w:type="auto"/>
            <w:tcBorders>
              <w:top w:val="single" w:sz="8" w:space="0" w:color="808080"/>
              <w:bottom w:val="single" w:sz="8" w:space="0" w:color="808080"/>
            </w:tcBorders>
            <w:shd w:val="clear" w:color="auto" w:fill="FFF1E7"/>
            <w:vAlign w:val="bottom"/>
          </w:tcPr>
          <w:p w14:paraId="606F7D2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D2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D2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606F7D2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6,464</w:t>
            </w:r>
          </w:p>
        </w:tc>
        <w:tc>
          <w:tcPr>
            <w:tcW w:w="0" w:type="auto"/>
            <w:tcBorders>
              <w:top w:val="single" w:sz="8" w:space="0" w:color="808080"/>
            </w:tcBorders>
            <w:shd w:val="clear" w:color="auto" w:fill="FFF1E7"/>
            <w:vAlign w:val="bottom"/>
          </w:tcPr>
          <w:p w14:paraId="606F7D28" w14:textId="77777777" w:rsidR="00FB67F9" w:rsidRDefault="00FB67F9">
            <w:pPr>
              <w:textAlignment w:val="bottom"/>
              <w:rPr>
                <w:rFonts w:ascii="Times New Roman" w:hAnsi="Times New Roman"/>
                <w:sz w:val="20"/>
                <w:szCs w:val="20"/>
              </w:rPr>
            </w:pPr>
          </w:p>
        </w:tc>
      </w:tr>
      <w:tr w:rsidR="00FB67F9" w14:paraId="606F7D3D"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D2A" w14:textId="77777777" w:rsidR="00FB67F9" w:rsidRDefault="00E839DF">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2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332</w:t>
            </w:r>
          </w:p>
        </w:tc>
        <w:tc>
          <w:tcPr>
            <w:tcW w:w="0" w:type="auto"/>
            <w:tcBorders>
              <w:top w:val="single" w:sz="8" w:space="0" w:color="808080"/>
              <w:bottom w:val="single" w:sz="8" w:space="0" w:color="808080"/>
            </w:tcBorders>
            <w:shd w:val="clear" w:color="auto" w:fill="FFF1E7"/>
            <w:vAlign w:val="bottom"/>
          </w:tcPr>
          <w:p w14:paraId="606F7D2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2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250</w:t>
            </w:r>
          </w:p>
        </w:tc>
        <w:tc>
          <w:tcPr>
            <w:tcW w:w="0" w:type="auto"/>
            <w:tcBorders>
              <w:top w:val="single" w:sz="8" w:space="0" w:color="808080"/>
              <w:bottom w:val="single" w:sz="8" w:space="0" w:color="808080"/>
            </w:tcBorders>
            <w:shd w:val="clear" w:color="auto" w:fill="FFF1E7"/>
            <w:vAlign w:val="bottom"/>
          </w:tcPr>
          <w:p w14:paraId="606F7D2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2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w:t>
            </w:r>
          </w:p>
        </w:tc>
        <w:tc>
          <w:tcPr>
            <w:tcW w:w="0" w:type="auto"/>
            <w:tcBorders>
              <w:top w:val="single" w:sz="8" w:space="0" w:color="808080"/>
              <w:bottom w:val="single" w:sz="8" w:space="0" w:color="808080"/>
            </w:tcBorders>
            <w:shd w:val="clear" w:color="auto" w:fill="FFF1E7"/>
            <w:vAlign w:val="bottom"/>
          </w:tcPr>
          <w:p w14:paraId="606F7D3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120</w:t>
            </w:r>
          </w:p>
        </w:tc>
        <w:tc>
          <w:tcPr>
            <w:tcW w:w="0" w:type="auto"/>
            <w:tcBorders>
              <w:top w:val="single" w:sz="8" w:space="0" w:color="808080"/>
              <w:bottom w:val="single" w:sz="8" w:space="0" w:color="808080"/>
            </w:tcBorders>
            <w:shd w:val="clear" w:color="auto" w:fill="FFF1E7"/>
            <w:vAlign w:val="bottom"/>
          </w:tcPr>
          <w:p w14:paraId="606F7D3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D3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3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789</w:t>
            </w:r>
          </w:p>
        </w:tc>
        <w:tc>
          <w:tcPr>
            <w:tcW w:w="0" w:type="auto"/>
            <w:tcBorders>
              <w:top w:val="single" w:sz="8" w:space="0" w:color="808080"/>
              <w:bottom w:val="single" w:sz="8" w:space="0" w:color="808080"/>
            </w:tcBorders>
            <w:shd w:val="clear" w:color="auto" w:fill="FFF1E7"/>
            <w:vAlign w:val="bottom"/>
          </w:tcPr>
          <w:p w14:paraId="606F7D3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FFF1E7"/>
            <w:vAlign w:val="bottom"/>
          </w:tcPr>
          <w:p w14:paraId="606F7D3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3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D3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3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804</w:t>
            </w:r>
          </w:p>
        </w:tc>
        <w:tc>
          <w:tcPr>
            <w:tcW w:w="0" w:type="auto"/>
            <w:tcBorders>
              <w:top w:val="single" w:sz="8" w:space="0" w:color="808080"/>
              <w:bottom w:val="single" w:sz="8" w:space="0" w:color="808080"/>
            </w:tcBorders>
            <w:shd w:val="clear" w:color="auto" w:fill="FFF1E7"/>
            <w:vAlign w:val="bottom"/>
          </w:tcPr>
          <w:p w14:paraId="606F7D3C" w14:textId="77777777" w:rsidR="00FB67F9" w:rsidRDefault="00FB67F9">
            <w:pPr>
              <w:textAlignment w:val="bottom"/>
              <w:rPr>
                <w:rFonts w:ascii="Times New Roman" w:hAnsi="Times New Roman"/>
                <w:sz w:val="20"/>
                <w:szCs w:val="20"/>
              </w:rPr>
            </w:pPr>
          </w:p>
        </w:tc>
      </w:tr>
      <w:tr w:rsidR="00FB67F9" w14:paraId="606F7D51" w14:textId="77777777">
        <w:tc>
          <w:tcPr>
            <w:tcW w:w="0" w:type="auto"/>
            <w:shd w:val="clear" w:color="auto" w:fill="auto"/>
            <w:tcMar>
              <w:top w:w="40" w:type="dxa"/>
              <w:left w:w="240" w:type="dxa"/>
              <w:bottom w:w="40" w:type="dxa"/>
              <w:right w:w="40" w:type="dxa"/>
            </w:tcMar>
            <w:vAlign w:val="bottom"/>
          </w:tcPr>
          <w:p w14:paraId="606F7D3E"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FFF1E7"/>
            <w:tcMar>
              <w:top w:w="40" w:type="dxa"/>
              <w:left w:w="40" w:type="dxa"/>
              <w:bottom w:w="40" w:type="dxa"/>
            </w:tcMar>
            <w:vAlign w:val="bottom"/>
          </w:tcPr>
          <w:p w14:paraId="606F7D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40"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42"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44"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46"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FFF1E7"/>
            <w:vAlign w:val="bottom"/>
          </w:tcPr>
          <w:p w14:paraId="606F7D48"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FFF1E7"/>
            <w:vAlign w:val="bottom"/>
          </w:tcPr>
          <w:p w14:paraId="606F7D4A"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FFF1E7"/>
            <w:vAlign w:val="bottom"/>
          </w:tcPr>
          <w:p w14:paraId="606F7D4C"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vAlign w:val="bottom"/>
          </w:tcPr>
          <w:p w14:paraId="606F7D4E"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79</w:t>
            </w:r>
          </w:p>
        </w:tc>
        <w:tc>
          <w:tcPr>
            <w:tcW w:w="0" w:type="auto"/>
            <w:shd w:val="clear" w:color="auto" w:fill="FFF1E7"/>
            <w:vAlign w:val="bottom"/>
          </w:tcPr>
          <w:p w14:paraId="606F7D50" w14:textId="77777777" w:rsidR="00FB67F9" w:rsidRDefault="00FB67F9">
            <w:pPr>
              <w:textAlignment w:val="bottom"/>
              <w:rPr>
                <w:rFonts w:ascii="Times New Roman" w:hAnsi="Times New Roman"/>
                <w:sz w:val="20"/>
                <w:szCs w:val="20"/>
              </w:rPr>
            </w:pPr>
          </w:p>
        </w:tc>
      </w:tr>
      <w:tr w:rsidR="00FB67F9" w14:paraId="606F7D6E"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D5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5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5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8,275</w:t>
            </w:r>
          </w:p>
        </w:tc>
        <w:tc>
          <w:tcPr>
            <w:tcW w:w="0" w:type="auto"/>
            <w:tcBorders>
              <w:top w:val="single" w:sz="8" w:space="0" w:color="E87722"/>
              <w:bottom w:val="single" w:sz="8" w:space="0" w:color="E87722"/>
            </w:tcBorders>
            <w:shd w:val="clear" w:color="auto" w:fill="FFF1E7"/>
            <w:vAlign w:val="bottom"/>
          </w:tcPr>
          <w:p w14:paraId="606F7D5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5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5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5,310</w:t>
            </w:r>
          </w:p>
        </w:tc>
        <w:tc>
          <w:tcPr>
            <w:tcW w:w="0" w:type="auto"/>
            <w:tcBorders>
              <w:top w:val="single" w:sz="8" w:space="0" w:color="E87722"/>
              <w:bottom w:val="single" w:sz="8" w:space="0" w:color="E87722"/>
            </w:tcBorders>
            <w:shd w:val="clear" w:color="auto" w:fill="FFF1E7"/>
            <w:vAlign w:val="bottom"/>
          </w:tcPr>
          <w:p w14:paraId="606F7D5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5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5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3,526</w:t>
            </w:r>
          </w:p>
        </w:tc>
        <w:tc>
          <w:tcPr>
            <w:tcW w:w="0" w:type="auto"/>
            <w:tcBorders>
              <w:top w:val="single" w:sz="8" w:space="0" w:color="E87722"/>
              <w:bottom w:val="single" w:sz="8" w:space="0" w:color="E87722"/>
            </w:tcBorders>
            <w:shd w:val="clear" w:color="auto" w:fill="FFF1E7"/>
            <w:vAlign w:val="bottom"/>
          </w:tcPr>
          <w:p w14:paraId="606F7D5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5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5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2,813</w:t>
            </w:r>
          </w:p>
        </w:tc>
        <w:tc>
          <w:tcPr>
            <w:tcW w:w="0" w:type="auto"/>
            <w:tcBorders>
              <w:top w:val="single" w:sz="8" w:space="0" w:color="E87722"/>
              <w:bottom w:val="single" w:sz="8" w:space="0" w:color="E87722"/>
            </w:tcBorders>
            <w:shd w:val="clear" w:color="auto" w:fill="FFF1E7"/>
            <w:vAlign w:val="bottom"/>
          </w:tcPr>
          <w:p w14:paraId="606F7D5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5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6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16</w:t>
            </w:r>
          </w:p>
        </w:tc>
        <w:tc>
          <w:tcPr>
            <w:tcW w:w="0" w:type="auto"/>
            <w:tcBorders>
              <w:top w:val="single" w:sz="8" w:space="0" w:color="E87722"/>
              <w:bottom w:val="single" w:sz="8" w:space="0" w:color="E87722"/>
            </w:tcBorders>
            <w:shd w:val="clear" w:color="auto" w:fill="FFF1E7"/>
            <w:vAlign w:val="bottom"/>
          </w:tcPr>
          <w:p w14:paraId="606F7D6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6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6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19,940</w:t>
            </w:r>
          </w:p>
        </w:tc>
        <w:tc>
          <w:tcPr>
            <w:tcW w:w="0" w:type="auto"/>
            <w:tcBorders>
              <w:top w:val="single" w:sz="8" w:space="0" w:color="E87722"/>
              <w:bottom w:val="single" w:sz="8" w:space="0" w:color="E87722"/>
            </w:tcBorders>
            <w:shd w:val="clear" w:color="auto" w:fill="FFF1E7"/>
            <w:vAlign w:val="bottom"/>
          </w:tcPr>
          <w:p w14:paraId="606F7D6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6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6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1,035</w:t>
            </w:r>
          </w:p>
        </w:tc>
        <w:tc>
          <w:tcPr>
            <w:tcW w:w="0" w:type="auto"/>
            <w:tcBorders>
              <w:top w:val="single" w:sz="8" w:space="0" w:color="E87722"/>
              <w:bottom w:val="single" w:sz="8" w:space="0" w:color="E87722"/>
            </w:tcBorders>
            <w:shd w:val="clear" w:color="auto" w:fill="FFF1E7"/>
            <w:vAlign w:val="bottom"/>
          </w:tcPr>
          <w:p w14:paraId="606F7D6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6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6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FFF1E7"/>
            <w:vAlign w:val="bottom"/>
          </w:tcPr>
          <w:p w14:paraId="606F7D6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6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6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20,986</w:t>
            </w:r>
          </w:p>
        </w:tc>
        <w:tc>
          <w:tcPr>
            <w:tcW w:w="0" w:type="auto"/>
            <w:tcBorders>
              <w:top w:val="single" w:sz="8" w:space="0" w:color="E87722"/>
              <w:bottom w:val="single" w:sz="8" w:space="0" w:color="E87722"/>
            </w:tcBorders>
            <w:shd w:val="clear" w:color="auto" w:fill="FFF1E7"/>
            <w:vAlign w:val="bottom"/>
          </w:tcPr>
          <w:p w14:paraId="606F7D6D" w14:textId="77777777" w:rsidR="00FB67F9" w:rsidRDefault="00FB67F9">
            <w:pPr>
              <w:textAlignment w:val="bottom"/>
              <w:rPr>
                <w:rFonts w:ascii="Times New Roman" w:hAnsi="Times New Roman"/>
                <w:sz w:val="20"/>
                <w:szCs w:val="20"/>
              </w:rPr>
            </w:pPr>
          </w:p>
        </w:tc>
      </w:tr>
      <w:tr w:rsidR="00FB67F9" w14:paraId="606F7D79" w14:textId="77777777">
        <w:tc>
          <w:tcPr>
            <w:tcW w:w="0" w:type="auto"/>
            <w:shd w:val="clear" w:color="auto" w:fill="auto"/>
            <w:tcMar>
              <w:top w:w="40" w:type="dxa"/>
              <w:left w:w="40" w:type="dxa"/>
              <w:bottom w:w="40" w:type="dxa"/>
              <w:right w:w="40" w:type="dxa"/>
            </w:tcMar>
            <w:vAlign w:val="bottom"/>
          </w:tcPr>
          <w:p w14:paraId="606F7D6F"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7D7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D7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D96"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D7A"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FFF1E7"/>
            <w:tcMar>
              <w:top w:w="40" w:type="dxa"/>
              <w:left w:w="40" w:type="dxa"/>
              <w:bottom w:w="40" w:type="dxa"/>
            </w:tcMar>
            <w:vAlign w:val="bottom"/>
          </w:tcPr>
          <w:p w14:paraId="606F7D7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7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5,598</w:t>
            </w:r>
          </w:p>
        </w:tc>
        <w:tc>
          <w:tcPr>
            <w:tcW w:w="0" w:type="auto"/>
            <w:tcBorders>
              <w:top w:val="single" w:sz="8" w:space="0" w:color="808080"/>
            </w:tcBorders>
            <w:shd w:val="clear" w:color="auto" w:fill="FFF1E7"/>
            <w:vAlign w:val="bottom"/>
          </w:tcPr>
          <w:p w14:paraId="606F7D7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7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7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3,836</w:t>
            </w:r>
          </w:p>
        </w:tc>
        <w:tc>
          <w:tcPr>
            <w:tcW w:w="0" w:type="auto"/>
            <w:tcBorders>
              <w:top w:val="single" w:sz="8" w:space="0" w:color="808080"/>
            </w:tcBorders>
            <w:shd w:val="clear" w:color="auto" w:fill="FFF1E7"/>
            <w:vAlign w:val="bottom"/>
          </w:tcPr>
          <w:p w14:paraId="606F7D8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8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2,014</w:t>
            </w:r>
          </w:p>
        </w:tc>
        <w:tc>
          <w:tcPr>
            <w:tcW w:w="0" w:type="auto"/>
            <w:tcBorders>
              <w:top w:val="single" w:sz="8" w:space="0" w:color="808080"/>
            </w:tcBorders>
            <w:shd w:val="clear" w:color="auto" w:fill="FFF1E7"/>
            <w:vAlign w:val="bottom"/>
          </w:tcPr>
          <w:p w14:paraId="606F7D8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8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8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1,972</w:t>
            </w:r>
          </w:p>
        </w:tc>
        <w:tc>
          <w:tcPr>
            <w:tcW w:w="0" w:type="auto"/>
            <w:tcBorders>
              <w:top w:val="single" w:sz="8" w:space="0" w:color="808080"/>
            </w:tcBorders>
            <w:shd w:val="clear" w:color="auto" w:fill="FFF1E7"/>
            <w:vAlign w:val="bottom"/>
          </w:tcPr>
          <w:p w14:paraId="606F7D8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8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8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D89"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8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8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13,420</w:t>
            </w:r>
          </w:p>
        </w:tc>
        <w:tc>
          <w:tcPr>
            <w:tcW w:w="0" w:type="auto"/>
            <w:tcBorders>
              <w:top w:val="single" w:sz="8" w:space="0" w:color="808080"/>
            </w:tcBorders>
            <w:shd w:val="clear" w:color="auto" w:fill="FFF1E7"/>
            <w:vAlign w:val="bottom"/>
          </w:tcPr>
          <w:p w14:paraId="606F7D8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8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8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653</w:t>
            </w:r>
          </w:p>
        </w:tc>
        <w:tc>
          <w:tcPr>
            <w:tcW w:w="0" w:type="auto"/>
            <w:tcBorders>
              <w:top w:val="single" w:sz="8" w:space="0" w:color="808080"/>
            </w:tcBorders>
            <w:shd w:val="clear" w:color="auto" w:fill="FFF1E7"/>
            <w:vAlign w:val="bottom"/>
          </w:tcPr>
          <w:p w14:paraId="606F7D8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9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9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606F7D9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606F7D9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D9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14,073</w:t>
            </w:r>
          </w:p>
        </w:tc>
        <w:tc>
          <w:tcPr>
            <w:tcW w:w="0" w:type="auto"/>
            <w:tcBorders>
              <w:top w:val="single" w:sz="8" w:space="0" w:color="808080"/>
            </w:tcBorders>
            <w:shd w:val="clear" w:color="auto" w:fill="FFF1E7"/>
            <w:vAlign w:val="bottom"/>
          </w:tcPr>
          <w:p w14:paraId="606F7D95" w14:textId="77777777" w:rsidR="00FB67F9" w:rsidRDefault="00FB67F9">
            <w:pPr>
              <w:textAlignment w:val="bottom"/>
              <w:rPr>
                <w:rFonts w:ascii="Times New Roman" w:hAnsi="Times New Roman"/>
                <w:sz w:val="20"/>
                <w:szCs w:val="20"/>
              </w:rPr>
            </w:pPr>
          </w:p>
        </w:tc>
      </w:tr>
      <w:tr w:rsidR="00FB67F9" w14:paraId="606F7DA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D97"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9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2,677</w:t>
            </w:r>
          </w:p>
        </w:tc>
        <w:tc>
          <w:tcPr>
            <w:tcW w:w="0" w:type="auto"/>
            <w:tcBorders>
              <w:top w:val="single" w:sz="8" w:space="0" w:color="808080"/>
              <w:bottom w:val="single" w:sz="8" w:space="0" w:color="808080"/>
            </w:tcBorders>
            <w:shd w:val="clear" w:color="auto" w:fill="FFF1E7"/>
            <w:vAlign w:val="bottom"/>
          </w:tcPr>
          <w:p w14:paraId="606F7D9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9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1,474</w:t>
            </w:r>
          </w:p>
        </w:tc>
        <w:tc>
          <w:tcPr>
            <w:tcW w:w="0" w:type="auto"/>
            <w:tcBorders>
              <w:top w:val="single" w:sz="8" w:space="0" w:color="808080"/>
              <w:bottom w:val="single" w:sz="8" w:space="0" w:color="808080"/>
            </w:tcBorders>
            <w:shd w:val="clear" w:color="auto" w:fill="FFF1E7"/>
            <w:vAlign w:val="bottom"/>
          </w:tcPr>
          <w:p w14:paraId="606F7D9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9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1,512</w:t>
            </w:r>
          </w:p>
        </w:tc>
        <w:tc>
          <w:tcPr>
            <w:tcW w:w="0" w:type="auto"/>
            <w:tcBorders>
              <w:top w:val="single" w:sz="8" w:space="0" w:color="808080"/>
              <w:bottom w:val="single" w:sz="8" w:space="0" w:color="808080"/>
            </w:tcBorders>
            <w:shd w:val="clear" w:color="auto" w:fill="FFF1E7"/>
            <w:vAlign w:val="bottom"/>
          </w:tcPr>
          <w:p w14:paraId="606F7D9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9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841</w:t>
            </w:r>
          </w:p>
        </w:tc>
        <w:tc>
          <w:tcPr>
            <w:tcW w:w="0" w:type="auto"/>
            <w:tcBorders>
              <w:top w:val="single" w:sz="8" w:space="0" w:color="808080"/>
              <w:bottom w:val="single" w:sz="8" w:space="0" w:color="808080"/>
            </w:tcBorders>
            <w:shd w:val="clear" w:color="auto" w:fill="FFF1E7"/>
            <w:vAlign w:val="bottom"/>
          </w:tcPr>
          <w:p w14:paraId="606F7D9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A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DA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A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6,504</w:t>
            </w:r>
          </w:p>
        </w:tc>
        <w:tc>
          <w:tcPr>
            <w:tcW w:w="0" w:type="auto"/>
            <w:tcBorders>
              <w:top w:val="single" w:sz="8" w:space="0" w:color="808080"/>
              <w:bottom w:val="single" w:sz="8" w:space="0" w:color="808080"/>
            </w:tcBorders>
            <w:shd w:val="clear" w:color="auto" w:fill="FFF1E7"/>
            <w:vAlign w:val="bottom"/>
          </w:tcPr>
          <w:p w14:paraId="606F7DA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A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330</w:t>
            </w:r>
          </w:p>
        </w:tc>
        <w:tc>
          <w:tcPr>
            <w:tcW w:w="0" w:type="auto"/>
            <w:tcBorders>
              <w:top w:val="single" w:sz="8" w:space="0" w:color="808080"/>
              <w:bottom w:val="single" w:sz="8" w:space="0" w:color="808080"/>
            </w:tcBorders>
            <w:shd w:val="clear" w:color="auto" w:fill="FFF1E7"/>
            <w:vAlign w:val="bottom"/>
          </w:tcPr>
          <w:p w14:paraId="606F7DA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A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606F7DA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DA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6,834</w:t>
            </w:r>
          </w:p>
        </w:tc>
        <w:tc>
          <w:tcPr>
            <w:tcW w:w="0" w:type="auto"/>
            <w:tcBorders>
              <w:top w:val="single" w:sz="8" w:space="0" w:color="808080"/>
              <w:bottom w:val="single" w:sz="8" w:space="0" w:color="808080"/>
            </w:tcBorders>
            <w:shd w:val="clear" w:color="auto" w:fill="FFF1E7"/>
            <w:vAlign w:val="bottom"/>
          </w:tcPr>
          <w:p w14:paraId="606F7DA9" w14:textId="77777777" w:rsidR="00FB67F9" w:rsidRDefault="00FB67F9">
            <w:pPr>
              <w:textAlignment w:val="bottom"/>
              <w:rPr>
                <w:rFonts w:ascii="Times New Roman" w:hAnsi="Times New Roman"/>
                <w:sz w:val="20"/>
                <w:szCs w:val="20"/>
              </w:rPr>
            </w:pPr>
          </w:p>
        </w:tc>
      </w:tr>
      <w:tr w:rsidR="00FB67F9" w14:paraId="606F7DBE" w14:textId="77777777">
        <w:tc>
          <w:tcPr>
            <w:tcW w:w="0" w:type="auto"/>
            <w:shd w:val="clear" w:color="auto" w:fill="auto"/>
            <w:tcMar>
              <w:top w:w="40" w:type="dxa"/>
              <w:left w:w="240" w:type="dxa"/>
              <w:bottom w:w="40" w:type="dxa"/>
              <w:right w:w="40" w:type="dxa"/>
            </w:tcMar>
            <w:vAlign w:val="bottom"/>
          </w:tcPr>
          <w:p w14:paraId="606F7DAB"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FFF1E7"/>
            <w:tcMar>
              <w:top w:w="40" w:type="dxa"/>
              <w:left w:w="40" w:type="dxa"/>
              <w:bottom w:w="40" w:type="dxa"/>
            </w:tcMar>
            <w:vAlign w:val="bottom"/>
          </w:tcPr>
          <w:p w14:paraId="606F7DA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AD"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AF"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B1"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606F7DB3"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FFF1E7"/>
            <w:vAlign w:val="bottom"/>
          </w:tcPr>
          <w:p w14:paraId="606F7DB5"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FFF1E7"/>
            <w:vAlign w:val="bottom"/>
          </w:tcPr>
          <w:p w14:paraId="606F7DB7"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FFF1E7"/>
            <w:vAlign w:val="bottom"/>
          </w:tcPr>
          <w:p w14:paraId="606F7DB9"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vAlign w:val="bottom"/>
          </w:tcPr>
          <w:p w14:paraId="606F7DBB" w14:textId="77777777" w:rsidR="00FB67F9" w:rsidRDefault="00FB67F9">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606F7D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79</w:t>
            </w:r>
          </w:p>
        </w:tc>
        <w:tc>
          <w:tcPr>
            <w:tcW w:w="0" w:type="auto"/>
            <w:shd w:val="clear" w:color="auto" w:fill="FFF1E7"/>
            <w:vAlign w:val="bottom"/>
          </w:tcPr>
          <w:p w14:paraId="606F7DBD" w14:textId="77777777" w:rsidR="00FB67F9" w:rsidRDefault="00FB67F9">
            <w:pPr>
              <w:textAlignment w:val="bottom"/>
              <w:rPr>
                <w:rFonts w:ascii="Times New Roman" w:hAnsi="Times New Roman"/>
                <w:sz w:val="20"/>
                <w:szCs w:val="20"/>
              </w:rPr>
            </w:pPr>
          </w:p>
        </w:tc>
      </w:tr>
      <w:tr w:rsidR="00FB67F9" w14:paraId="606F7DDB"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DB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C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C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8,275</w:t>
            </w:r>
          </w:p>
        </w:tc>
        <w:tc>
          <w:tcPr>
            <w:tcW w:w="0" w:type="auto"/>
            <w:tcBorders>
              <w:top w:val="single" w:sz="8" w:space="0" w:color="E87722"/>
              <w:bottom w:val="single" w:sz="8" w:space="0" w:color="E87722"/>
            </w:tcBorders>
            <w:shd w:val="clear" w:color="auto" w:fill="FFF1E7"/>
            <w:vAlign w:val="bottom"/>
          </w:tcPr>
          <w:p w14:paraId="606F7DC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C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C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5,310</w:t>
            </w:r>
          </w:p>
        </w:tc>
        <w:tc>
          <w:tcPr>
            <w:tcW w:w="0" w:type="auto"/>
            <w:tcBorders>
              <w:top w:val="single" w:sz="8" w:space="0" w:color="E87722"/>
              <w:bottom w:val="single" w:sz="8" w:space="0" w:color="E87722"/>
            </w:tcBorders>
            <w:shd w:val="clear" w:color="auto" w:fill="FFF1E7"/>
            <w:vAlign w:val="bottom"/>
          </w:tcPr>
          <w:p w14:paraId="606F7DC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C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C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3,526</w:t>
            </w:r>
          </w:p>
        </w:tc>
        <w:tc>
          <w:tcPr>
            <w:tcW w:w="0" w:type="auto"/>
            <w:tcBorders>
              <w:top w:val="single" w:sz="8" w:space="0" w:color="E87722"/>
              <w:bottom w:val="single" w:sz="8" w:space="0" w:color="E87722"/>
            </w:tcBorders>
            <w:shd w:val="clear" w:color="auto" w:fill="FFF1E7"/>
            <w:vAlign w:val="bottom"/>
          </w:tcPr>
          <w:p w14:paraId="606F7DC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C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C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2,813</w:t>
            </w:r>
          </w:p>
        </w:tc>
        <w:tc>
          <w:tcPr>
            <w:tcW w:w="0" w:type="auto"/>
            <w:tcBorders>
              <w:top w:val="single" w:sz="8" w:space="0" w:color="E87722"/>
              <w:bottom w:val="single" w:sz="8" w:space="0" w:color="E87722"/>
            </w:tcBorders>
            <w:shd w:val="clear" w:color="auto" w:fill="FFF1E7"/>
            <w:vAlign w:val="bottom"/>
          </w:tcPr>
          <w:p w14:paraId="606F7DC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C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C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16</w:t>
            </w:r>
          </w:p>
        </w:tc>
        <w:tc>
          <w:tcPr>
            <w:tcW w:w="0" w:type="auto"/>
            <w:tcBorders>
              <w:top w:val="single" w:sz="8" w:space="0" w:color="E87722"/>
              <w:bottom w:val="single" w:sz="8" w:space="0" w:color="E87722"/>
            </w:tcBorders>
            <w:shd w:val="clear" w:color="auto" w:fill="FFF1E7"/>
            <w:vAlign w:val="bottom"/>
          </w:tcPr>
          <w:p w14:paraId="606F7DC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C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D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19,940</w:t>
            </w:r>
          </w:p>
        </w:tc>
        <w:tc>
          <w:tcPr>
            <w:tcW w:w="0" w:type="auto"/>
            <w:tcBorders>
              <w:top w:val="single" w:sz="8" w:space="0" w:color="E87722"/>
              <w:bottom w:val="single" w:sz="8" w:space="0" w:color="E87722"/>
            </w:tcBorders>
            <w:shd w:val="clear" w:color="auto" w:fill="FFF1E7"/>
            <w:vAlign w:val="bottom"/>
          </w:tcPr>
          <w:p w14:paraId="606F7DD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D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D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1,035</w:t>
            </w:r>
          </w:p>
        </w:tc>
        <w:tc>
          <w:tcPr>
            <w:tcW w:w="0" w:type="auto"/>
            <w:tcBorders>
              <w:top w:val="single" w:sz="8" w:space="0" w:color="E87722"/>
              <w:bottom w:val="single" w:sz="8" w:space="0" w:color="E87722"/>
            </w:tcBorders>
            <w:shd w:val="clear" w:color="auto" w:fill="FFF1E7"/>
            <w:vAlign w:val="bottom"/>
          </w:tcPr>
          <w:p w14:paraId="606F7DD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D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D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FFF1E7"/>
            <w:vAlign w:val="bottom"/>
          </w:tcPr>
          <w:p w14:paraId="606F7DD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DD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DD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20,986</w:t>
            </w:r>
          </w:p>
        </w:tc>
        <w:tc>
          <w:tcPr>
            <w:tcW w:w="0" w:type="auto"/>
            <w:tcBorders>
              <w:top w:val="single" w:sz="8" w:space="0" w:color="E87722"/>
              <w:bottom w:val="single" w:sz="8" w:space="0" w:color="E87722"/>
            </w:tcBorders>
            <w:shd w:val="clear" w:color="auto" w:fill="FFF1E7"/>
            <w:vAlign w:val="bottom"/>
          </w:tcPr>
          <w:p w14:paraId="606F7DDA" w14:textId="77777777" w:rsidR="00FB67F9" w:rsidRDefault="00FB67F9">
            <w:pPr>
              <w:textAlignment w:val="bottom"/>
              <w:rPr>
                <w:rFonts w:ascii="Times New Roman" w:hAnsi="Times New Roman"/>
                <w:sz w:val="20"/>
                <w:szCs w:val="20"/>
              </w:rPr>
            </w:pPr>
          </w:p>
        </w:tc>
      </w:tr>
    </w:tbl>
    <w:p w14:paraId="606F7DDC" w14:textId="77777777" w:rsidR="00FB67F9" w:rsidRDefault="00FB67F9">
      <w:pPr>
        <w:rPr>
          <w:vanish/>
        </w:rPr>
      </w:pPr>
    </w:p>
    <w:tbl>
      <w:tblPr>
        <w:tblW w:w="5000" w:type="pct"/>
        <w:tblCellMar>
          <w:left w:w="0" w:type="dxa"/>
          <w:right w:w="0" w:type="dxa"/>
        </w:tblCellMar>
        <w:tblLook w:val="04A0" w:firstRow="1" w:lastRow="0" w:firstColumn="1" w:lastColumn="0" w:noHBand="0" w:noVBand="1"/>
      </w:tblPr>
      <w:tblGrid>
        <w:gridCol w:w="1446"/>
        <w:gridCol w:w="136"/>
        <w:gridCol w:w="607"/>
        <w:gridCol w:w="6"/>
        <w:gridCol w:w="136"/>
        <w:gridCol w:w="567"/>
        <w:gridCol w:w="6"/>
        <w:gridCol w:w="135"/>
        <w:gridCol w:w="594"/>
        <w:gridCol w:w="6"/>
        <w:gridCol w:w="136"/>
        <w:gridCol w:w="607"/>
        <w:gridCol w:w="6"/>
        <w:gridCol w:w="136"/>
        <w:gridCol w:w="661"/>
        <w:gridCol w:w="6"/>
        <w:gridCol w:w="135"/>
        <w:gridCol w:w="520"/>
        <w:gridCol w:w="6"/>
        <w:gridCol w:w="135"/>
        <w:gridCol w:w="700"/>
        <w:gridCol w:w="6"/>
        <w:gridCol w:w="136"/>
        <w:gridCol w:w="810"/>
        <w:gridCol w:w="6"/>
        <w:gridCol w:w="135"/>
        <w:gridCol w:w="520"/>
        <w:gridCol w:w="6"/>
      </w:tblGrid>
      <w:tr w:rsidR="00FB67F9" w14:paraId="606F7DDE" w14:textId="77777777">
        <w:tc>
          <w:tcPr>
            <w:tcW w:w="0" w:type="auto"/>
            <w:gridSpan w:val="28"/>
            <w:shd w:val="clear" w:color="auto" w:fill="auto"/>
            <w:vAlign w:val="center"/>
          </w:tcPr>
          <w:p w14:paraId="606F7DDD" w14:textId="77777777" w:rsidR="00FB67F9" w:rsidRDefault="00FB67F9">
            <w:pPr>
              <w:rPr>
                <w:rFonts w:ascii="Times New Roman" w:hAnsi="Times New Roman"/>
                <w:sz w:val="20"/>
                <w:szCs w:val="20"/>
              </w:rPr>
            </w:pPr>
          </w:p>
        </w:tc>
      </w:tr>
      <w:tr w:rsidR="00FB67F9" w14:paraId="606F7DFB" w14:textId="77777777">
        <w:tc>
          <w:tcPr>
            <w:tcW w:w="1250" w:type="pct"/>
            <w:shd w:val="clear" w:color="auto" w:fill="auto"/>
            <w:vAlign w:val="center"/>
          </w:tcPr>
          <w:p w14:paraId="606F7DDF" w14:textId="77777777" w:rsidR="00FB67F9" w:rsidRDefault="00FB67F9">
            <w:pPr>
              <w:rPr>
                <w:rFonts w:ascii="Times New Roman" w:hAnsi="Times New Roman"/>
                <w:sz w:val="20"/>
                <w:szCs w:val="20"/>
              </w:rPr>
            </w:pPr>
          </w:p>
        </w:tc>
        <w:tc>
          <w:tcPr>
            <w:tcW w:w="50" w:type="pct"/>
            <w:shd w:val="clear" w:color="auto" w:fill="auto"/>
            <w:vAlign w:val="center"/>
          </w:tcPr>
          <w:p w14:paraId="606F7DE0" w14:textId="77777777" w:rsidR="00FB67F9" w:rsidRDefault="00FB67F9">
            <w:pPr>
              <w:rPr>
                <w:rFonts w:ascii="Times New Roman" w:hAnsi="Times New Roman"/>
                <w:sz w:val="20"/>
                <w:szCs w:val="20"/>
              </w:rPr>
            </w:pPr>
          </w:p>
        </w:tc>
        <w:tc>
          <w:tcPr>
            <w:tcW w:w="300" w:type="pct"/>
            <w:shd w:val="clear" w:color="auto" w:fill="auto"/>
            <w:vAlign w:val="center"/>
          </w:tcPr>
          <w:p w14:paraId="606F7DE1" w14:textId="77777777" w:rsidR="00FB67F9" w:rsidRDefault="00FB67F9">
            <w:pPr>
              <w:rPr>
                <w:rFonts w:ascii="Times New Roman" w:hAnsi="Times New Roman"/>
                <w:sz w:val="20"/>
                <w:szCs w:val="20"/>
              </w:rPr>
            </w:pPr>
          </w:p>
        </w:tc>
        <w:tc>
          <w:tcPr>
            <w:tcW w:w="50" w:type="pct"/>
            <w:shd w:val="clear" w:color="auto" w:fill="auto"/>
            <w:vAlign w:val="center"/>
          </w:tcPr>
          <w:p w14:paraId="606F7DE2" w14:textId="77777777" w:rsidR="00FB67F9" w:rsidRDefault="00FB67F9">
            <w:pPr>
              <w:rPr>
                <w:rFonts w:ascii="Times New Roman" w:hAnsi="Times New Roman"/>
                <w:sz w:val="20"/>
                <w:szCs w:val="20"/>
              </w:rPr>
            </w:pPr>
          </w:p>
        </w:tc>
        <w:tc>
          <w:tcPr>
            <w:tcW w:w="50" w:type="pct"/>
            <w:shd w:val="clear" w:color="auto" w:fill="auto"/>
            <w:vAlign w:val="center"/>
          </w:tcPr>
          <w:p w14:paraId="606F7DE3" w14:textId="77777777" w:rsidR="00FB67F9" w:rsidRDefault="00FB67F9">
            <w:pPr>
              <w:rPr>
                <w:rFonts w:ascii="Times New Roman" w:hAnsi="Times New Roman"/>
                <w:sz w:val="20"/>
                <w:szCs w:val="20"/>
              </w:rPr>
            </w:pPr>
          </w:p>
        </w:tc>
        <w:tc>
          <w:tcPr>
            <w:tcW w:w="300" w:type="pct"/>
            <w:shd w:val="clear" w:color="auto" w:fill="auto"/>
            <w:vAlign w:val="center"/>
          </w:tcPr>
          <w:p w14:paraId="606F7DE4" w14:textId="77777777" w:rsidR="00FB67F9" w:rsidRDefault="00FB67F9">
            <w:pPr>
              <w:rPr>
                <w:rFonts w:ascii="Times New Roman" w:hAnsi="Times New Roman"/>
                <w:sz w:val="20"/>
                <w:szCs w:val="20"/>
              </w:rPr>
            </w:pPr>
          </w:p>
        </w:tc>
        <w:tc>
          <w:tcPr>
            <w:tcW w:w="50" w:type="pct"/>
            <w:shd w:val="clear" w:color="auto" w:fill="auto"/>
            <w:vAlign w:val="center"/>
          </w:tcPr>
          <w:p w14:paraId="606F7DE5" w14:textId="77777777" w:rsidR="00FB67F9" w:rsidRDefault="00FB67F9">
            <w:pPr>
              <w:rPr>
                <w:rFonts w:ascii="Times New Roman" w:hAnsi="Times New Roman"/>
                <w:sz w:val="20"/>
                <w:szCs w:val="20"/>
              </w:rPr>
            </w:pPr>
          </w:p>
        </w:tc>
        <w:tc>
          <w:tcPr>
            <w:tcW w:w="50" w:type="pct"/>
            <w:shd w:val="clear" w:color="auto" w:fill="auto"/>
            <w:vAlign w:val="center"/>
          </w:tcPr>
          <w:p w14:paraId="606F7DE6" w14:textId="77777777" w:rsidR="00FB67F9" w:rsidRDefault="00FB67F9">
            <w:pPr>
              <w:rPr>
                <w:rFonts w:ascii="Times New Roman" w:hAnsi="Times New Roman"/>
                <w:sz w:val="20"/>
                <w:szCs w:val="20"/>
              </w:rPr>
            </w:pPr>
          </w:p>
        </w:tc>
        <w:tc>
          <w:tcPr>
            <w:tcW w:w="300" w:type="pct"/>
            <w:shd w:val="clear" w:color="auto" w:fill="auto"/>
            <w:vAlign w:val="center"/>
          </w:tcPr>
          <w:p w14:paraId="606F7DE7" w14:textId="77777777" w:rsidR="00FB67F9" w:rsidRDefault="00FB67F9">
            <w:pPr>
              <w:rPr>
                <w:rFonts w:ascii="Times New Roman" w:hAnsi="Times New Roman"/>
                <w:sz w:val="20"/>
                <w:szCs w:val="20"/>
              </w:rPr>
            </w:pPr>
          </w:p>
        </w:tc>
        <w:tc>
          <w:tcPr>
            <w:tcW w:w="50" w:type="pct"/>
            <w:shd w:val="clear" w:color="auto" w:fill="auto"/>
            <w:vAlign w:val="center"/>
          </w:tcPr>
          <w:p w14:paraId="606F7DE8" w14:textId="77777777" w:rsidR="00FB67F9" w:rsidRDefault="00FB67F9">
            <w:pPr>
              <w:rPr>
                <w:rFonts w:ascii="Times New Roman" w:hAnsi="Times New Roman"/>
                <w:sz w:val="20"/>
                <w:szCs w:val="20"/>
              </w:rPr>
            </w:pPr>
          </w:p>
        </w:tc>
        <w:tc>
          <w:tcPr>
            <w:tcW w:w="50" w:type="pct"/>
            <w:shd w:val="clear" w:color="auto" w:fill="auto"/>
            <w:vAlign w:val="center"/>
          </w:tcPr>
          <w:p w14:paraId="606F7DE9" w14:textId="77777777" w:rsidR="00FB67F9" w:rsidRDefault="00FB67F9">
            <w:pPr>
              <w:rPr>
                <w:rFonts w:ascii="Times New Roman" w:hAnsi="Times New Roman"/>
                <w:sz w:val="20"/>
                <w:szCs w:val="20"/>
              </w:rPr>
            </w:pPr>
          </w:p>
        </w:tc>
        <w:tc>
          <w:tcPr>
            <w:tcW w:w="300" w:type="pct"/>
            <w:shd w:val="clear" w:color="auto" w:fill="auto"/>
            <w:vAlign w:val="center"/>
          </w:tcPr>
          <w:p w14:paraId="606F7DEA" w14:textId="77777777" w:rsidR="00FB67F9" w:rsidRDefault="00FB67F9">
            <w:pPr>
              <w:rPr>
                <w:rFonts w:ascii="Times New Roman" w:hAnsi="Times New Roman"/>
                <w:sz w:val="20"/>
                <w:szCs w:val="20"/>
              </w:rPr>
            </w:pPr>
          </w:p>
        </w:tc>
        <w:tc>
          <w:tcPr>
            <w:tcW w:w="50" w:type="pct"/>
            <w:shd w:val="clear" w:color="auto" w:fill="auto"/>
            <w:vAlign w:val="center"/>
          </w:tcPr>
          <w:p w14:paraId="606F7DEB" w14:textId="77777777" w:rsidR="00FB67F9" w:rsidRDefault="00FB67F9">
            <w:pPr>
              <w:rPr>
                <w:rFonts w:ascii="Times New Roman" w:hAnsi="Times New Roman"/>
                <w:sz w:val="20"/>
                <w:szCs w:val="20"/>
              </w:rPr>
            </w:pPr>
          </w:p>
        </w:tc>
        <w:tc>
          <w:tcPr>
            <w:tcW w:w="50" w:type="pct"/>
            <w:shd w:val="clear" w:color="auto" w:fill="auto"/>
            <w:vAlign w:val="center"/>
          </w:tcPr>
          <w:p w14:paraId="606F7DEC" w14:textId="77777777" w:rsidR="00FB67F9" w:rsidRDefault="00FB67F9">
            <w:pPr>
              <w:rPr>
                <w:rFonts w:ascii="Times New Roman" w:hAnsi="Times New Roman"/>
                <w:sz w:val="20"/>
                <w:szCs w:val="20"/>
              </w:rPr>
            </w:pPr>
          </w:p>
        </w:tc>
        <w:tc>
          <w:tcPr>
            <w:tcW w:w="300" w:type="pct"/>
            <w:shd w:val="clear" w:color="auto" w:fill="auto"/>
            <w:vAlign w:val="center"/>
          </w:tcPr>
          <w:p w14:paraId="606F7DED" w14:textId="77777777" w:rsidR="00FB67F9" w:rsidRDefault="00FB67F9">
            <w:pPr>
              <w:rPr>
                <w:rFonts w:ascii="Times New Roman" w:hAnsi="Times New Roman"/>
                <w:sz w:val="20"/>
                <w:szCs w:val="20"/>
              </w:rPr>
            </w:pPr>
          </w:p>
        </w:tc>
        <w:tc>
          <w:tcPr>
            <w:tcW w:w="50" w:type="pct"/>
            <w:shd w:val="clear" w:color="auto" w:fill="auto"/>
            <w:vAlign w:val="center"/>
          </w:tcPr>
          <w:p w14:paraId="606F7DEE" w14:textId="77777777" w:rsidR="00FB67F9" w:rsidRDefault="00FB67F9">
            <w:pPr>
              <w:rPr>
                <w:rFonts w:ascii="Times New Roman" w:hAnsi="Times New Roman"/>
                <w:sz w:val="20"/>
                <w:szCs w:val="20"/>
              </w:rPr>
            </w:pPr>
          </w:p>
        </w:tc>
        <w:tc>
          <w:tcPr>
            <w:tcW w:w="50" w:type="pct"/>
            <w:shd w:val="clear" w:color="auto" w:fill="auto"/>
            <w:vAlign w:val="center"/>
          </w:tcPr>
          <w:p w14:paraId="606F7DEF" w14:textId="77777777" w:rsidR="00FB67F9" w:rsidRDefault="00FB67F9">
            <w:pPr>
              <w:rPr>
                <w:rFonts w:ascii="Times New Roman" w:hAnsi="Times New Roman"/>
                <w:sz w:val="20"/>
                <w:szCs w:val="20"/>
              </w:rPr>
            </w:pPr>
          </w:p>
        </w:tc>
        <w:tc>
          <w:tcPr>
            <w:tcW w:w="300" w:type="pct"/>
            <w:shd w:val="clear" w:color="auto" w:fill="auto"/>
            <w:vAlign w:val="center"/>
          </w:tcPr>
          <w:p w14:paraId="606F7DF0" w14:textId="77777777" w:rsidR="00FB67F9" w:rsidRDefault="00FB67F9">
            <w:pPr>
              <w:rPr>
                <w:rFonts w:ascii="Times New Roman" w:hAnsi="Times New Roman"/>
                <w:sz w:val="20"/>
                <w:szCs w:val="20"/>
              </w:rPr>
            </w:pPr>
          </w:p>
        </w:tc>
        <w:tc>
          <w:tcPr>
            <w:tcW w:w="50" w:type="pct"/>
            <w:shd w:val="clear" w:color="auto" w:fill="auto"/>
            <w:vAlign w:val="center"/>
          </w:tcPr>
          <w:p w14:paraId="606F7DF1" w14:textId="77777777" w:rsidR="00FB67F9" w:rsidRDefault="00FB67F9">
            <w:pPr>
              <w:rPr>
                <w:rFonts w:ascii="Times New Roman" w:hAnsi="Times New Roman"/>
                <w:sz w:val="20"/>
                <w:szCs w:val="20"/>
              </w:rPr>
            </w:pPr>
          </w:p>
        </w:tc>
        <w:tc>
          <w:tcPr>
            <w:tcW w:w="50" w:type="pct"/>
            <w:shd w:val="clear" w:color="auto" w:fill="auto"/>
            <w:vAlign w:val="center"/>
          </w:tcPr>
          <w:p w14:paraId="606F7DF2" w14:textId="77777777" w:rsidR="00FB67F9" w:rsidRDefault="00FB67F9">
            <w:pPr>
              <w:rPr>
                <w:rFonts w:ascii="Times New Roman" w:hAnsi="Times New Roman"/>
                <w:sz w:val="20"/>
                <w:szCs w:val="20"/>
              </w:rPr>
            </w:pPr>
          </w:p>
        </w:tc>
        <w:tc>
          <w:tcPr>
            <w:tcW w:w="350" w:type="pct"/>
            <w:shd w:val="clear" w:color="auto" w:fill="auto"/>
            <w:vAlign w:val="center"/>
          </w:tcPr>
          <w:p w14:paraId="606F7DF3" w14:textId="77777777" w:rsidR="00FB67F9" w:rsidRDefault="00FB67F9">
            <w:pPr>
              <w:rPr>
                <w:rFonts w:ascii="Times New Roman" w:hAnsi="Times New Roman"/>
                <w:sz w:val="20"/>
                <w:szCs w:val="20"/>
              </w:rPr>
            </w:pPr>
          </w:p>
        </w:tc>
        <w:tc>
          <w:tcPr>
            <w:tcW w:w="50" w:type="pct"/>
            <w:shd w:val="clear" w:color="auto" w:fill="auto"/>
            <w:vAlign w:val="center"/>
          </w:tcPr>
          <w:p w14:paraId="606F7DF4" w14:textId="77777777" w:rsidR="00FB67F9" w:rsidRDefault="00FB67F9">
            <w:pPr>
              <w:rPr>
                <w:rFonts w:ascii="Times New Roman" w:hAnsi="Times New Roman"/>
                <w:sz w:val="20"/>
                <w:szCs w:val="20"/>
              </w:rPr>
            </w:pPr>
          </w:p>
        </w:tc>
        <w:tc>
          <w:tcPr>
            <w:tcW w:w="50" w:type="pct"/>
            <w:shd w:val="clear" w:color="auto" w:fill="auto"/>
            <w:vAlign w:val="center"/>
          </w:tcPr>
          <w:p w14:paraId="606F7DF5" w14:textId="77777777" w:rsidR="00FB67F9" w:rsidRDefault="00FB67F9">
            <w:pPr>
              <w:rPr>
                <w:rFonts w:ascii="Times New Roman" w:hAnsi="Times New Roman"/>
                <w:sz w:val="20"/>
                <w:szCs w:val="20"/>
              </w:rPr>
            </w:pPr>
          </w:p>
        </w:tc>
        <w:tc>
          <w:tcPr>
            <w:tcW w:w="400" w:type="pct"/>
            <w:shd w:val="clear" w:color="auto" w:fill="auto"/>
            <w:vAlign w:val="center"/>
          </w:tcPr>
          <w:p w14:paraId="606F7DF6" w14:textId="77777777" w:rsidR="00FB67F9" w:rsidRDefault="00FB67F9">
            <w:pPr>
              <w:rPr>
                <w:rFonts w:ascii="Times New Roman" w:hAnsi="Times New Roman"/>
                <w:sz w:val="20"/>
                <w:szCs w:val="20"/>
              </w:rPr>
            </w:pPr>
          </w:p>
        </w:tc>
        <w:tc>
          <w:tcPr>
            <w:tcW w:w="50" w:type="pct"/>
            <w:shd w:val="clear" w:color="auto" w:fill="auto"/>
            <w:vAlign w:val="center"/>
          </w:tcPr>
          <w:p w14:paraId="606F7DF7" w14:textId="77777777" w:rsidR="00FB67F9" w:rsidRDefault="00FB67F9">
            <w:pPr>
              <w:rPr>
                <w:rFonts w:ascii="Times New Roman" w:hAnsi="Times New Roman"/>
                <w:sz w:val="20"/>
                <w:szCs w:val="20"/>
              </w:rPr>
            </w:pPr>
          </w:p>
        </w:tc>
        <w:tc>
          <w:tcPr>
            <w:tcW w:w="50" w:type="pct"/>
            <w:shd w:val="clear" w:color="auto" w:fill="auto"/>
            <w:vAlign w:val="center"/>
          </w:tcPr>
          <w:p w14:paraId="606F7DF8" w14:textId="77777777" w:rsidR="00FB67F9" w:rsidRDefault="00FB67F9">
            <w:pPr>
              <w:rPr>
                <w:rFonts w:ascii="Times New Roman" w:hAnsi="Times New Roman"/>
                <w:sz w:val="20"/>
                <w:szCs w:val="20"/>
              </w:rPr>
            </w:pPr>
          </w:p>
        </w:tc>
        <w:tc>
          <w:tcPr>
            <w:tcW w:w="300" w:type="pct"/>
            <w:shd w:val="clear" w:color="auto" w:fill="auto"/>
            <w:vAlign w:val="center"/>
          </w:tcPr>
          <w:p w14:paraId="606F7DF9" w14:textId="77777777" w:rsidR="00FB67F9" w:rsidRDefault="00FB67F9">
            <w:pPr>
              <w:rPr>
                <w:rFonts w:ascii="Times New Roman" w:hAnsi="Times New Roman"/>
                <w:sz w:val="20"/>
                <w:szCs w:val="20"/>
              </w:rPr>
            </w:pPr>
          </w:p>
        </w:tc>
        <w:tc>
          <w:tcPr>
            <w:tcW w:w="50" w:type="pct"/>
            <w:shd w:val="clear" w:color="auto" w:fill="auto"/>
            <w:vAlign w:val="center"/>
          </w:tcPr>
          <w:p w14:paraId="606F7DFA" w14:textId="77777777" w:rsidR="00FB67F9" w:rsidRDefault="00FB67F9">
            <w:pPr>
              <w:rPr>
                <w:rFonts w:ascii="Times New Roman" w:hAnsi="Times New Roman"/>
                <w:sz w:val="20"/>
                <w:szCs w:val="20"/>
              </w:rPr>
            </w:pPr>
          </w:p>
        </w:tc>
      </w:tr>
      <w:tr w:rsidR="00FB67F9" w14:paraId="606F7DFE" w14:textId="77777777">
        <w:tc>
          <w:tcPr>
            <w:tcW w:w="0" w:type="auto"/>
            <w:shd w:val="clear" w:color="auto" w:fill="auto"/>
            <w:tcMar>
              <w:top w:w="40" w:type="dxa"/>
              <w:left w:w="40" w:type="dxa"/>
              <w:bottom w:w="40" w:type="dxa"/>
              <w:right w:w="40" w:type="dxa"/>
            </w:tcMar>
            <w:vAlign w:val="bottom"/>
          </w:tcPr>
          <w:p w14:paraId="606F7DF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E87722"/>
            </w:tcBorders>
            <w:shd w:val="clear" w:color="auto" w:fill="auto"/>
            <w:tcMar>
              <w:top w:w="40" w:type="dxa"/>
              <w:left w:w="40" w:type="dxa"/>
              <w:bottom w:w="40" w:type="dxa"/>
            </w:tcMar>
            <w:vAlign w:val="bottom"/>
          </w:tcPr>
          <w:p w14:paraId="606F7DF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 2018</w:t>
            </w:r>
          </w:p>
        </w:tc>
      </w:tr>
      <w:tr w:rsidR="00FB67F9" w14:paraId="606F7E1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7DFF"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606F7E0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NORTH AMERICA</w:t>
            </w:r>
          </w:p>
        </w:tc>
        <w:tc>
          <w:tcPr>
            <w:tcW w:w="0" w:type="auto"/>
            <w:tcBorders>
              <w:bottom w:val="single" w:sz="8" w:space="0" w:color="E87722"/>
            </w:tcBorders>
            <w:shd w:val="clear" w:color="auto" w:fill="auto"/>
            <w:vAlign w:val="bottom"/>
          </w:tcPr>
          <w:p w14:paraId="606F7E0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0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EUROPE, MIDDLE EAST &amp; AFRICA</w:t>
            </w:r>
          </w:p>
        </w:tc>
        <w:tc>
          <w:tcPr>
            <w:tcW w:w="0" w:type="auto"/>
            <w:tcBorders>
              <w:bottom w:val="single" w:sz="8" w:space="0" w:color="E87722"/>
            </w:tcBorders>
            <w:shd w:val="clear" w:color="auto" w:fill="auto"/>
            <w:vAlign w:val="bottom"/>
          </w:tcPr>
          <w:p w14:paraId="606F7E03"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04"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GREATER CHINA</w:t>
            </w:r>
          </w:p>
        </w:tc>
        <w:tc>
          <w:tcPr>
            <w:tcW w:w="0" w:type="auto"/>
            <w:tcBorders>
              <w:bottom w:val="single" w:sz="8" w:space="0" w:color="E87722"/>
            </w:tcBorders>
            <w:shd w:val="clear" w:color="auto" w:fill="auto"/>
            <w:vAlign w:val="bottom"/>
          </w:tcPr>
          <w:p w14:paraId="606F7E05"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0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ASIA PACIFIC &amp; LATIN AMERICA</w:t>
            </w:r>
          </w:p>
        </w:tc>
        <w:tc>
          <w:tcPr>
            <w:tcW w:w="0" w:type="auto"/>
            <w:tcBorders>
              <w:bottom w:val="single" w:sz="8" w:space="0" w:color="E87722"/>
            </w:tcBorders>
            <w:shd w:val="clear" w:color="auto" w:fill="auto"/>
            <w:vAlign w:val="bottom"/>
          </w:tcPr>
          <w:p w14:paraId="606F7E07"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0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GLOBAL BRAND </w:t>
            </w:r>
            <w:r>
              <w:rPr>
                <w:rFonts w:ascii="sans-serif" w:eastAsia="sans-serif" w:hAnsi="sans-serif" w:cs="sans-serif"/>
                <w:b/>
                <w:bCs/>
                <w:color w:val="000000"/>
                <w:sz w:val="17"/>
                <w:szCs w:val="17"/>
              </w:rPr>
              <w:t>DIVISIONS</w:t>
            </w:r>
          </w:p>
        </w:tc>
        <w:tc>
          <w:tcPr>
            <w:tcW w:w="0" w:type="auto"/>
            <w:tcBorders>
              <w:bottom w:val="single" w:sz="8" w:space="0" w:color="E87722"/>
            </w:tcBorders>
            <w:shd w:val="clear" w:color="auto" w:fill="auto"/>
            <w:vAlign w:val="bottom"/>
          </w:tcPr>
          <w:p w14:paraId="606F7E09"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0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BRAND</w:t>
            </w:r>
          </w:p>
        </w:tc>
        <w:tc>
          <w:tcPr>
            <w:tcW w:w="0" w:type="auto"/>
            <w:tcBorders>
              <w:bottom w:val="single" w:sz="8" w:space="0" w:color="E87722"/>
            </w:tcBorders>
            <w:shd w:val="clear" w:color="auto" w:fill="auto"/>
            <w:vAlign w:val="bottom"/>
          </w:tcPr>
          <w:p w14:paraId="606F7E0B"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0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CONVERSE</w:t>
            </w:r>
          </w:p>
        </w:tc>
        <w:tc>
          <w:tcPr>
            <w:tcW w:w="0" w:type="auto"/>
            <w:tcBorders>
              <w:bottom w:val="single" w:sz="8" w:space="0" w:color="E87722"/>
            </w:tcBorders>
            <w:shd w:val="clear" w:color="auto" w:fill="auto"/>
            <w:vAlign w:val="bottom"/>
          </w:tcPr>
          <w:p w14:paraId="606F7E0D"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0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CORPORATE</w:t>
            </w:r>
          </w:p>
        </w:tc>
        <w:tc>
          <w:tcPr>
            <w:tcW w:w="0" w:type="auto"/>
            <w:tcBorders>
              <w:bottom w:val="single" w:sz="8" w:space="0" w:color="E87722"/>
            </w:tcBorders>
            <w:shd w:val="clear" w:color="auto" w:fill="auto"/>
            <w:vAlign w:val="bottom"/>
          </w:tcPr>
          <w:p w14:paraId="606F7E0F"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7E1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INC.</w:t>
            </w:r>
          </w:p>
        </w:tc>
        <w:tc>
          <w:tcPr>
            <w:tcW w:w="0" w:type="auto"/>
            <w:tcBorders>
              <w:bottom w:val="single" w:sz="8" w:space="0" w:color="E87722"/>
            </w:tcBorders>
            <w:shd w:val="clear" w:color="auto" w:fill="auto"/>
            <w:vAlign w:val="bottom"/>
          </w:tcPr>
          <w:p w14:paraId="606F7E11" w14:textId="77777777" w:rsidR="00FB67F9" w:rsidRDefault="00FB67F9">
            <w:pPr>
              <w:textAlignment w:val="bottom"/>
              <w:rPr>
                <w:rFonts w:ascii="Times New Roman" w:hAnsi="Times New Roman"/>
                <w:sz w:val="20"/>
                <w:szCs w:val="20"/>
              </w:rPr>
            </w:pPr>
          </w:p>
        </w:tc>
      </w:tr>
      <w:tr w:rsidR="00FB67F9" w14:paraId="606F7E1D" w14:textId="77777777">
        <w:tc>
          <w:tcPr>
            <w:tcW w:w="0" w:type="auto"/>
            <w:shd w:val="clear" w:color="auto" w:fill="auto"/>
            <w:tcMar>
              <w:top w:w="40" w:type="dxa"/>
              <w:left w:w="40" w:type="dxa"/>
              <w:bottom w:w="40" w:type="dxa"/>
              <w:right w:w="40" w:type="dxa"/>
            </w:tcMar>
            <w:vAlign w:val="bottom"/>
          </w:tcPr>
          <w:p w14:paraId="606F7E13"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auto"/>
            <w:tcMar>
              <w:top w:w="40" w:type="dxa"/>
              <w:left w:w="40" w:type="dxa"/>
              <w:bottom w:w="40" w:type="dxa"/>
              <w:right w:w="40" w:type="dxa"/>
            </w:tcMar>
            <w:vAlign w:val="bottom"/>
          </w:tcPr>
          <w:p w14:paraId="606F7E1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E1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E3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E1E"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auto"/>
            <w:tcMar>
              <w:top w:w="40" w:type="dxa"/>
              <w:left w:w="40" w:type="dxa"/>
              <w:bottom w:w="40" w:type="dxa"/>
            </w:tcMar>
            <w:vAlign w:val="bottom"/>
          </w:tcPr>
          <w:p w14:paraId="606F7E1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2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4,800</w:t>
            </w:r>
          </w:p>
        </w:tc>
        <w:tc>
          <w:tcPr>
            <w:tcW w:w="0" w:type="auto"/>
            <w:tcBorders>
              <w:top w:val="single" w:sz="8" w:space="0" w:color="808080"/>
            </w:tcBorders>
            <w:shd w:val="clear" w:color="auto" w:fill="auto"/>
            <w:vAlign w:val="bottom"/>
          </w:tcPr>
          <w:p w14:paraId="606F7E2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2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2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3,061</w:t>
            </w:r>
          </w:p>
        </w:tc>
        <w:tc>
          <w:tcPr>
            <w:tcW w:w="0" w:type="auto"/>
            <w:tcBorders>
              <w:top w:val="single" w:sz="8" w:space="0" w:color="808080"/>
            </w:tcBorders>
            <w:shd w:val="clear" w:color="auto" w:fill="auto"/>
            <w:vAlign w:val="bottom"/>
          </w:tcPr>
          <w:p w14:paraId="606F7E2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2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2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1,980</w:t>
            </w:r>
          </w:p>
        </w:tc>
        <w:tc>
          <w:tcPr>
            <w:tcW w:w="0" w:type="auto"/>
            <w:tcBorders>
              <w:top w:val="single" w:sz="8" w:space="0" w:color="808080"/>
            </w:tcBorders>
            <w:shd w:val="clear" w:color="auto" w:fill="auto"/>
            <w:vAlign w:val="bottom"/>
          </w:tcPr>
          <w:p w14:paraId="606F7E2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2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2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1,760</w:t>
            </w:r>
          </w:p>
        </w:tc>
        <w:tc>
          <w:tcPr>
            <w:tcW w:w="0" w:type="auto"/>
            <w:tcBorders>
              <w:top w:val="single" w:sz="8" w:space="0" w:color="808080"/>
            </w:tcBorders>
            <w:shd w:val="clear" w:color="auto" w:fill="auto"/>
            <w:vAlign w:val="bottom"/>
          </w:tcPr>
          <w:p w14:paraId="606F7E2A"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2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2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E2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2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2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11,601</w:t>
            </w:r>
          </w:p>
        </w:tc>
        <w:tc>
          <w:tcPr>
            <w:tcW w:w="0" w:type="auto"/>
            <w:tcBorders>
              <w:top w:val="single" w:sz="8" w:space="0" w:color="808080"/>
            </w:tcBorders>
            <w:shd w:val="clear" w:color="auto" w:fill="auto"/>
            <w:vAlign w:val="bottom"/>
          </w:tcPr>
          <w:p w14:paraId="606F7E3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3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3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817</w:t>
            </w:r>
          </w:p>
        </w:tc>
        <w:tc>
          <w:tcPr>
            <w:tcW w:w="0" w:type="auto"/>
            <w:tcBorders>
              <w:top w:val="single" w:sz="8" w:space="0" w:color="808080"/>
            </w:tcBorders>
            <w:shd w:val="clear" w:color="auto" w:fill="auto"/>
            <w:vAlign w:val="bottom"/>
          </w:tcPr>
          <w:p w14:paraId="606F7E3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3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3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E3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3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3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12,418</w:t>
            </w:r>
          </w:p>
        </w:tc>
        <w:tc>
          <w:tcPr>
            <w:tcW w:w="0" w:type="auto"/>
            <w:tcBorders>
              <w:top w:val="single" w:sz="8" w:space="0" w:color="808080"/>
            </w:tcBorders>
            <w:shd w:val="clear" w:color="auto" w:fill="auto"/>
            <w:vAlign w:val="bottom"/>
          </w:tcPr>
          <w:p w14:paraId="606F7E39" w14:textId="77777777" w:rsidR="00FB67F9" w:rsidRDefault="00FB67F9">
            <w:pPr>
              <w:textAlignment w:val="bottom"/>
              <w:rPr>
                <w:rFonts w:ascii="Times New Roman" w:hAnsi="Times New Roman"/>
                <w:sz w:val="20"/>
                <w:szCs w:val="20"/>
              </w:rPr>
            </w:pPr>
          </w:p>
        </w:tc>
      </w:tr>
      <w:tr w:rsidR="00FB67F9" w14:paraId="606F7E4E"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E3B"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auto"/>
            <w:tcMar>
              <w:top w:w="40" w:type="dxa"/>
              <w:left w:w="40" w:type="dxa"/>
              <w:bottom w:w="40" w:type="dxa"/>
            </w:tcMar>
            <w:vAlign w:val="bottom"/>
          </w:tcPr>
          <w:p w14:paraId="606F7E3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2,812</w:t>
            </w:r>
          </w:p>
        </w:tc>
        <w:tc>
          <w:tcPr>
            <w:tcW w:w="0" w:type="auto"/>
            <w:tcBorders>
              <w:top w:val="single" w:sz="8" w:space="0" w:color="808080"/>
            </w:tcBorders>
            <w:shd w:val="clear" w:color="auto" w:fill="auto"/>
            <w:vAlign w:val="bottom"/>
          </w:tcPr>
          <w:p w14:paraId="606F7E3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E3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1,624</w:t>
            </w:r>
          </w:p>
        </w:tc>
        <w:tc>
          <w:tcPr>
            <w:tcW w:w="0" w:type="auto"/>
            <w:tcBorders>
              <w:top w:val="single" w:sz="8" w:space="0" w:color="808080"/>
            </w:tcBorders>
            <w:shd w:val="clear" w:color="auto" w:fill="auto"/>
            <w:vAlign w:val="bottom"/>
          </w:tcPr>
          <w:p w14:paraId="606F7E3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E4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870</w:t>
            </w:r>
          </w:p>
        </w:tc>
        <w:tc>
          <w:tcPr>
            <w:tcW w:w="0" w:type="auto"/>
            <w:tcBorders>
              <w:top w:val="single" w:sz="8" w:space="0" w:color="808080"/>
            </w:tcBorders>
            <w:shd w:val="clear" w:color="auto" w:fill="auto"/>
            <w:vAlign w:val="bottom"/>
          </w:tcPr>
          <w:p w14:paraId="606F7E4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E4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692</w:t>
            </w:r>
          </w:p>
        </w:tc>
        <w:tc>
          <w:tcPr>
            <w:tcW w:w="0" w:type="auto"/>
            <w:tcBorders>
              <w:top w:val="single" w:sz="8" w:space="0" w:color="808080"/>
            </w:tcBorders>
            <w:shd w:val="clear" w:color="auto" w:fill="auto"/>
            <w:vAlign w:val="bottom"/>
          </w:tcPr>
          <w:p w14:paraId="606F7E4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E4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E4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E4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5,998</w:t>
            </w:r>
          </w:p>
        </w:tc>
        <w:tc>
          <w:tcPr>
            <w:tcW w:w="0" w:type="auto"/>
            <w:tcBorders>
              <w:top w:val="single" w:sz="8" w:space="0" w:color="808080"/>
            </w:tcBorders>
            <w:shd w:val="clear" w:color="auto" w:fill="auto"/>
            <w:vAlign w:val="bottom"/>
          </w:tcPr>
          <w:p w14:paraId="606F7E4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4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top w:val="single" w:sz="8" w:space="0" w:color="808080"/>
              <w:bottom w:val="single" w:sz="8" w:space="0" w:color="808080"/>
            </w:tcBorders>
            <w:shd w:val="clear" w:color="auto" w:fill="auto"/>
            <w:vAlign w:val="bottom"/>
          </w:tcPr>
          <w:p w14:paraId="606F7E4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E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E4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7E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6,064</w:t>
            </w:r>
          </w:p>
        </w:tc>
        <w:tc>
          <w:tcPr>
            <w:tcW w:w="0" w:type="auto"/>
            <w:tcBorders>
              <w:top w:val="single" w:sz="8" w:space="0" w:color="808080"/>
            </w:tcBorders>
            <w:shd w:val="clear" w:color="auto" w:fill="auto"/>
            <w:vAlign w:val="bottom"/>
          </w:tcPr>
          <w:p w14:paraId="606F7E4D" w14:textId="77777777" w:rsidR="00FB67F9" w:rsidRDefault="00FB67F9">
            <w:pPr>
              <w:textAlignment w:val="bottom"/>
              <w:rPr>
                <w:rFonts w:ascii="Times New Roman" w:hAnsi="Times New Roman"/>
                <w:sz w:val="20"/>
                <w:szCs w:val="20"/>
              </w:rPr>
            </w:pPr>
          </w:p>
        </w:tc>
      </w:tr>
      <w:tr w:rsidR="00FB67F9" w14:paraId="606F7E6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E4F" w14:textId="77777777" w:rsidR="00FB67F9" w:rsidRDefault="00E839DF">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315</w:t>
            </w:r>
          </w:p>
        </w:tc>
        <w:tc>
          <w:tcPr>
            <w:tcW w:w="0" w:type="auto"/>
            <w:tcBorders>
              <w:top w:val="single" w:sz="8" w:space="0" w:color="808080"/>
              <w:bottom w:val="single" w:sz="8" w:space="0" w:color="808080"/>
            </w:tcBorders>
            <w:shd w:val="clear" w:color="auto" w:fill="auto"/>
            <w:vAlign w:val="bottom"/>
          </w:tcPr>
          <w:p w14:paraId="606F7E5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235</w:t>
            </w:r>
          </w:p>
        </w:tc>
        <w:tc>
          <w:tcPr>
            <w:tcW w:w="0" w:type="auto"/>
            <w:tcBorders>
              <w:top w:val="single" w:sz="8" w:space="0" w:color="808080"/>
              <w:bottom w:val="single" w:sz="8" w:space="0" w:color="808080"/>
            </w:tcBorders>
            <w:shd w:val="clear" w:color="auto" w:fill="auto"/>
            <w:vAlign w:val="bottom"/>
          </w:tcPr>
          <w:p w14:paraId="606F7E5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73</w:t>
            </w:r>
          </w:p>
        </w:tc>
        <w:tc>
          <w:tcPr>
            <w:tcW w:w="0" w:type="auto"/>
            <w:tcBorders>
              <w:top w:val="single" w:sz="8" w:space="0" w:color="808080"/>
              <w:bottom w:val="single" w:sz="8" w:space="0" w:color="808080"/>
            </w:tcBorders>
            <w:shd w:val="clear" w:color="auto" w:fill="auto"/>
            <w:vAlign w:val="bottom"/>
          </w:tcPr>
          <w:p w14:paraId="606F7E5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116</w:t>
            </w:r>
          </w:p>
        </w:tc>
        <w:tc>
          <w:tcPr>
            <w:tcW w:w="0" w:type="auto"/>
            <w:tcBorders>
              <w:top w:val="single" w:sz="8" w:space="0" w:color="808080"/>
              <w:bottom w:val="single" w:sz="8" w:space="0" w:color="808080"/>
            </w:tcBorders>
            <w:shd w:val="clear" w:color="auto" w:fill="auto"/>
            <w:vAlign w:val="bottom"/>
          </w:tcPr>
          <w:p w14:paraId="606F7E5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E5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739</w:t>
            </w:r>
          </w:p>
        </w:tc>
        <w:tc>
          <w:tcPr>
            <w:tcW w:w="0" w:type="auto"/>
            <w:tcBorders>
              <w:top w:val="single" w:sz="8" w:space="0" w:color="808080"/>
              <w:bottom w:val="single" w:sz="8" w:space="0" w:color="808080"/>
            </w:tcBorders>
            <w:shd w:val="clear" w:color="auto" w:fill="auto"/>
            <w:vAlign w:val="bottom"/>
          </w:tcPr>
          <w:p w14:paraId="606F7E5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vAlign w:val="bottom"/>
          </w:tcPr>
          <w:p w14:paraId="606F7E5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5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E5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6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752</w:t>
            </w:r>
          </w:p>
        </w:tc>
        <w:tc>
          <w:tcPr>
            <w:tcW w:w="0" w:type="auto"/>
            <w:tcBorders>
              <w:top w:val="single" w:sz="8" w:space="0" w:color="808080"/>
              <w:bottom w:val="single" w:sz="8" w:space="0" w:color="808080"/>
            </w:tcBorders>
            <w:shd w:val="clear" w:color="auto" w:fill="auto"/>
            <w:vAlign w:val="bottom"/>
          </w:tcPr>
          <w:p w14:paraId="606F7E61" w14:textId="77777777" w:rsidR="00FB67F9" w:rsidRDefault="00FB67F9">
            <w:pPr>
              <w:textAlignment w:val="bottom"/>
              <w:rPr>
                <w:rFonts w:ascii="Times New Roman" w:hAnsi="Times New Roman"/>
                <w:sz w:val="20"/>
                <w:szCs w:val="20"/>
              </w:rPr>
            </w:pPr>
          </w:p>
        </w:tc>
      </w:tr>
      <w:tr w:rsidR="00FB67F9" w14:paraId="606F7E76" w14:textId="77777777">
        <w:tc>
          <w:tcPr>
            <w:tcW w:w="0" w:type="auto"/>
            <w:shd w:val="clear" w:color="auto" w:fill="auto"/>
            <w:tcMar>
              <w:top w:w="40" w:type="dxa"/>
              <w:left w:w="240" w:type="dxa"/>
              <w:bottom w:w="40" w:type="dxa"/>
              <w:right w:w="40" w:type="dxa"/>
            </w:tcMar>
            <w:vAlign w:val="bottom"/>
          </w:tcPr>
          <w:p w14:paraId="606F7E63"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auto"/>
            <w:tcMar>
              <w:top w:w="40" w:type="dxa"/>
              <w:left w:w="40" w:type="dxa"/>
              <w:bottom w:w="40" w:type="dxa"/>
            </w:tcMar>
            <w:vAlign w:val="bottom"/>
          </w:tcPr>
          <w:p w14:paraId="606F7E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65"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67"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69"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6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6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6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vAlign w:val="bottom"/>
          </w:tcPr>
          <w:p w14:paraId="606F7E6D"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6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vAlign w:val="bottom"/>
          </w:tcPr>
          <w:p w14:paraId="606F7E6F"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7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w:t>
            </w:r>
          </w:p>
        </w:tc>
        <w:tc>
          <w:tcPr>
            <w:tcW w:w="0" w:type="auto"/>
            <w:shd w:val="clear" w:color="auto" w:fill="auto"/>
            <w:vAlign w:val="bottom"/>
          </w:tcPr>
          <w:p w14:paraId="606F7E71"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7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vAlign w:val="bottom"/>
          </w:tcPr>
          <w:p w14:paraId="606F7E73"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7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w:t>
            </w:r>
          </w:p>
        </w:tc>
        <w:tc>
          <w:tcPr>
            <w:tcW w:w="0" w:type="auto"/>
            <w:shd w:val="clear" w:color="auto" w:fill="auto"/>
            <w:vAlign w:val="bottom"/>
          </w:tcPr>
          <w:p w14:paraId="606F7E75" w14:textId="77777777" w:rsidR="00FB67F9" w:rsidRDefault="00FB67F9">
            <w:pPr>
              <w:textAlignment w:val="bottom"/>
              <w:rPr>
                <w:rFonts w:ascii="Times New Roman" w:hAnsi="Times New Roman"/>
                <w:sz w:val="20"/>
                <w:szCs w:val="20"/>
              </w:rPr>
            </w:pPr>
          </w:p>
        </w:tc>
      </w:tr>
      <w:tr w:rsidR="00FB67F9" w14:paraId="606F7E9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E7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7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7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7,927</w:t>
            </w:r>
          </w:p>
        </w:tc>
        <w:tc>
          <w:tcPr>
            <w:tcW w:w="0" w:type="auto"/>
            <w:tcBorders>
              <w:top w:val="single" w:sz="8" w:space="0" w:color="E87722"/>
              <w:bottom w:val="single" w:sz="8" w:space="0" w:color="E87722"/>
            </w:tcBorders>
            <w:shd w:val="clear" w:color="auto" w:fill="auto"/>
            <w:vAlign w:val="bottom"/>
          </w:tcPr>
          <w:p w14:paraId="606F7E7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7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7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4,920</w:t>
            </w:r>
          </w:p>
        </w:tc>
        <w:tc>
          <w:tcPr>
            <w:tcW w:w="0" w:type="auto"/>
            <w:tcBorders>
              <w:top w:val="single" w:sz="8" w:space="0" w:color="E87722"/>
              <w:bottom w:val="single" w:sz="8" w:space="0" w:color="E87722"/>
            </w:tcBorders>
            <w:shd w:val="clear" w:color="auto" w:fill="auto"/>
            <w:vAlign w:val="bottom"/>
          </w:tcPr>
          <w:p w14:paraId="606F7E7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7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7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2,923</w:t>
            </w:r>
          </w:p>
        </w:tc>
        <w:tc>
          <w:tcPr>
            <w:tcW w:w="0" w:type="auto"/>
            <w:tcBorders>
              <w:top w:val="single" w:sz="8" w:space="0" w:color="E87722"/>
              <w:bottom w:val="single" w:sz="8" w:space="0" w:color="E87722"/>
            </w:tcBorders>
            <w:shd w:val="clear" w:color="auto" w:fill="auto"/>
            <w:vAlign w:val="bottom"/>
          </w:tcPr>
          <w:p w14:paraId="606F7E8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8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8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2,568</w:t>
            </w:r>
          </w:p>
        </w:tc>
        <w:tc>
          <w:tcPr>
            <w:tcW w:w="0" w:type="auto"/>
            <w:tcBorders>
              <w:top w:val="single" w:sz="8" w:space="0" w:color="E87722"/>
              <w:bottom w:val="single" w:sz="8" w:space="0" w:color="E87722"/>
            </w:tcBorders>
            <w:shd w:val="clear" w:color="auto" w:fill="auto"/>
            <w:vAlign w:val="bottom"/>
          </w:tcPr>
          <w:p w14:paraId="606F7E8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8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8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w:t>
            </w:r>
          </w:p>
        </w:tc>
        <w:tc>
          <w:tcPr>
            <w:tcW w:w="0" w:type="auto"/>
            <w:tcBorders>
              <w:top w:val="single" w:sz="8" w:space="0" w:color="E87722"/>
              <w:bottom w:val="single" w:sz="8" w:space="0" w:color="E87722"/>
            </w:tcBorders>
            <w:shd w:val="clear" w:color="auto" w:fill="auto"/>
            <w:vAlign w:val="bottom"/>
          </w:tcPr>
          <w:p w14:paraId="606F7E8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8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8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18,363</w:t>
            </w:r>
          </w:p>
        </w:tc>
        <w:tc>
          <w:tcPr>
            <w:tcW w:w="0" w:type="auto"/>
            <w:tcBorders>
              <w:top w:val="single" w:sz="8" w:space="0" w:color="E87722"/>
              <w:bottom w:val="single" w:sz="8" w:space="0" w:color="E87722"/>
            </w:tcBorders>
            <w:shd w:val="clear" w:color="auto" w:fill="auto"/>
            <w:vAlign w:val="bottom"/>
          </w:tcPr>
          <w:p w14:paraId="606F7E8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8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8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952</w:t>
            </w:r>
          </w:p>
        </w:tc>
        <w:tc>
          <w:tcPr>
            <w:tcW w:w="0" w:type="auto"/>
            <w:tcBorders>
              <w:top w:val="single" w:sz="8" w:space="0" w:color="E87722"/>
              <w:bottom w:val="single" w:sz="8" w:space="0" w:color="E87722"/>
            </w:tcBorders>
            <w:shd w:val="clear" w:color="auto" w:fill="auto"/>
            <w:vAlign w:val="bottom"/>
          </w:tcPr>
          <w:p w14:paraId="606F7E8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8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8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vAlign w:val="bottom"/>
          </w:tcPr>
          <w:p w14:paraId="606F7E8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9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9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19,322</w:t>
            </w:r>
          </w:p>
        </w:tc>
        <w:tc>
          <w:tcPr>
            <w:tcW w:w="0" w:type="auto"/>
            <w:tcBorders>
              <w:top w:val="single" w:sz="8" w:space="0" w:color="E87722"/>
              <w:bottom w:val="single" w:sz="8" w:space="0" w:color="E87722"/>
            </w:tcBorders>
            <w:shd w:val="clear" w:color="auto" w:fill="auto"/>
            <w:vAlign w:val="bottom"/>
          </w:tcPr>
          <w:p w14:paraId="606F7E92" w14:textId="77777777" w:rsidR="00FB67F9" w:rsidRDefault="00FB67F9">
            <w:pPr>
              <w:textAlignment w:val="bottom"/>
              <w:rPr>
                <w:rFonts w:ascii="Times New Roman" w:hAnsi="Times New Roman"/>
                <w:sz w:val="20"/>
                <w:szCs w:val="20"/>
              </w:rPr>
            </w:pPr>
          </w:p>
        </w:tc>
      </w:tr>
      <w:tr w:rsidR="00FB67F9" w14:paraId="606F7E9E" w14:textId="77777777">
        <w:tc>
          <w:tcPr>
            <w:tcW w:w="0" w:type="auto"/>
            <w:shd w:val="clear" w:color="auto" w:fill="auto"/>
            <w:tcMar>
              <w:top w:w="40" w:type="dxa"/>
              <w:left w:w="40" w:type="dxa"/>
              <w:bottom w:w="40" w:type="dxa"/>
              <w:right w:w="40" w:type="dxa"/>
            </w:tcMar>
            <w:vAlign w:val="bottom"/>
          </w:tcPr>
          <w:p w14:paraId="606F7E94"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auto"/>
            <w:tcMar>
              <w:top w:w="40" w:type="dxa"/>
              <w:left w:w="40" w:type="dxa"/>
              <w:bottom w:w="40" w:type="dxa"/>
              <w:right w:w="40" w:type="dxa"/>
            </w:tcMar>
            <w:vAlign w:val="bottom"/>
          </w:tcPr>
          <w:p w14:paraId="606F7E95"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6"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7"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8"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9"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A"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B"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C" w14:textId="77777777" w:rsidR="00FB67F9" w:rsidRDefault="00FB67F9">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606F7E9D" w14:textId="77777777" w:rsidR="00FB67F9" w:rsidRDefault="00FB67F9">
            <w:pPr>
              <w:textAlignment w:val="bottom"/>
              <w:rPr>
                <w:rFonts w:ascii="Times New Roman" w:hAnsi="Times New Roman"/>
                <w:sz w:val="17"/>
                <w:szCs w:val="17"/>
              </w:rPr>
            </w:pPr>
          </w:p>
        </w:tc>
      </w:tr>
      <w:tr w:rsidR="00FB67F9" w14:paraId="606F7EB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7E9F"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auto"/>
            <w:tcMar>
              <w:top w:w="40" w:type="dxa"/>
              <w:left w:w="40" w:type="dxa"/>
              <w:bottom w:w="40" w:type="dxa"/>
            </w:tcMar>
            <w:vAlign w:val="bottom"/>
          </w:tcPr>
          <w:p w14:paraId="606F7EA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A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5,484</w:t>
            </w:r>
          </w:p>
        </w:tc>
        <w:tc>
          <w:tcPr>
            <w:tcW w:w="0" w:type="auto"/>
            <w:tcBorders>
              <w:top w:val="single" w:sz="8" w:space="0" w:color="808080"/>
            </w:tcBorders>
            <w:shd w:val="clear" w:color="auto" w:fill="auto"/>
            <w:vAlign w:val="bottom"/>
          </w:tcPr>
          <w:p w14:paraId="606F7EA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A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A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3,533</w:t>
            </w:r>
          </w:p>
        </w:tc>
        <w:tc>
          <w:tcPr>
            <w:tcW w:w="0" w:type="auto"/>
            <w:tcBorders>
              <w:top w:val="single" w:sz="8" w:space="0" w:color="808080"/>
            </w:tcBorders>
            <w:shd w:val="clear" w:color="auto" w:fill="auto"/>
            <w:vAlign w:val="bottom"/>
          </w:tcPr>
          <w:p w14:paraId="606F7EA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A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1,768</w:t>
            </w:r>
          </w:p>
        </w:tc>
        <w:tc>
          <w:tcPr>
            <w:tcW w:w="0" w:type="auto"/>
            <w:tcBorders>
              <w:top w:val="single" w:sz="8" w:space="0" w:color="808080"/>
            </w:tcBorders>
            <w:shd w:val="clear" w:color="auto" w:fill="auto"/>
            <w:vAlign w:val="bottom"/>
          </w:tcPr>
          <w:p w14:paraId="606F7EA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A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A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1,871</w:t>
            </w:r>
          </w:p>
        </w:tc>
        <w:tc>
          <w:tcPr>
            <w:tcW w:w="0" w:type="auto"/>
            <w:tcBorders>
              <w:top w:val="single" w:sz="8" w:space="0" w:color="808080"/>
            </w:tcBorders>
            <w:shd w:val="clear" w:color="auto" w:fill="auto"/>
            <w:vAlign w:val="bottom"/>
          </w:tcPr>
          <w:p w14:paraId="606F7EA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A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EA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A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12,656</w:t>
            </w:r>
          </w:p>
        </w:tc>
        <w:tc>
          <w:tcPr>
            <w:tcW w:w="0" w:type="auto"/>
            <w:tcBorders>
              <w:top w:val="single" w:sz="8" w:space="0" w:color="808080"/>
            </w:tcBorders>
            <w:shd w:val="clear" w:color="auto" w:fill="auto"/>
            <w:vAlign w:val="bottom"/>
          </w:tcPr>
          <w:p w14:paraId="606F7EB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B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B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622</w:t>
            </w:r>
          </w:p>
        </w:tc>
        <w:tc>
          <w:tcPr>
            <w:tcW w:w="0" w:type="auto"/>
            <w:tcBorders>
              <w:top w:val="single" w:sz="8" w:space="0" w:color="808080"/>
            </w:tcBorders>
            <w:shd w:val="clear" w:color="auto" w:fill="auto"/>
            <w:vAlign w:val="bottom"/>
          </w:tcPr>
          <w:p w14:paraId="606F7EB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B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7EB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7E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7E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13,278</w:t>
            </w:r>
          </w:p>
        </w:tc>
        <w:tc>
          <w:tcPr>
            <w:tcW w:w="0" w:type="auto"/>
            <w:tcBorders>
              <w:top w:val="single" w:sz="8" w:space="0" w:color="808080"/>
            </w:tcBorders>
            <w:shd w:val="clear" w:color="auto" w:fill="auto"/>
            <w:vAlign w:val="bottom"/>
          </w:tcPr>
          <w:p w14:paraId="606F7EBA" w14:textId="77777777" w:rsidR="00FB67F9" w:rsidRDefault="00FB67F9">
            <w:pPr>
              <w:textAlignment w:val="bottom"/>
              <w:rPr>
                <w:rFonts w:ascii="Times New Roman" w:hAnsi="Times New Roman"/>
                <w:sz w:val="20"/>
                <w:szCs w:val="20"/>
              </w:rPr>
            </w:pPr>
          </w:p>
        </w:tc>
      </w:tr>
      <w:tr w:rsidR="00FB67F9" w14:paraId="606F7EC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EBC"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B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2,443</w:t>
            </w:r>
          </w:p>
        </w:tc>
        <w:tc>
          <w:tcPr>
            <w:tcW w:w="0" w:type="auto"/>
            <w:tcBorders>
              <w:top w:val="single" w:sz="8" w:space="0" w:color="808080"/>
              <w:bottom w:val="single" w:sz="8" w:space="0" w:color="808080"/>
            </w:tcBorders>
            <w:shd w:val="clear" w:color="auto" w:fill="auto"/>
            <w:vAlign w:val="bottom"/>
          </w:tcPr>
          <w:p w14:paraId="606F7EB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1,387</w:t>
            </w:r>
          </w:p>
        </w:tc>
        <w:tc>
          <w:tcPr>
            <w:tcW w:w="0" w:type="auto"/>
            <w:tcBorders>
              <w:top w:val="single" w:sz="8" w:space="0" w:color="808080"/>
              <w:bottom w:val="single" w:sz="8" w:space="0" w:color="808080"/>
            </w:tcBorders>
            <w:shd w:val="clear" w:color="auto" w:fill="auto"/>
            <w:vAlign w:val="bottom"/>
          </w:tcPr>
          <w:p w14:paraId="606F7EC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1,155</w:t>
            </w:r>
          </w:p>
        </w:tc>
        <w:tc>
          <w:tcPr>
            <w:tcW w:w="0" w:type="auto"/>
            <w:tcBorders>
              <w:top w:val="single" w:sz="8" w:space="0" w:color="808080"/>
              <w:bottom w:val="single" w:sz="8" w:space="0" w:color="808080"/>
            </w:tcBorders>
            <w:shd w:val="clear" w:color="auto" w:fill="auto"/>
            <w:vAlign w:val="bottom"/>
          </w:tcPr>
          <w:p w14:paraId="606F7EC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697</w:t>
            </w:r>
          </w:p>
        </w:tc>
        <w:tc>
          <w:tcPr>
            <w:tcW w:w="0" w:type="auto"/>
            <w:tcBorders>
              <w:top w:val="single" w:sz="8" w:space="0" w:color="808080"/>
              <w:bottom w:val="single" w:sz="8" w:space="0" w:color="808080"/>
            </w:tcBorders>
            <w:shd w:val="clear" w:color="auto" w:fill="auto"/>
            <w:vAlign w:val="bottom"/>
          </w:tcPr>
          <w:p w14:paraId="606F7EC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EC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5,682</w:t>
            </w:r>
          </w:p>
        </w:tc>
        <w:tc>
          <w:tcPr>
            <w:tcW w:w="0" w:type="auto"/>
            <w:tcBorders>
              <w:top w:val="single" w:sz="8" w:space="0" w:color="808080"/>
              <w:bottom w:val="single" w:sz="8" w:space="0" w:color="808080"/>
            </w:tcBorders>
            <w:shd w:val="clear" w:color="auto" w:fill="auto"/>
            <w:vAlign w:val="bottom"/>
          </w:tcPr>
          <w:p w14:paraId="606F7EC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274</w:t>
            </w:r>
          </w:p>
        </w:tc>
        <w:tc>
          <w:tcPr>
            <w:tcW w:w="0" w:type="auto"/>
            <w:tcBorders>
              <w:top w:val="single" w:sz="8" w:space="0" w:color="808080"/>
              <w:bottom w:val="single" w:sz="8" w:space="0" w:color="808080"/>
            </w:tcBorders>
            <w:shd w:val="clear" w:color="auto" w:fill="auto"/>
            <w:vAlign w:val="bottom"/>
          </w:tcPr>
          <w:p w14:paraId="606F7EC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7EC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E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5,956</w:t>
            </w:r>
          </w:p>
        </w:tc>
        <w:tc>
          <w:tcPr>
            <w:tcW w:w="0" w:type="auto"/>
            <w:tcBorders>
              <w:top w:val="single" w:sz="8" w:space="0" w:color="808080"/>
              <w:bottom w:val="single" w:sz="8" w:space="0" w:color="808080"/>
            </w:tcBorders>
            <w:shd w:val="clear" w:color="auto" w:fill="auto"/>
            <w:vAlign w:val="bottom"/>
          </w:tcPr>
          <w:p w14:paraId="606F7ECE" w14:textId="77777777" w:rsidR="00FB67F9" w:rsidRDefault="00FB67F9">
            <w:pPr>
              <w:textAlignment w:val="bottom"/>
              <w:rPr>
                <w:rFonts w:ascii="Times New Roman" w:hAnsi="Times New Roman"/>
                <w:sz w:val="20"/>
                <w:szCs w:val="20"/>
              </w:rPr>
            </w:pPr>
          </w:p>
        </w:tc>
      </w:tr>
      <w:tr w:rsidR="00FB67F9" w14:paraId="606F7EE3" w14:textId="77777777">
        <w:tc>
          <w:tcPr>
            <w:tcW w:w="0" w:type="auto"/>
            <w:shd w:val="clear" w:color="auto" w:fill="auto"/>
            <w:tcMar>
              <w:top w:w="40" w:type="dxa"/>
              <w:left w:w="240" w:type="dxa"/>
              <w:bottom w:w="40" w:type="dxa"/>
              <w:right w:w="40" w:type="dxa"/>
            </w:tcMar>
            <w:vAlign w:val="bottom"/>
          </w:tcPr>
          <w:p w14:paraId="606F7ED0" w14:textId="77777777" w:rsidR="00FB67F9" w:rsidRDefault="00E839DF">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auto"/>
            <w:tcMar>
              <w:top w:w="40" w:type="dxa"/>
              <w:left w:w="40" w:type="dxa"/>
              <w:bottom w:w="40" w:type="dxa"/>
            </w:tcMar>
            <w:vAlign w:val="bottom"/>
          </w:tcPr>
          <w:p w14:paraId="606F7ED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D2"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D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D4"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D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7ED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D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vAlign w:val="bottom"/>
          </w:tcPr>
          <w:p w14:paraId="606F7EDA"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vAlign w:val="bottom"/>
          </w:tcPr>
          <w:p w14:paraId="606F7EDC"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w:t>
            </w:r>
          </w:p>
        </w:tc>
        <w:tc>
          <w:tcPr>
            <w:tcW w:w="0" w:type="auto"/>
            <w:shd w:val="clear" w:color="auto" w:fill="auto"/>
            <w:vAlign w:val="bottom"/>
          </w:tcPr>
          <w:p w14:paraId="606F7EDE"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D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vAlign w:val="bottom"/>
          </w:tcPr>
          <w:p w14:paraId="606F7EE0"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7E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w:t>
            </w:r>
          </w:p>
        </w:tc>
        <w:tc>
          <w:tcPr>
            <w:tcW w:w="0" w:type="auto"/>
            <w:shd w:val="clear" w:color="auto" w:fill="auto"/>
            <w:vAlign w:val="bottom"/>
          </w:tcPr>
          <w:p w14:paraId="606F7EE2" w14:textId="77777777" w:rsidR="00FB67F9" w:rsidRDefault="00FB67F9">
            <w:pPr>
              <w:textAlignment w:val="bottom"/>
              <w:rPr>
                <w:rFonts w:ascii="Times New Roman" w:hAnsi="Times New Roman"/>
                <w:sz w:val="20"/>
                <w:szCs w:val="20"/>
              </w:rPr>
            </w:pPr>
          </w:p>
        </w:tc>
      </w:tr>
      <w:tr w:rsidR="00FB67F9" w14:paraId="606F7F00"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EE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E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E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7,927</w:t>
            </w:r>
          </w:p>
        </w:tc>
        <w:tc>
          <w:tcPr>
            <w:tcW w:w="0" w:type="auto"/>
            <w:tcBorders>
              <w:top w:val="single" w:sz="8" w:space="0" w:color="E87722"/>
              <w:bottom w:val="single" w:sz="8" w:space="0" w:color="E87722"/>
            </w:tcBorders>
            <w:shd w:val="clear" w:color="auto" w:fill="auto"/>
            <w:vAlign w:val="bottom"/>
          </w:tcPr>
          <w:p w14:paraId="606F7EE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E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E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4,920</w:t>
            </w:r>
          </w:p>
        </w:tc>
        <w:tc>
          <w:tcPr>
            <w:tcW w:w="0" w:type="auto"/>
            <w:tcBorders>
              <w:top w:val="single" w:sz="8" w:space="0" w:color="E87722"/>
              <w:bottom w:val="single" w:sz="8" w:space="0" w:color="E87722"/>
            </w:tcBorders>
            <w:shd w:val="clear" w:color="auto" w:fill="auto"/>
            <w:vAlign w:val="bottom"/>
          </w:tcPr>
          <w:p w14:paraId="606F7EE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E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2,923</w:t>
            </w:r>
          </w:p>
        </w:tc>
        <w:tc>
          <w:tcPr>
            <w:tcW w:w="0" w:type="auto"/>
            <w:tcBorders>
              <w:top w:val="single" w:sz="8" w:space="0" w:color="E87722"/>
              <w:bottom w:val="single" w:sz="8" w:space="0" w:color="E87722"/>
            </w:tcBorders>
            <w:shd w:val="clear" w:color="auto" w:fill="auto"/>
            <w:vAlign w:val="bottom"/>
          </w:tcPr>
          <w:p w14:paraId="606F7EE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E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E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2,568</w:t>
            </w:r>
          </w:p>
        </w:tc>
        <w:tc>
          <w:tcPr>
            <w:tcW w:w="0" w:type="auto"/>
            <w:tcBorders>
              <w:top w:val="single" w:sz="8" w:space="0" w:color="E87722"/>
              <w:bottom w:val="single" w:sz="8" w:space="0" w:color="E87722"/>
            </w:tcBorders>
            <w:shd w:val="clear" w:color="auto" w:fill="auto"/>
            <w:vAlign w:val="bottom"/>
          </w:tcPr>
          <w:p w14:paraId="606F7EF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F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F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w:t>
            </w:r>
          </w:p>
        </w:tc>
        <w:tc>
          <w:tcPr>
            <w:tcW w:w="0" w:type="auto"/>
            <w:tcBorders>
              <w:top w:val="single" w:sz="8" w:space="0" w:color="E87722"/>
              <w:bottom w:val="single" w:sz="8" w:space="0" w:color="E87722"/>
            </w:tcBorders>
            <w:shd w:val="clear" w:color="auto" w:fill="auto"/>
            <w:vAlign w:val="bottom"/>
          </w:tcPr>
          <w:p w14:paraId="606F7EF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F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F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18,363</w:t>
            </w:r>
          </w:p>
        </w:tc>
        <w:tc>
          <w:tcPr>
            <w:tcW w:w="0" w:type="auto"/>
            <w:tcBorders>
              <w:top w:val="single" w:sz="8" w:space="0" w:color="E87722"/>
              <w:bottom w:val="single" w:sz="8" w:space="0" w:color="E87722"/>
            </w:tcBorders>
            <w:shd w:val="clear" w:color="auto" w:fill="auto"/>
            <w:vAlign w:val="bottom"/>
          </w:tcPr>
          <w:p w14:paraId="606F7EF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F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F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952</w:t>
            </w:r>
          </w:p>
        </w:tc>
        <w:tc>
          <w:tcPr>
            <w:tcW w:w="0" w:type="auto"/>
            <w:tcBorders>
              <w:top w:val="single" w:sz="8" w:space="0" w:color="E87722"/>
              <w:bottom w:val="single" w:sz="8" w:space="0" w:color="E87722"/>
            </w:tcBorders>
            <w:shd w:val="clear" w:color="auto" w:fill="auto"/>
            <w:vAlign w:val="bottom"/>
          </w:tcPr>
          <w:p w14:paraId="606F7EF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F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F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vAlign w:val="bottom"/>
          </w:tcPr>
          <w:p w14:paraId="606F7EF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EF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EF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19,322</w:t>
            </w:r>
          </w:p>
        </w:tc>
        <w:tc>
          <w:tcPr>
            <w:tcW w:w="0" w:type="auto"/>
            <w:tcBorders>
              <w:top w:val="single" w:sz="8" w:space="0" w:color="E87722"/>
              <w:bottom w:val="single" w:sz="8" w:space="0" w:color="E87722"/>
            </w:tcBorders>
            <w:shd w:val="clear" w:color="auto" w:fill="auto"/>
            <w:vAlign w:val="bottom"/>
          </w:tcPr>
          <w:p w14:paraId="606F7EFF" w14:textId="77777777" w:rsidR="00FB67F9" w:rsidRDefault="00FB67F9">
            <w:pPr>
              <w:textAlignment w:val="bottom"/>
              <w:rPr>
                <w:rFonts w:ascii="Times New Roman" w:hAnsi="Times New Roman"/>
                <w:sz w:val="20"/>
                <w:szCs w:val="20"/>
              </w:rPr>
            </w:pPr>
          </w:p>
        </w:tc>
      </w:tr>
    </w:tbl>
    <w:p w14:paraId="606F7F01" w14:textId="77777777" w:rsidR="00FB67F9" w:rsidRDefault="00FB67F9">
      <w:pPr>
        <w:spacing w:line="312" w:lineRule="auto"/>
        <w:rPr>
          <w:rFonts w:ascii="Times New Roman" w:hAnsi="Times New Roman"/>
          <w:sz w:val="20"/>
          <w:szCs w:val="20"/>
        </w:rPr>
      </w:pPr>
    </w:p>
    <w:p w14:paraId="606F7F0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For the three and six months ended November 30, 2019 and 2018, other revenues for Global Brand Divisions and Converse were primarily attributable to licensing b</w:t>
      </w:r>
      <w:r>
        <w:rPr>
          <w:rFonts w:ascii="Arial" w:eastAsia="宋体" w:hAnsi="Arial" w:cs="Arial"/>
          <w:sz w:val="17"/>
          <w:szCs w:val="17"/>
        </w:rPr>
        <w:t>usinesses. For the three and six months ended November 30, 2019 and 2018, other revenues for Corporate primarily consisted of foreign currency hedge gains and losses related to revenues generated by entities within the NIKE Brand geographic operating segme</w:t>
      </w:r>
      <w:r>
        <w:rPr>
          <w:rFonts w:ascii="Arial" w:eastAsia="宋体" w:hAnsi="Arial" w:cs="Arial"/>
          <w:sz w:val="17"/>
          <w:szCs w:val="17"/>
        </w:rPr>
        <w:t>nts and Converse but managed through the Company's central foreign exchange risk management program.</w:t>
      </w:r>
    </w:p>
    <w:p w14:paraId="606F7F0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As of November 30, 2019 and May 31, 2019, the Company did not have any contract assets and had an immaterial amount of contract liabilities recorded in </w:t>
      </w:r>
      <w:r>
        <w:rPr>
          <w:rFonts w:ascii="Arial" w:eastAsia="宋体" w:hAnsi="Arial" w:cs="Arial"/>
          <w:i/>
          <w:iCs/>
          <w:sz w:val="17"/>
          <w:szCs w:val="17"/>
        </w:rPr>
        <w:t>Acc</w:t>
      </w:r>
      <w:r>
        <w:rPr>
          <w:rFonts w:ascii="Arial" w:eastAsia="宋体" w:hAnsi="Arial" w:cs="Arial"/>
          <w:i/>
          <w:iCs/>
          <w:sz w:val="17"/>
          <w:szCs w:val="17"/>
        </w:rPr>
        <w:t>rued Liabilities</w:t>
      </w:r>
      <w:r>
        <w:rPr>
          <w:rFonts w:ascii="Arial" w:eastAsia="宋体" w:hAnsi="Arial" w:cs="Arial"/>
          <w:sz w:val="17"/>
          <w:szCs w:val="17"/>
        </w:rPr>
        <w:t xml:space="preserve"> on the Unaudited Condensed Consolidated Balance Sheets.</w:t>
      </w:r>
    </w:p>
    <w:p w14:paraId="606F7F04" w14:textId="77777777" w:rsidR="00FB67F9" w:rsidRDefault="00FB67F9">
      <w:pPr>
        <w:rPr>
          <w:rFonts w:ascii="Times New Roman" w:hAnsi="Times New Roman"/>
          <w:sz w:val="20"/>
          <w:szCs w:val="20"/>
        </w:rPr>
      </w:pPr>
    </w:p>
    <w:p w14:paraId="606F7F05"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21</w:t>
      </w:r>
    </w:p>
    <w:p w14:paraId="606F7F06" w14:textId="77777777" w:rsidR="00FB67F9" w:rsidRDefault="00E839DF">
      <w:r>
        <w:rPr>
          <w:rFonts w:ascii="Times New Roman" w:hAnsi="Times New Roman"/>
          <w:sz w:val="17"/>
          <w:szCs w:val="17"/>
        </w:rPr>
        <w:pict w14:anchorId="606F8F92">
          <v:rect id="_x0000_i1047" style="width:415.3pt;height:1.5pt" o:hralign="center" o:hrstd="t" o:hr="t" fillcolor="#a0a0a0" stroked="f"/>
        </w:pict>
      </w:r>
    </w:p>
    <w:p w14:paraId="606F7F07" w14:textId="77777777" w:rsidR="00FB67F9" w:rsidRDefault="00FB67F9">
      <w:pPr>
        <w:rPr>
          <w:rFonts w:ascii="Times New Roman" w:hAnsi="Times New Roman"/>
          <w:sz w:val="17"/>
          <w:szCs w:val="17"/>
        </w:rPr>
      </w:pPr>
    </w:p>
    <w:p w14:paraId="606F7F08" w14:textId="77777777" w:rsidR="00FB67F9" w:rsidRDefault="00E839DF">
      <w:pPr>
        <w:rPr>
          <w:rFonts w:ascii="Times New Roman" w:hAnsi="Times New Roman"/>
          <w:sz w:val="17"/>
          <w:szCs w:val="17"/>
        </w:rPr>
      </w:pPr>
      <w:hyperlink r:id="rId91" w:anchor="s42C493F7582652B69E70047AB812E6A5" w:history="1">
        <w:r>
          <w:rPr>
            <w:rStyle w:val="a5"/>
            <w:rFonts w:ascii="sans-serif" w:eastAsia="sans-serif" w:hAnsi="sans-serif" w:cs="sans-serif"/>
            <w:sz w:val="17"/>
            <w:szCs w:val="17"/>
          </w:rPr>
          <w:t>Table of Contents</w:t>
        </w:r>
      </w:hyperlink>
    </w:p>
    <w:p w14:paraId="606F7F09" w14:textId="77777777" w:rsidR="00FB67F9" w:rsidRDefault="00FB67F9">
      <w:pPr>
        <w:rPr>
          <w:rFonts w:ascii="Times New Roman" w:hAnsi="Times New Roman"/>
          <w:sz w:val="17"/>
          <w:szCs w:val="17"/>
        </w:rPr>
      </w:pPr>
    </w:p>
    <w:p w14:paraId="606F7F0A" w14:textId="77777777" w:rsidR="00FB67F9" w:rsidRDefault="00FB67F9">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FB67F9" w14:paraId="606F7F0C" w14:textId="77777777">
        <w:tc>
          <w:tcPr>
            <w:tcW w:w="0" w:type="auto"/>
            <w:shd w:val="clear" w:color="auto" w:fill="auto"/>
            <w:vAlign w:val="center"/>
          </w:tcPr>
          <w:p w14:paraId="606F7F0B" w14:textId="77777777" w:rsidR="00FB67F9" w:rsidRDefault="00FB67F9">
            <w:pPr>
              <w:rPr>
                <w:rFonts w:ascii="Times New Roman" w:hAnsi="Times New Roman"/>
                <w:sz w:val="20"/>
                <w:szCs w:val="20"/>
              </w:rPr>
            </w:pPr>
          </w:p>
        </w:tc>
      </w:tr>
      <w:tr w:rsidR="00FB67F9" w14:paraId="606F7F0E" w14:textId="77777777">
        <w:tc>
          <w:tcPr>
            <w:tcW w:w="5000" w:type="pct"/>
            <w:shd w:val="clear" w:color="auto" w:fill="auto"/>
            <w:vAlign w:val="center"/>
          </w:tcPr>
          <w:p w14:paraId="606F7F0D" w14:textId="77777777" w:rsidR="00FB67F9" w:rsidRDefault="00FB67F9">
            <w:pPr>
              <w:rPr>
                <w:rFonts w:ascii="Times New Roman" w:hAnsi="Times New Roman"/>
                <w:sz w:val="20"/>
                <w:szCs w:val="20"/>
              </w:rPr>
            </w:pPr>
          </w:p>
        </w:tc>
      </w:tr>
      <w:tr w:rsidR="00FB67F9" w14:paraId="606F7F10" w14:textId="77777777">
        <w:tc>
          <w:tcPr>
            <w:tcW w:w="0" w:type="auto"/>
            <w:shd w:val="clear" w:color="auto" w:fill="auto"/>
            <w:tcMar>
              <w:top w:w="40" w:type="dxa"/>
              <w:left w:w="40" w:type="dxa"/>
              <w:bottom w:w="40" w:type="dxa"/>
              <w:right w:w="40" w:type="dxa"/>
            </w:tcMar>
            <w:vAlign w:val="bottom"/>
          </w:tcPr>
          <w:p w14:paraId="606F7F0F"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12 — OPERATING SEGMENTS</w:t>
            </w:r>
          </w:p>
        </w:tc>
      </w:tr>
    </w:tbl>
    <w:p w14:paraId="606F7F1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Company's operating segments are </w:t>
      </w:r>
      <w:r>
        <w:rPr>
          <w:rFonts w:ascii="Arial" w:eastAsia="宋体" w:hAnsi="Arial" w:cs="Arial"/>
          <w:sz w:val="17"/>
          <w:szCs w:val="17"/>
        </w:rPr>
        <w:t>evidence of the structure of the Company's internal organization. The NIKE Brand segments are defined by geographic regions for operations participating in NIKE Brand sales activity.</w:t>
      </w:r>
    </w:p>
    <w:p w14:paraId="606F7F1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Each NIKE Brand geographic segment operates predominantly in one industry</w:t>
      </w:r>
      <w:r>
        <w:rPr>
          <w:rFonts w:ascii="Arial" w:eastAsia="宋体" w:hAnsi="Arial" w:cs="Arial"/>
          <w:sz w:val="17"/>
          <w:szCs w:val="17"/>
        </w:rPr>
        <w:t xml:space="preserve">: the design, development, marketing and selling of athletic footwear, apparel and equipment. The Company's reportable operating segments for the NIKE Brand are: North America; Europe, Middle East &amp; Africa; Greater China; and Asia Pacific &amp; Latin America, </w:t>
      </w:r>
      <w:r>
        <w:rPr>
          <w:rFonts w:ascii="Arial" w:eastAsia="宋体" w:hAnsi="Arial" w:cs="Arial"/>
          <w:sz w:val="17"/>
          <w:szCs w:val="17"/>
        </w:rPr>
        <w:t>and include results for the NIKE and Jordan brands, with results for the Hurley brand included in North America.</w:t>
      </w:r>
    </w:p>
    <w:p w14:paraId="606F7F1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October 29, 2019, the Company signed a definitive agreement to sell the assets and liabilities of its wholly-owned subsidiary brand, Hurley.</w:t>
      </w:r>
      <w:r>
        <w:rPr>
          <w:rFonts w:ascii="Arial" w:eastAsia="宋体" w:hAnsi="Arial" w:cs="Arial"/>
          <w:sz w:val="17"/>
          <w:szCs w:val="17"/>
        </w:rPr>
        <w:t xml:space="preserve"> As of November 30, 2019, the related assets and liabilities were classified as held-for-sale on the Unaudited Condensed Consolidated Balance Sheets. The transaction closed on December 6, 2019, subsequent to the end of the second quarter of fiscal 2020. Th</w:t>
      </w:r>
      <w:r>
        <w:rPr>
          <w:rFonts w:ascii="Arial" w:eastAsia="宋体" w:hAnsi="Arial" w:cs="Arial"/>
          <w:sz w:val="17"/>
          <w:szCs w:val="17"/>
        </w:rPr>
        <w:t>e impacts of the divestiture are not material to the Company.</w:t>
      </w:r>
    </w:p>
    <w:p w14:paraId="606F7F14"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Company's NIKE Direct operations are managed within each NIKE Brand geographic operating segment. Converse is also a reportable segment for the Company, and operates in one industry: the des</w:t>
      </w:r>
      <w:r>
        <w:rPr>
          <w:rFonts w:ascii="Arial" w:eastAsia="宋体" w:hAnsi="Arial" w:cs="Arial"/>
          <w:sz w:val="17"/>
          <w:szCs w:val="17"/>
        </w:rPr>
        <w:t>ign, marketing, licensing and selling of athletic lifestyle sneakers, apparel and accessories.</w:t>
      </w:r>
    </w:p>
    <w:p w14:paraId="606F7F1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Global Brand Divisions is included within the NIKE Brand for presentation purposes to align with the way management views the Company. Global Brand Divisions primarily represent NIKE Brand licensing businesses that are not part of a geographic operating se</w:t>
      </w:r>
      <w:r>
        <w:rPr>
          <w:rFonts w:ascii="Arial" w:eastAsia="宋体" w:hAnsi="Arial" w:cs="Arial"/>
          <w:sz w:val="17"/>
          <w:szCs w:val="17"/>
        </w:rPr>
        <w:t xml:space="preserve">gment, and demand creation and operating overhead expense, including product creation and design expenses that are centrally managed for the NIKE Brand, as well as costs associated with NIKE Direct global digital operations and enterprise technology. </w:t>
      </w:r>
    </w:p>
    <w:p w14:paraId="606F7F1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Corp</w:t>
      </w:r>
      <w:r>
        <w:rPr>
          <w:rFonts w:ascii="Arial" w:eastAsia="宋体" w:hAnsi="Arial" w:cs="Arial"/>
          <w:sz w:val="17"/>
          <w:szCs w:val="17"/>
        </w:rPr>
        <w:t>orate consists primarily of unallocated general and administrative expenses, including expenses associated with centrally managed departments; depreciation and amortization related to the Company's headquarters; unallocated insurance, benefit and compensat</w:t>
      </w:r>
      <w:r>
        <w:rPr>
          <w:rFonts w:ascii="Arial" w:eastAsia="宋体" w:hAnsi="Arial" w:cs="Arial"/>
          <w:sz w:val="17"/>
          <w:szCs w:val="17"/>
        </w:rPr>
        <w:t>ion programs, including stock-based compensation; and certain foreign currency gains and losses, including certain hedge gains and losses.</w:t>
      </w:r>
    </w:p>
    <w:p w14:paraId="606F7F1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primary financial measure used by the Company to evaluate performance of individual operating segments is earning</w:t>
      </w:r>
      <w:r>
        <w:rPr>
          <w:rFonts w:ascii="Arial" w:eastAsia="宋体" w:hAnsi="Arial" w:cs="Arial"/>
          <w:sz w:val="17"/>
          <w:szCs w:val="17"/>
        </w:rPr>
        <w:t xml:space="preserve">s before interest and taxes (EBIT), which represents </w:t>
      </w:r>
      <w:r>
        <w:rPr>
          <w:rFonts w:ascii="Arial" w:eastAsia="宋体" w:hAnsi="Arial" w:cs="Arial"/>
          <w:i/>
          <w:iCs/>
          <w:sz w:val="17"/>
          <w:szCs w:val="17"/>
        </w:rPr>
        <w:t>Net income</w:t>
      </w:r>
      <w:r>
        <w:rPr>
          <w:rFonts w:ascii="Arial" w:eastAsia="宋体" w:hAnsi="Arial" w:cs="Arial"/>
          <w:sz w:val="17"/>
          <w:szCs w:val="17"/>
        </w:rPr>
        <w:t xml:space="preserve"> before </w:t>
      </w:r>
      <w:r>
        <w:rPr>
          <w:rFonts w:ascii="Arial" w:eastAsia="宋体" w:hAnsi="Arial" w:cs="Arial"/>
          <w:i/>
          <w:iCs/>
          <w:sz w:val="17"/>
          <w:szCs w:val="17"/>
        </w:rPr>
        <w:t>Interest expense (income), net</w:t>
      </w:r>
      <w:r>
        <w:rPr>
          <w:rFonts w:ascii="Arial" w:eastAsia="宋体" w:hAnsi="Arial" w:cs="Arial"/>
          <w:sz w:val="17"/>
          <w:szCs w:val="17"/>
        </w:rPr>
        <w:t xml:space="preserve"> and</w:t>
      </w:r>
      <w:r>
        <w:rPr>
          <w:rFonts w:ascii="Arial" w:eastAsia="宋体" w:hAnsi="Arial" w:cs="Arial"/>
          <w:i/>
          <w:iCs/>
          <w:sz w:val="17"/>
          <w:szCs w:val="17"/>
        </w:rPr>
        <w:t xml:space="preserve"> Income tax expense</w:t>
      </w:r>
      <w:r>
        <w:rPr>
          <w:rFonts w:ascii="Arial" w:eastAsia="宋体" w:hAnsi="Arial" w:cs="Arial"/>
          <w:sz w:val="17"/>
          <w:szCs w:val="17"/>
        </w:rPr>
        <w:t xml:space="preserve"> in the Unaudited Condensed Consolidated Statements of Income.</w:t>
      </w:r>
    </w:p>
    <w:p w14:paraId="606F7F1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As part of the Company's centrally managed foreign exchange risk mana</w:t>
      </w:r>
      <w:r>
        <w:rPr>
          <w:rFonts w:ascii="Arial" w:eastAsia="宋体" w:hAnsi="Arial" w:cs="Arial"/>
          <w:sz w:val="17"/>
          <w:szCs w:val="17"/>
        </w:rPr>
        <w:t xml:space="preserve">gement program, standard foreign currency rates are assigned twice per year to each NIKE Brand entity in the Company's geographic operating segments and to Converse. These rates are set approximately nine and twelve months in advance of the future selling </w:t>
      </w:r>
      <w:r>
        <w:rPr>
          <w:rFonts w:ascii="Arial" w:eastAsia="宋体" w:hAnsi="Arial" w:cs="Arial"/>
          <w:sz w:val="17"/>
          <w:szCs w:val="17"/>
        </w:rPr>
        <w:t>seasons to which they relate (specifically, for each currency, one standard rate applies to the fall and holiday selling seasons and one standard rate applies to the spring and summer selling seasons) based on average market spot rates in the calendar mont</w:t>
      </w:r>
      <w:r>
        <w:rPr>
          <w:rFonts w:ascii="Arial" w:eastAsia="宋体" w:hAnsi="Arial" w:cs="Arial"/>
          <w:sz w:val="17"/>
          <w:szCs w:val="17"/>
        </w:rPr>
        <w:t>h preceding the date they are established. Inventories and cost of sales for geographic operating segments and Converse reflect the use of these standard rates to record non-functional currency product purchases in the entity's functional currency. Differe</w:t>
      </w:r>
      <w:r>
        <w:rPr>
          <w:rFonts w:ascii="Arial" w:eastAsia="宋体" w:hAnsi="Arial" w:cs="Arial"/>
          <w:sz w:val="17"/>
          <w:szCs w:val="17"/>
        </w:rPr>
        <w:t>nces between assigned standard foreign currency rates and actual market rates are included in Corporate, together with foreign currency hedge gains and losses generated from the Company's centrally managed foreign exchange risk management program and other</w:t>
      </w:r>
      <w:r>
        <w:rPr>
          <w:rFonts w:ascii="Arial" w:eastAsia="宋体" w:hAnsi="Arial" w:cs="Arial"/>
          <w:sz w:val="17"/>
          <w:szCs w:val="17"/>
        </w:rPr>
        <w:t xml:space="preserve"> conversion gains and losses.</w:t>
      </w:r>
    </w:p>
    <w:p w14:paraId="606F7F19"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 xml:space="preserve">Accounts receivable, net, Inventories </w:t>
      </w:r>
      <w:r>
        <w:rPr>
          <w:rFonts w:ascii="Arial" w:eastAsia="宋体" w:hAnsi="Arial" w:cs="Arial"/>
          <w:sz w:val="17"/>
          <w:szCs w:val="17"/>
        </w:rPr>
        <w:t xml:space="preserve">and </w:t>
      </w:r>
      <w:r>
        <w:rPr>
          <w:rFonts w:ascii="Arial" w:eastAsia="宋体" w:hAnsi="Arial" w:cs="Arial"/>
          <w:i/>
          <w:iCs/>
          <w:sz w:val="17"/>
          <w:szCs w:val="17"/>
        </w:rPr>
        <w:t>Property, plant and equipment, net</w:t>
      </w:r>
      <w:r>
        <w:rPr>
          <w:rFonts w:ascii="Arial" w:eastAsia="宋体" w:hAnsi="Arial" w:cs="Arial"/>
          <w:sz w:val="17"/>
          <w:szCs w:val="17"/>
        </w:rPr>
        <w:t xml:space="preserve"> for operating segments are regularly reviewed by management and are therefore provided below. </w:t>
      </w:r>
    </w:p>
    <w:p w14:paraId="606F7F1A" w14:textId="77777777" w:rsidR="00FB67F9" w:rsidRDefault="00FB67F9">
      <w:pPr>
        <w:rPr>
          <w:rFonts w:ascii="Times New Roman" w:hAnsi="Times New Roman"/>
          <w:sz w:val="20"/>
          <w:szCs w:val="20"/>
        </w:rPr>
      </w:pPr>
    </w:p>
    <w:p w14:paraId="606F7F1B"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22</w:t>
      </w:r>
      <w:r>
        <w:rPr>
          <w:rFonts w:ascii="sans-serif" w:eastAsia="sans-serif" w:hAnsi="sans-serif" w:cs="sans-serif"/>
          <w:sz w:val="17"/>
          <w:szCs w:val="17"/>
        </w:rPr>
        <w:t xml:space="preserve"> </w:t>
      </w:r>
    </w:p>
    <w:p w14:paraId="606F7F1C" w14:textId="77777777" w:rsidR="00FB67F9" w:rsidRDefault="00E839DF">
      <w:r>
        <w:rPr>
          <w:rFonts w:ascii="Times New Roman" w:hAnsi="Times New Roman"/>
          <w:sz w:val="17"/>
          <w:szCs w:val="17"/>
        </w:rPr>
        <w:pict w14:anchorId="606F8F93">
          <v:rect id="_x0000_i1048" style="width:415.3pt;height:1.5pt" o:hralign="center" o:hrstd="t" o:hr="t" fillcolor="#a0a0a0" stroked="f"/>
        </w:pict>
      </w:r>
    </w:p>
    <w:p w14:paraId="606F7F1D" w14:textId="77777777" w:rsidR="00FB67F9" w:rsidRDefault="00FB67F9">
      <w:pPr>
        <w:rPr>
          <w:rFonts w:ascii="Times New Roman" w:hAnsi="Times New Roman"/>
          <w:sz w:val="17"/>
          <w:szCs w:val="17"/>
        </w:rPr>
      </w:pPr>
    </w:p>
    <w:p w14:paraId="606F7F1E" w14:textId="77777777" w:rsidR="00FB67F9" w:rsidRDefault="00E839DF">
      <w:pPr>
        <w:rPr>
          <w:rFonts w:ascii="Times New Roman" w:hAnsi="Times New Roman"/>
          <w:sz w:val="17"/>
          <w:szCs w:val="17"/>
        </w:rPr>
      </w:pPr>
      <w:hyperlink r:id="rId92" w:anchor="s42C493F7582652B69E70047AB812E6A5" w:history="1">
        <w:r>
          <w:rPr>
            <w:rStyle w:val="a5"/>
            <w:rFonts w:ascii="sans-serif" w:eastAsia="sans-serif" w:hAnsi="sans-serif" w:cs="sans-serif"/>
            <w:sz w:val="17"/>
            <w:szCs w:val="17"/>
          </w:rPr>
          <w:t>Table of Contents</w:t>
        </w:r>
      </w:hyperlink>
    </w:p>
    <w:p w14:paraId="606F7F1F" w14:textId="77777777" w:rsidR="00FB67F9" w:rsidRDefault="00FB67F9">
      <w:pPr>
        <w:rPr>
          <w:rFonts w:ascii="Times New Roman" w:hAnsi="Times New Roman"/>
          <w:sz w:val="17"/>
          <w:szCs w:val="17"/>
        </w:rPr>
      </w:pPr>
    </w:p>
    <w:p w14:paraId="606F7F20" w14:textId="77777777" w:rsidR="00FB67F9" w:rsidRDefault="00FB67F9">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53"/>
        <w:gridCol w:w="135"/>
        <w:gridCol w:w="583"/>
        <w:gridCol w:w="97"/>
        <w:gridCol w:w="130"/>
        <w:gridCol w:w="135"/>
        <w:gridCol w:w="584"/>
        <w:gridCol w:w="97"/>
        <w:gridCol w:w="130"/>
        <w:gridCol w:w="135"/>
        <w:gridCol w:w="584"/>
        <w:gridCol w:w="97"/>
        <w:gridCol w:w="130"/>
        <w:gridCol w:w="135"/>
        <w:gridCol w:w="584"/>
        <w:gridCol w:w="97"/>
      </w:tblGrid>
      <w:tr w:rsidR="00FB67F9" w14:paraId="606F7F22" w14:textId="77777777">
        <w:trPr>
          <w:jc w:val="center"/>
        </w:trPr>
        <w:tc>
          <w:tcPr>
            <w:tcW w:w="0" w:type="auto"/>
            <w:gridSpan w:val="16"/>
            <w:shd w:val="clear" w:color="auto" w:fill="auto"/>
            <w:vAlign w:val="center"/>
          </w:tcPr>
          <w:p w14:paraId="606F7F21" w14:textId="77777777" w:rsidR="00FB67F9" w:rsidRDefault="00FB67F9">
            <w:pPr>
              <w:rPr>
                <w:rFonts w:ascii="Times New Roman" w:hAnsi="Times New Roman"/>
                <w:sz w:val="20"/>
                <w:szCs w:val="20"/>
              </w:rPr>
            </w:pPr>
          </w:p>
        </w:tc>
      </w:tr>
      <w:tr w:rsidR="00FB67F9" w14:paraId="606F7F33" w14:textId="77777777">
        <w:trPr>
          <w:jc w:val="center"/>
        </w:trPr>
        <w:tc>
          <w:tcPr>
            <w:tcW w:w="2849" w:type="pct"/>
            <w:shd w:val="clear" w:color="auto" w:fill="auto"/>
            <w:vAlign w:val="center"/>
          </w:tcPr>
          <w:p w14:paraId="606F7F23" w14:textId="77777777" w:rsidR="00FB67F9" w:rsidRDefault="00FB67F9">
            <w:pPr>
              <w:rPr>
                <w:rFonts w:ascii="Times New Roman" w:hAnsi="Times New Roman"/>
                <w:sz w:val="20"/>
                <w:szCs w:val="20"/>
              </w:rPr>
            </w:pPr>
          </w:p>
        </w:tc>
        <w:tc>
          <w:tcPr>
            <w:tcW w:w="50" w:type="pct"/>
            <w:shd w:val="clear" w:color="auto" w:fill="auto"/>
            <w:vAlign w:val="center"/>
          </w:tcPr>
          <w:p w14:paraId="606F7F24" w14:textId="77777777" w:rsidR="00FB67F9" w:rsidRDefault="00FB67F9">
            <w:pPr>
              <w:rPr>
                <w:rFonts w:ascii="Times New Roman" w:hAnsi="Times New Roman"/>
                <w:sz w:val="20"/>
                <w:szCs w:val="20"/>
              </w:rPr>
            </w:pPr>
          </w:p>
        </w:tc>
        <w:tc>
          <w:tcPr>
            <w:tcW w:w="400" w:type="pct"/>
            <w:shd w:val="clear" w:color="auto" w:fill="auto"/>
            <w:vAlign w:val="center"/>
          </w:tcPr>
          <w:p w14:paraId="606F7F25" w14:textId="77777777" w:rsidR="00FB67F9" w:rsidRDefault="00FB67F9">
            <w:pPr>
              <w:rPr>
                <w:rFonts w:ascii="Times New Roman" w:hAnsi="Times New Roman"/>
                <w:sz w:val="20"/>
                <w:szCs w:val="20"/>
              </w:rPr>
            </w:pPr>
          </w:p>
        </w:tc>
        <w:tc>
          <w:tcPr>
            <w:tcW w:w="50" w:type="pct"/>
            <w:shd w:val="clear" w:color="auto" w:fill="auto"/>
            <w:vAlign w:val="center"/>
          </w:tcPr>
          <w:p w14:paraId="606F7F26" w14:textId="77777777" w:rsidR="00FB67F9" w:rsidRDefault="00FB67F9">
            <w:pPr>
              <w:rPr>
                <w:rFonts w:ascii="Times New Roman" w:hAnsi="Times New Roman"/>
                <w:sz w:val="20"/>
                <w:szCs w:val="20"/>
              </w:rPr>
            </w:pPr>
          </w:p>
        </w:tc>
        <w:tc>
          <w:tcPr>
            <w:tcW w:w="50" w:type="pct"/>
            <w:shd w:val="clear" w:color="auto" w:fill="auto"/>
            <w:vAlign w:val="center"/>
          </w:tcPr>
          <w:p w14:paraId="606F7F27" w14:textId="77777777" w:rsidR="00FB67F9" w:rsidRDefault="00FB67F9">
            <w:pPr>
              <w:rPr>
                <w:rFonts w:ascii="Times New Roman" w:hAnsi="Times New Roman"/>
                <w:sz w:val="20"/>
                <w:szCs w:val="20"/>
              </w:rPr>
            </w:pPr>
          </w:p>
        </w:tc>
        <w:tc>
          <w:tcPr>
            <w:tcW w:w="50" w:type="pct"/>
            <w:shd w:val="clear" w:color="auto" w:fill="auto"/>
            <w:vAlign w:val="center"/>
          </w:tcPr>
          <w:p w14:paraId="606F7F28" w14:textId="77777777" w:rsidR="00FB67F9" w:rsidRDefault="00FB67F9">
            <w:pPr>
              <w:rPr>
                <w:rFonts w:ascii="Times New Roman" w:hAnsi="Times New Roman"/>
                <w:sz w:val="20"/>
                <w:szCs w:val="20"/>
              </w:rPr>
            </w:pPr>
          </w:p>
        </w:tc>
        <w:tc>
          <w:tcPr>
            <w:tcW w:w="400" w:type="pct"/>
            <w:shd w:val="clear" w:color="auto" w:fill="auto"/>
            <w:vAlign w:val="center"/>
          </w:tcPr>
          <w:p w14:paraId="606F7F29" w14:textId="77777777" w:rsidR="00FB67F9" w:rsidRDefault="00FB67F9">
            <w:pPr>
              <w:rPr>
                <w:rFonts w:ascii="Times New Roman" w:hAnsi="Times New Roman"/>
                <w:sz w:val="20"/>
                <w:szCs w:val="20"/>
              </w:rPr>
            </w:pPr>
          </w:p>
        </w:tc>
        <w:tc>
          <w:tcPr>
            <w:tcW w:w="50" w:type="pct"/>
            <w:shd w:val="clear" w:color="auto" w:fill="auto"/>
            <w:vAlign w:val="center"/>
          </w:tcPr>
          <w:p w14:paraId="606F7F2A" w14:textId="77777777" w:rsidR="00FB67F9" w:rsidRDefault="00FB67F9">
            <w:pPr>
              <w:rPr>
                <w:rFonts w:ascii="Times New Roman" w:hAnsi="Times New Roman"/>
                <w:sz w:val="20"/>
                <w:szCs w:val="20"/>
              </w:rPr>
            </w:pPr>
          </w:p>
        </w:tc>
        <w:tc>
          <w:tcPr>
            <w:tcW w:w="50" w:type="pct"/>
            <w:shd w:val="clear" w:color="auto" w:fill="auto"/>
            <w:vAlign w:val="center"/>
          </w:tcPr>
          <w:p w14:paraId="606F7F2B" w14:textId="77777777" w:rsidR="00FB67F9" w:rsidRDefault="00FB67F9">
            <w:pPr>
              <w:rPr>
                <w:rFonts w:ascii="Times New Roman" w:hAnsi="Times New Roman"/>
                <w:sz w:val="20"/>
                <w:szCs w:val="20"/>
              </w:rPr>
            </w:pPr>
          </w:p>
        </w:tc>
        <w:tc>
          <w:tcPr>
            <w:tcW w:w="50" w:type="pct"/>
            <w:shd w:val="clear" w:color="auto" w:fill="auto"/>
            <w:vAlign w:val="center"/>
          </w:tcPr>
          <w:p w14:paraId="606F7F2C" w14:textId="77777777" w:rsidR="00FB67F9" w:rsidRDefault="00FB67F9">
            <w:pPr>
              <w:rPr>
                <w:rFonts w:ascii="Times New Roman" w:hAnsi="Times New Roman"/>
                <w:sz w:val="20"/>
                <w:szCs w:val="20"/>
              </w:rPr>
            </w:pPr>
          </w:p>
        </w:tc>
        <w:tc>
          <w:tcPr>
            <w:tcW w:w="400" w:type="pct"/>
            <w:shd w:val="clear" w:color="auto" w:fill="auto"/>
            <w:vAlign w:val="center"/>
          </w:tcPr>
          <w:p w14:paraId="606F7F2D" w14:textId="77777777" w:rsidR="00FB67F9" w:rsidRDefault="00FB67F9">
            <w:pPr>
              <w:rPr>
                <w:rFonts w:ascii="Times New Roman" w:hAnsi="Times New Roman"/>
                <w:sz w:val="20"/>
                <w:szCs w:val="20"/>
              </w:rPr>
            </w:pPr>
          </w:p>
        </w:tc>
        <w:tc>
          <w:tcPr>
            <w:tcW w:w="50" w:type="pct"/>
            <w:shd w:val="clear" w:color="auto" w:fill="auto"/>
            <w:vAlign w:val="center"/>
          </w:tcPr>
          <w:p w14:paraId="606F7F2E" w14:textId="77777777" w:rsidR="00FB67F9" w:rsidRDefault="00FB67F9">
            <w:pPr>
              <w:rPr>
                <w:rFonts w:ascii="Times New Roman" w:hAnsi="Times New Roman"/>
                <w:sz w:val="20"/>
                <w:szCs w:val="20"/>
              </w:rPr>
            </w:pPr>
          </w:p>
        </w:tc>
        <w:tc>
          <w:tcPr>
            <w:tcW w:w="50" w:type="pct"/>
            <w:shd w:val="clear" w:color="auto" w:fill="auto"/>
            <w:vAlign w:val="center"/>
          </w:tcPr>
          <w:p w14:paraId="606F7F2F" w14:textId="77777777" w:rsidR="00FB67F9" w:rsidRDefault="00FB67F9">
            <w:pPr>
              <w:rPr>
                <w:rFonts w:ascii="Times New Roman" w:hAnsi="Times New Roman"/>
                <w:sz w:val="20"/>
                <w:szCs w:val="20"/>
              </w:rPr>
            </w:pPr>
          </w:p>
        </w:tc>
        <w:tc>
          <w:tcPr>
            <w:tcW w:w="50" w:type="pct"/>
            <w:shd w:val="clear" w:color="auto" w:fill="auto"/>
            <w:vAlign w:val="center"/>
          </w:tcPr>
          <w:p w14:paraId="606F7F30" w14:textId="77777777" w:rsidR="00FB67F9" w:rsidRDefault="00FB67F9">
            <w:pPr>
              <w:rPr>
                <w:rFonts w:ascii="Times New Roman" w:hAnsi="Times New Roman"/>
                <w:sz w:val="20"/>
                <w:szCs w:val="20"/>
              </w:rPr>
            </w:pPr>
          </w:p>
        </w:tc>
        <w:tc>
          <w:tcPr>
            <w:tcW w:w="400" w:type="pct"/>
            <w:shd w:val="clear" w:color="auto" w:fill="auto"/>
            <w:vAlign w:val="center"/>
          </w:tcPr>
          <w:p w14:paraId="606F7F31" w14:textId="77777777" w:rsidR="00FB67F9" w:rsidRDefault="00FB67F9">
            <w:pPr>
              <w:rPr>
                <w:rFonts w:ascii="Times New Roman" w:hAnsi="Times New Roman"/>
                <w:sz w:val="20"/>
                <w:szCs w:val="20"/>
              </w:rPr>
            </w:pPr>
          </w:p>
        </w:tc>
        <w:tc>
          <w:tcPr>
            <w:tcW w:w="50" w:type="pct"/>
            <w:shd w:val="clear" w:color="auto" w:fill="auto"/>
            <w:vAlign w:val="center"/>
          </w:tcPr>
          <w:p w14:paraId="606F7F32" w14:textId="77777777" w:rsidR="00FB67F9" w:rsidRDefault="00FB67F9">
            <w:pPr>
              <w:rPr>
                <w:rFonts w:ascii="Times New Roman" w:hAnsi="Times New Roman"/>
                <w:sz w:val="20"/>
                <w:szCs w:val="20"/>
              </w:rPr>
            </w:pPr>
          </w:p>
        </w:tc>
      </w:tr>
      <w:tr w:rsidR="00FB67F9" w14:paraId="606F7F38" w14:textId="77777777">
        <w:trPr>
          <w:jc w:val="center"/>
        </w:trPr>
        <w:tc>
          <w:tcPr>
            <w:tcW w:w="0" w:type="auto"/>
            <w:shd w:val="clear" w:color="auto" w:fill="auto"/>
            <w:tcMar>
              <w:top w:w="40" w:type="dxa"/>
              <w:left w:w="40" w:type="dxa"/>
              <w:bottom w:w="40" w:type="dxa"/>
              <w:right w:w="40" w:type="dxa"/>
            </w:tcMar>
            <w:vAlign w:val="bottom"/>
          </w:tcPr>
          <w:p w14:paraId="606F7F3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E87722"/>
            </w:tcBorders>
            <w:shd w:val="clear" w:color="auto" w:fill="auto"/>
            <w:tcMar>
              <w:top w:w="40" w:type="dxa"/>
              <w:left w:w="40" w:type="dxa"/>
              <w:bottom w:w="40" w:type="dxa"/>
            </w:tcMar>
            <w:vAlign w:val="bottom"/>
          </w:tcPr>
          <w:p w14:paraId="606F7F3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7F3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E87722"/>
            </w:tcBorders>
            <w:shd w:val="clear" w:color="auto" w:fill="auto"/>
            <w:tcMar>
              <w:top w:w="40" w:type="dxa"/>
              <w:left w:w="40" w:type="dxa"/>
              <w:bottom w:w="40" w:type="dxa"/>
            </w:tcMar>
            <w:vAlign w:val="bottom"/>
          </w:tcPr>
          <w:p w14:paraId="606F7F3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7F41"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7F39"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F3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3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3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7F3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7F3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3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4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7F4A" w14:textId="77777777">
        <w:trPr>
          <w:jc w:val="center"/>
        </w:trPr>
        <w:tc>
          <w:tcPr>
            <w:tcW w:w="0" w:type="auto"/>
            <w:shd w:val="clear" w:color="auto" w:fill="auto"/>
            <w:tcMar>
              <w:top w:w="40" w:type="dxa"/>
              <w:left w:w="40" w:type="dxa"/>
              <w:bottom w:w="40" w:type="dxa"/>
              <w:right w:w="40" w:type="dxa"/>
            </w:tcMar>
            <w:vAlign w:val="bottom"/>
          </w:tcPr>
          <w:p w14:paraId="606F7F4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REVENUES</w:t>
            </w:r>
          </w:p>
        </w:tc>
        <w:tc>
          <w:tcPr>
            <w:tcW w:w="0" w:type="auto"/>
            <w:gridSpan w:val="3"/>
            <w:shd w:val="clear" w:color="auto" w:fill="FFF1E7"/>
            <w:tcMar>
              <w:top w:w="40" w:type="dxa"/>
              <w:left w:w="40" w:type="dxa"/>
              <w:bottom w:w="40" w:type="dxa"/>
              <w:right w:w="40" w:type="dxa"/>
            </w:tcMar>
            <w:vAlign w:val="bottom"/>
          </w:tcPr>
          <w:p w14:paraId="606F7F4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F4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F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F4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7F4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7F4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7F4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F5B"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7F4B" w14:textId="77777777" w:rsidR="00FB67F9" w:rsidRDefault="00E839DF">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F4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F4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3,982</w:t>
            </w:r>
          </w:p>
        </w:tc>
        <w:tc>
          <w:tcPr>
            <w:tcW w:w="0" w:type="auto"/>
            <w:tcBorders>
              <w:top w:val="single" w:sz="8" w:space="0" w:color="808080"/>
              <w:bottom w:val="single" w:sz="8" w:space="0" w:color="808080"/>
            </w:tcBorders>
            <w:shd w:val="clear" w:color="auto" w:fill="FFF1E7"/>
            <w:vAlign w:val="bottom"/>
          </w:tcPr>
          <w:p w14:paraId="606F7F4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4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F5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F5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3,782</w:t>
            </w:r>
          </w:p>
        </w:tc>
        <w:tc>
          <w:tcPr>
            <w:tcW w:w="0" w:type="auto"/>
            <w:tcBorders>
              <w:top w:val="single" w:sz="8" w:space="0" w:color="808080"/>
              <w:bottom w:val="single" w:sz="8" w:space="0" w:color="808080"/>
            </w:tcBorders>
            <w:shd w:val="clear" w:color="auto" w:fill="auto"/>
            <w:vAlign w:val="bottom"/>
          </w:tcPr>
          <w:p w14:paraId="606F7F5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5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7F5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7F5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8,275</w:t>
            </w:r>
          </w:p>
        </w:tc>
        <w:tc>
          <w:tcPr>
            <w:tcW w:w="0" w:type="auto"/>
            <w:tcBorders>
              <w:top w:val="single" w:sz="8" w:space="0" w:color="808080"/>
            </w:tcBorders>
            <w:shd w:val="clear" w:color="auto" w:fill="FFF1E7"/>
            <w:vAlign w:val="bottom"/>
          </w:tcPr>
          <w:p w14:paraId="606F7F56"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5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F5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F5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7,927</w:t>
            </w:r>
          </w:p>
        </w:tc>
        <w:tc>
          <w:tcPr>
            <w:tcW w:w="0" w:type="auto"/>
            <w:tcBorders>
              <w:top w:val="single" w:sz="8" w:space="0" w:color="808080"/>
              <w:bottom w:val="single" w:sz="8" w:space="0" w:color="808080"/>
            </w:tcBorders>
            <w:shd w:val="clear" w:color="auto" w:fill="auto"/>
            <w:vAlign w:val="bottom"/>
          </w:tcPr>
          <w:p w14:paraId="606F7F5A" w14:textId="77777777" w:rsidR="00FB67F9" w:rsidRDefault="00FB67F9">
            <w:pPr>
              <w:textAlignment w:val="bottom"/>
              <w:rPr>
                <w:rFonts w:ascii="Times New Roman" w:hAnsi="Times New Roman"/>
                <w:sz w:val="20"/>
                <w:szCs w:val="20"/>
              </w:rPr>
            </w:pPr>
          </w:p>
        </w:tc>
      </w:tr>
      <w:tr w:rsidR="00FB67F9" w14:paraId="606F7F68"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7F5C" w14:textId="77777777" w:rsidR="00FB67F9" w:rsidRDefault="00E839DF">
            <w:pPr>
              <w:textAlignment w:val="bottom"/>
              <w:rPr>
                <w:rFonts w:ascii="Times New Roman" w:hAnsi="Times New Roman"/>
                <w:sz w:val="17"/>
                <w:szCs w:val="17"/>
              </w:rPr>
            </w:pPr>
            <w:r>
              <w:rPr>
                <w:rFonts w:ascii="Arial" w:eastAsia="宋体" w:hAnsi="Arial" w:cs="Arial"/>
                <w:sz w:val="17"/>
                <w:szCs w:val="17"/>
              </w:rPr>
              <w:t>Europe</w:t>
            </w:r>
            <w:r>
              <w:rPr>
                <w:rFonts w:ascii="Arial" w:eastAsia="宋体" w:hAnsi="Arial" w:cs="Arial"/>
                <w:sz w:val="17"/>
                <w:szCs w:val="17"/>
              </w:rPr>
              <w:t>, Middle East &amp; Africa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5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2,537</w:t>
            </w:r>
          </w:p>
        </w:tc>
        <w:tc>
          <w:tcPr>
            <w:tcW w:w="0" w:type="auto"/>
            <w:tcBorders>
              <w:top w:val="single" w:sz="8" w:space="0" w:color="808080"/>
              <w:bottom w:val="single" w:sz="8" w:space="0" w:color="808080"/>
            </w:tcBorders>
            <w:shd w:val="clear" w:color="auto" w:fill="FFF1E7"/>
            <w:vAlign w:val="bottom"/>
          </w:tcPr>
          <w:p w14:paraId="606F7F5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5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6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2,313</w:t>
            </w:r>
          </w:p>
        </w:tc>
        <w:tc>
          <w:tcPr>
            <w:tcW w:w="0" w:type="auto"/>
            <w:tcBorders>
              <w:top w:val="single" w:sz="8" w:space="0" w:color="808080"/>
              <w:bottom w:val="single" w:sz="8" w:space="0" w:color="808080"/>
            </w:tcBorders>
            <w:shd w:val="clear" w:color="auto" w:fill="auto"/>
            <w:vAlign w:val="bottom"/>
          </w:tcPr>
          <w:p w14:paraId="606F7F6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6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F6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5,310</w:t>
            </w:r>
          </w:p>
        </w:tc>
        <w:tc>
          <w:tcPr>
            <w:tcW w:w="0" w:type="auto"/>
            <w:tcBorders>
              <w:top w:val="single" w:sz="8" w:space="0" w:color="808080"/>
            </w:tcBorders>
            <w:shd w:val="clear" w:color="auto" w:fill="FFF1E7"/>
            <w:vAlign w:val="bottom"/>
          </w:tcPr>
          <w:p w14:paraId="606F7F6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6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4,920</w:t>
            </w:r>
          </w:p>
        </w:tc>
        <w:tc>
          <w:tcPr>
            <w:tcW w:w="0" w:type="auto"/>
            <w:tcBorders>
              <w:top w:val="single" w:sz="8" w:space="0" w:color="808080"/>
              <w:bottom w:val="single" w:sz="8" w:space="0" w:color="808080"/>
            </w:tcBorders>
            <w:shd w:val="clear" w:color="auto" w:fill="auto"/>
            <w:vAlign w:val="bottom"/>
          </w:tcPr>
          <w:p w14:paraId="606F7F67" w14:textId="77777777" w:rsidR="00FB67F9" w:rsidRDefault="00FB67F9">
            <w:pPr>
              <w:textAlignment w:val="bottom"/>
              <w:rPr>
                <w:rFonts w:ascii="Times New Roman" w:hAnsi="Times New Roman"/>
                <w:sz w:val="20"/>
                <w:szCs w:val="20"/>
              </w:rPr>
            </w:pPr>
          </w:p>
        </w:tc>
      </w:tr>
      <w:tr w:rsidR="00FB67F9" w14:paraId="606F7F75"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7F69" w14:textId="77777777" w:rsidR="00FB67F9" w:rsidRDefault="00E839DF">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6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1,847</w:t>
            </w:r>
          </w:p>
        </w:tc>
        <w:tc>
          <w:tcPr>
            <w:tcW w:w="0" w:type="auto"/>
            <w:tcBorders>
              <w:top w:val="single" w:sz="8" w:space="0" w:color="808080"/>
              <w:bottom w:val="single" w:sz="8" w:space="0" w:color="808080"/>
            </w:tcBorders>
            <w:shd w:val="clear" w:color="auto" w:fill="FFF1E7"/>
            <w:vAlign w:val="bottom"/>
          </w:tcPr>
          <w:p w14:paraId="606F7F6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6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6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1,544</w:t>
            </w:r>
          </w:p>
        </w:tc>
        <w:tc>
          <w:tcPr>
            <w:tcW w:w="0" w:type="auto"/>
            <w:tcBorders>
              <w:top w:val="single" w:sz="8" w:space="0" w:color="808080"/>
              <w:bottom w:val="single" w:sz="8" w:space="0" w:color="808080"/>
            </w:tcBorders>
            <w:shd w:val="clear" w:color="auto" w:fill="auto"/>
            <w:vAlign w:val="bottom"/>
          </w:tcPr>
          <w:p w14:paraId="606F7F6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6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7F7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3,526</w:t>
            </w:r>
          </w:p>
        </w:tc>
        <w:tc>
          <w:tcPr>
            <w:tcW w:w="0" w:type="auto"/>
            <w:tcBorders>
              <w:top w:val="single" w:sz="8" w:space="0" w:color="808080"/>
            </w:tcBorders>
            <w:shd w:val="clear" w:color="auto" w:fill="FFF1E7"/>
            <w:vAlign w:val="bottom"/>
          </w:tcPr>
          <w:p w14:paraId="606F7F7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7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7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2,923</w:t>
            </w:r>
          </w:p>
        </w:tc>
        <w:tc>
          <w:tcPr>
            <w:tcW w:w="0" w:type="auto"/>
            <w:tcBorders>
              <w:top w:val="single" w:sz="8" w:space="0" w:color="808080"/>
              <w:bottom w:val="single" w:sz="8" w:space="0" w:color="808080"/>
            </w:tcBorders>
            <w:shd w:val="clear" w:color="auto" w:fill="auto"/>
            <w:vAlign w:val="bottom"/>
          </w:tcPr>
          <w:p w14:paraId="606F7F74" w14:textId="77777777" w:rsidR="00FB67F9" w:rsidRDefault="00FB67F9">
            <w:pPr>
              <w:textAlignment w:val="bottom"/>
              <w:rPr>
                <w:rFonts w:ascii="Times New Roman" w:hAnsi="Times New Roman"/>
                <w:sz w:val="20"/>
                <w:szCs w:val="20"/>
              </w:rPr>
            </w:pPr>
          </w:p>
        </w:tc>
      </w:tr>
      <w:tr w:rsidR="00FB67F9" w14:paraId="606F7F82"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F76" w14:textId="77777777" w:rsidR="00FB67F9" w:rsidRDefault="00E839DF">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7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1,468</w:t>
            </w:r>
          </w:p>
        </w:tc>
        <w:tc>
          <w:tcPr>
            <w:tcW w:w="0" w:type="auto"/>
            <w:tcBorders>
              <w:top w:val="single" w:sz="8" w:space="0" w:color="808080"/>
              <w:bottom w:val="single" w:sz="8" w:space="0" w:color="808080"/>
            </w:tcBorders>
            <w:shd w:val="clear" w:color="auto" w:fill="FFF1E7"/>
            <w:vAlign w:val="bottom"/>
          </w:tcPr>
          <w:p w14:paraId="606F7F7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7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7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1,298</w:t>
            </w:r>
          </w:p>
        </w:tc>
        <w:tc>
          <w:tcPr>
            <w:tcW w:w="0" w:type="auto"/>
            <w:tcBorders>
              <w:top w:val="single" w:sz="8" w:space="0" w:color="808080"/>
              <w:bottom w:val="single" w:sz="8" w:space="0" w:color="808080"/>
            </w:tcBorders>
            <w:shd w:val="clear" w:color="auto" w:fill="auto"/>
            <w:vAlign w:val="bottom"/>
          </w:tcPr>
          <w:p w14:paraId="606F7F7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7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7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2,813</w:t>
            </w:r>
          </w:p>
        </w:tc>
        <w:tc>
          <w:tcPr>
            <w:tcW w:w="0" w:type="auto"/>
            <w:tcBorders>
              <w:top w:val="single" w:sz="8" w:space="0" w:color="808080"/>
              <w:bottom w:val="single" w:sz="8" w:space="0" w:color="808080"/>
            </w:tcBorders>
            <w:shd w:val="clear" w:color="auto" w:fill="FFF1E7"/>
            <w:vAlign w:val="bottom"/>
          </w:tcPr>
          <w:p w14:paraId="606F7F7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2,568</w:t>
            </w:r>
          </w:p>
        </w:tc>
        <w:tc>
          <w:tcPr>
            <w:tcW w:w="0" w:type="auto"/>
            <w:tcBorders>
              <w:top w:val="single" w:sz="8" w:space="0" w:color="808080"/>
              <w:bottom w:val="single" w:sz="8" w:space="0" w:color="808080"/>
            </w:tcBorders>
            <w:shd w:val="clear" w:color="auto" w:fill="auto"/>
            <w:vAlign w:val="bottom"/>
          </w:tcPr>
          <w:p w14:paraId="606F7F81" w14:textId="77777777" w:rsidR="00FB67F9" w:rsidRDefault="00FB67F9">
            <w:pPr>
              <w:textAlignment w:val="bottom"/>
              <w:rPr>
                <w:rFonts w:ascii="Times New Roman" w:hAnsi="Times New Roman"/>
                <w:sz w:val="20"/>
                <w:szCs w:val="20"/>
              </w:rPr>
            </w:pPr>
          </w:p>
        </w:tc>
      </w:tr>
      <w:tr w:rsidR="00FB67F9" w14:paraId="606F7F8F" w14:textId="77777777">
        <w:trPr>
          <w:jc w:val="center"/>
        </w:trPr>
        <w:tc>
          <w:tcPr>
            <w:tcW w:w="0" w:type="auto"/>
            <w:tcBorders>
              <w:bottom w:val="single" w:sz="8" w:space="0" w:color="E87722"/>
            </w:tcBorders>
            <w:shd w:val="clear" w:color="auto" w:fill="auto"/>
            <w:tcMar>
              <w:top w:w="40" w:type="dxa"/>
              <w:left w:w="240" w:type="dxa"/>
              <w:bottom w:w="40" w:type="dxa"/>
              <w:right w:w="40" w:type="dxa"/>
            </w:tcMar>
            <w:vAlign w:val="bottom"/>
          </w:tcPr>
          <w:p w14:paraId="606F7F83" w14:textId="77777777" w:rsidR="00FB67F9" w:rsidRDefault="00E839DF">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7F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E87722"/>
            </w:tcBorders>
            <w:shd w:val="clear" w:color="auto" w:fill="FFF1E7"/>
            <w:vAlign w:val="bottom"/>
          </w:tcPr>
          <w:p w14:paraId="606F7F8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F8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7F8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E87722"/>
            </w:tcBorders>
            <w:shd w:val="clear" w:color="auto" w:fill="auto"/>
            <w:vAlign w:val="bottom"/>
          </w:tcPr>
          <w:p w14:paraId="606F7F8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F8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606F7F8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bottom w:val="single" w:sz="8" w:space="0" w:color="E87722"/>
            </w:tcBorders>
            <w:shd w:val="clear" w:color="auto" w:fill="FFF1E7"/>
            <w:vAlign w:val="bottom"/>
          </w:tcPr>
          <w:p w14:paraId="606F7F8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7F8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7F8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E87722"/>
            </w:tcBorders>
            <w:shd w:val="clear" w:color="auto" w:fill="auto"/>
            <w:vAlign w:val="bottom"/>
          </w:tcPr>
          <w:p w14:paraId="606F7F8E" w14:textId="77777777" w:rsidR="00FB67F9" w:rsidRDefault="00FB67F9">
            <w:pPr>
              <w:textAlignment w:val="bottom"/>
              <w:rPr>
                <w:rFonts w:ascii="Times New Roman" w:hAnsi="Times New Roman"/>
                <w:sz w:val="20"/>
                <w:szCs w:val="20"/>
              </w:rPr>
            </w:pPr>
          </w:p>
        </w:tc>
      </w:tr>
      <w:tr w:rsidR="00FB67F9" w14:paraId="606F7F9C" w14:textId="77777777">
        <w:trPr>
          <w:jc w:val="center"/>
        </w:trPr>
        <w:tc>
          <w:tcPr>
            <w:tcW w:w="0" w:type="auto"/>
            <w:shd w:val="clear" w:color="auto" w:fill="auto"/>
            <w:tcMar>
              <w:top w:w="40" w:type="dxa"/>
              <w:left w:w="40" w:type="dxa"/>
              <w:bottom w:w="40" w:type="dxa"/>
              <w:right w:w="40" w:type="dxa"/>
            </w:tcMar>
            <w:vAlign w:val="bottom"/>
          </w:tcPr>
          <w:p w14:paraId="606F7F90"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606F7F9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9,844</w:t>
            </w:r>
          </w:p>
        </w:tc>
        <w:tc>
          <w:tcPr>
            <w:tcW w:w="0" w:type="auto"/>
            <w:shd w:val="clear" w:color="auto" w:fill="FFF1E7"/>
            <w:vAlign w:val="bottom"/>
          </w:tcPr>
          <w:p w14:paraId="606F7F92"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right w:w="40" w:type="dxa"/>
            </w:tcMar>
            <w:vAlign w:val="bottom"/>
          </w:tcPr>
          <w:p w14:paraId="606F7F9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808080"/>
            </w:tcBorders>
            <w:shd w:val="clear" w:color="auto" w:fill="auto"/>
            <w:tcMar>
              <w:top w:w="40" w:type="dxa"/>
              <w:left w:w="40" w:type="dxa"/>
              <w:bottom w:w="40" w:type="dxa"/>
            </w:tcMar>
            <w:vAlign w:val="bottom"/>
          </w:tcPr>
          <w:p w14:paraId="606F7F9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8,946</w:t>
            </w:r>
          </w:p>
        </w:tc>
        <w:tc>
          <w:tcPr>
            <w:tcW w:w="0" w:type="auto"/>
            <w:tcBorders>
              <w:bottom w:val="single" w:sz="8" w:space="0" w:color="808080"/>
            </w:tcBorders>
            <w:shd w:val="clear" w:color="auto" w:fill="auto"/>
            <w:vAlign w:val="bottom"/>
          </w:tcPr>
          <w:p w14:paraId="606F7F95"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right w:w="40" w:type="dxa"/>
            </w:tcMar>
            <w:vAlign w:val="bottom"/>
          </w:tcPr>
          <w:p w14:paraId="606F7F9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F9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19,940</w:t>
            </w:r>
          </w:p>
        </w:tc>
        <w:tc>
          <w:tcPr>
            <w:tcW w:w="0" w:type="auto"/>
            <w:shd w:val="clear" w:color="auto" w:fill="FFF1E7"/>
            <w:vAlign w:val="bottom"/>
          </w:tcPr>
          <w:p w14:paraId="606F7F98"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right w:w="40" w:type="dxa"/>
            </w:tcMar>
            <w:vAlign w:val="bottom"/>
          </w:tcPr>
          <w:p w14:paraId="606F7F9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808080"/>
            </w:tcBorders>
            <w:shd w:val="clear" w:color="auto" w:fill="auto"/>
            <w:tcMar>
              <w:top w:w="40" w:type="dxa"/>
              <w:left w:w="40" w:type="dxa"/>
              <w:bottom w:w="40" w:type="dxa"/>
            </w:tcMar>
            <w:vAlign w:val="bottom"/>
          </w:tcPr>
          <w:p w14:paraId="606F7F9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18,363</w:t>
            </w:r>
          </w:p>
        </w:tc>
        <w:tc>
          <w:tcPr>
            <w:tcW w:w="0" w:type="auto"/>
            <w:tcBorders>
              <w:bottom w:val="single" w:sz="8" w:space="0" w:color="808080"/>
            </w:tcBorders>
            <w:shd w:val="clear" w:color="auto" w:fill="auto"/>
            <w:vAlign w:val="bottom"/>
          </w:tcPr>
          <w:p w14:paraId="606F7F9B" w14:textId="77777777" w:rsidR="00FB67F9" w:rsidRDefault="00FB67F9">
            <w:pPr>
              <w:textAlignment w:val="bottom"/>
              <w:rPr>
                <w:rFonts w:ascii="Times New Roman" w:hAnsi="Times New Roman"/>
                <w:sz w:val="20"/>
                <w:szCs w:val="20"/>
              </w:rPr>
            </w:pPr>
          </w:p>
        </w:tc>
      </w:tr>
      <w:tr w:rsidR="00FB67F9" w14:paraId="606F7FA9"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F9D"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9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480</w:t>
            </w:r>
          </w:p>
        </w:tc>
        <w:tc>
          <w:tcPr>
            <w:tcW w:w="0" w:type="auto"/>
            <w:tcBorders>
              <w:top w:val="single" w:sz="8" w:space="0" w:color="808080"/>
              <w:bottom w:val="single" w:sz="8" w:space="0" w:color="808080"/>
            </w:tcBorders>
            <w:shd w:val="clear" w:color="auto" w:fill="FFF1E7"/>
            <w:vAlign w:val="bottom"/>
          </w:tcPr>
          <w:p w14:paraId="606F7F9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A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425</w:t>
            </w:r>
          </w:p>
        </w:tc>
        <w:tc>
          <w:tcPr>
            <w:tcW w:w="0" w:type="auto"/>
            <w:tcBorders>
              <w:top w:val="single" w:sz="8" w:space="0" w:color="808080"/>
              <w:bottom w:val="single" w:sz="8" w:space="0" w:color="808080"/>
            </w:tcBorders>
            <w:shd w:val="clear" w:color="auto" w:fill="auto"/>
            <w:vAlign w:val="bottom"/>
          </w:tcPr>
          <w:p w14:paraId="606F7FA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A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1,035</w:t>
            </w:r>
          </w:p>
        </w:tc>
        <w:tc>
          <w:tcPr>
            <w:tcW w:w="0" w:type="auto"/>
            <w:tcBorders>
              <w:top w:val="single" w:sz="8" w:space="0" w:color="808080"/>
              <w:bottom w:val="single" w:sz="8" w:space="0" w:color="808080"/>
            </w:tcBorders>
            <w:shd w:val="clear" w:color="auto" w:fill="FFF1E7"/>
            <w:vAlign w:val="bottom"/>
          </w:tcPr>
          <w:p w14:paraId="606F7FA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952</w:t>
            </w:r>
          </w:p>
        </w:tc>
        <w:tc>
          <w:tcPr>
            <w:tcW w:w="0" w:type="auto"/>
            <w:tcBorders>
              <w:top w:val="single" w:sz="8" w:space="0" w:color="808080"/>
              <w:bottom w:val="single" w:sz="8" w:space="0" w:color="808080"/>
            </w:tcBorders>
            <w:shd w:val="clear" w:color="auto" w:fill="auto"/>
            <w:vAlign w:val="bottom"/>
          </w:tcPr>
          <w:p w14:paraId="606F7FA8" w14:textId="77777777" w:rsidR="00FB67F9" w:rsidRDefault="00FB67F9">
            <w:pPr>
              <w:textAlignment w:val="bottom"/>
              <w:rPr>
                <w:rFonts w:ascii="Times New Roman" w:hAnsi="Times New Roman"/>
                <w:sz w:val="20"/>
                <w:szCs w:val="20"/>
              </w:rPr>
            </w:pPr>
          </w:p>
        </w:tc>
      </w:tr>
      <w:tr w:rsidR="00FB67F9" w14:paraId="606F7FB6" w14:textId="77777777">
        <w:trPr>
          <w:jc w:val="center"/>
        </w:trPr>
        <w:tc>
          <w:tcPr>
            <w:tcW w:w="0" w:type="auto"/>
            <w:shd w:val="clear" w:color="auto" w:fill="auto"/>
            <w:tcMar>
              <w:top w:w="40" w:type="dxa"/>
              <w:left w:w="240" w:type="dxa"/>
              <w:bottom w:w="40" w:type="dxa"/>
              <w:right w:w="40" w:type="dxa"/>
            </w:tcMar>
            <w:vAlign w:val="bottom"/>
          </w:tcPr>
          <w:p w14:paraId="606F7FAA"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606F7F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FFF1E7"/>
            <w:vAlign w:val="bottom"/>
          </w:tcPr>
          <w:p w14:paraId="606F7FAC"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F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7F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vAlign w:val="bottom"/>
          </w:tcPr>
          <w:p w14:paraId="606F7FAF"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FB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7FB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vAlign w:val="bottom"/>
          </w:tcPr>
          <w:p w14:paraId="606F7FB2"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7FB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7F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vAlign w:val="bottom"/>
          </w:tcPr>
          <w:p w14:paraId="606F7FB5" w14:textId="77777777" w:rsidR="00FB67F9" w:rsidRDefault="00FB67F9">
            <w:pPr>
              <w:textAlignment w:val="bottom"/>
              <w:rPr>
                <w:rFonts w:ascii="Times New Roman" w:hAnsi="Times New Roman"/>
                <w:sz w:val="20"/>
                <w:szCs w:val="20"/>
              </w:rPr>
            </w:pPr>
          </w:p>
        </w:tc>
      </w:tr>
      <w:tr w:rsidR="00FB67F9" w14:paraId="606F7FC7"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B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INC.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FB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FB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10,326</w:t>
            </w:r>
          </w:p>
        </w:tc>
        <w:tc>
          <w:tcPr>
            <w:tcW w:w="0" w:type="auto"/>
            <w:tcBorders>
              <w:top w:val="single" w:sz="8" w:space="0" w:color="E87722"/>
              <w:bottom w:val="single" w:sz="8" w:space="0" w:color="E87722"/>
            </w:tcBorders>
            <w:shd w:val="clear" w:color="auto" w:fill="FFF1E7"/>
            <w:vAlign w:val="bottom"/>
          </w:tcPr>
          <w:p w14:paraId="606F7FB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B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FB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FB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9,374</w:t>
            </w:r>
          </w:p>
        </w:tc>
        <w:tc>
          <w:tcPr>
            <w:tcW w:w="0" w:type="auto"/>
            <w:tcBorders>
              <w:top w:val="single" w:sz="8" w:space="0" w:color="E87722"/>
              <w:bottom w:val="single" w:sz="8" w:space="0" w:color="E87722"/>
            </w:tcBorders>
            <w:shd w:val="clear" w:color="auto" w:fill="auto"/>
            <w:vAlign w:val="bottom"/>
          </w:tcPr>
          <w:p w14:paraId="606F7FB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B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7FC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7FC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20,986</w:t>
            </w:r>
          </w:p>
        </w:tc>
        <w:tc>
          <w:tcPr>
            <w:tcW w:w="0" w:type="auto"/>
            <w:tcBorders>
              <w:top w:val="single" w:sz="8" w:space="0" w:color="E87722"/>
              <w:bottom w:val="single" w:sz="8" w:space="0" w:color="E87722"/>
            </w:tcBorders>
            <w:shd w:val="clear" w:color="auto" w:fill="FFF1E7"/>
            <w:vAlign w:val="bottom"/>
          </w:tcPr>
          <w:p w14:paraId="606F7FC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7FC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7FC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7FC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19,322</w:t>
            </w:r>
          </w:p>
        </w:tc>
        <w:tc>
          <w:tcPr>
            <w:tcW w:w="0" w:type="auto"/>
            <w:tcBorders>
              <w:top w:val="single" w:sz="8" w:space="0" w:color="E87722"/>
              <w:bottom w:val="single" w:sz="8" w:space="0" w:color="E87722"/>
            </w:tcBorders>
            <w:shd w:val="clear" w:color="auto" w:fill="auto"/>
            <w:vAlign w:val="bottom"/>
          </w:tcPr>
          <w:p w14:paraId="606F7FC6" w14:textId="77777777" w:rsidR="00FB67F9" w:rsidRDefault="00FB67F9">
            <w:pPr>
              <w:textAlignment w:val="bottom"/>
              <w:rPr>
                <w:rFonts w:ascii="Times New Roman" w:hAnsi="Times New Roman"/>
                <w:sz w:val="20"/>
                <w:szCs w:val="20"/>
              </w:rPr>
            </w:pPr>
          </w:p>
        </w:tc>
      </w:tr>
      <w:tr w:rsidR="00FB67F9" w14:paraId="606F7FD0" w14:textId="77777777">
        <w:trPr>
          <w:jc w:val="center"/>
        </w:trPr>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FC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gridSpan w:val="3"/>
            <w:tcBorders>
              <w:top w:val="single" w:sz="8" w:space="0" w:color="E87722"/>
              <w:bottom w:val="single" w:sz="8" w:space="0" w:color="808080"/>
            </w:tcBorders>
            <w:shd w:val="clear" w:color="auto" w:fill="FFF1E7"/>
            <w:tcMar>
              <w:top w:w="40" w:type="dxa"/>
              <w:left w:w="40" w:type="dxa"/>
              <w:bottom w:w="40" w:type="dxa"/>
              <w:right w:w="40" w:type="dxa"/>
            </w:tcMar>
            <w:vAlign w:val="bottom"/>
          </w:tcPr>
          <w:p w14:paraId="606F7F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FC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FC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FC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808080"/>
            </w:tcBorders>
            <w:shd w:val="clear" w:color="auto" w:fill="FFF1E7"/>
            <w:tcMar>
              <w:top w:w="40" w:type="dxa"/>
              <w:left w:w="40" w:type="dxa"/>
              <w:bottom w:w="40" w:type="dxa"/>
              <w:right w:w="40" w:type="dxa"/>
            </w:tcMar>
            <w:vAlign w:val="bottom"/>
          </w:tcPr>
          <w:p w14:paraId="606F7FC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FC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7FC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7FE1"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FD1" w14:textId="77777777" w:rsidR="00FB67F9" w:rsidRDefault="00E839DF">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FD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FD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875</w:t>
            </w:r>
          </w:p>
        </w:tc>
        <w:tc>
          <w:tcPr>
            <w:tcW w:w="0" w:type="auto"/>
            <w:tcBorders>
              <w:top w:val="single" w:sz="8" w:space="0" w:color="808080"/>
              <w:bottom w:val="single" w:sz="8" w:space="0" w:color="808080"/>
            </w:tcBorders>
            <w:shd w:val="clear" w:color="auto" w:fill="FFF1E7"/>
            <w:vAlign w:val="bottom"/>
          </w:tcPr>
          <w:p w14:paraId="606F7FD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D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FD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F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884</w:t>
            </w:r>
          </w:p>
        </w:tc>
        <w:tc>
          <w:tcPr>
            <w:tcW w:w="0" w:type="auto"/>
            <w:tcBorders>
              <w:top w:val="single" w:sz="8" w:space="0" w:color="808080"/>
              <w:bottom w:val="single" w:sz="8" w:space="0" w:color="808080"/>
            </w:tcBorders>
            <w:shd w:val="clear" w:color="auto" w:fill="auto"/>
            <w:vAlign w:val="bottom"/>
          </w:tcPr>
          <w:p w14:paraId="606F7FD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D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7FD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7F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1,975</w:t>
            </w:r>
          </w:p>
        </w:tc>
        <w:tc>
          <w:tcPr>
            <w:tcW w:w="0" w:type="auto"/>
            <w:tcBorders>
              <w:top w:val="single" w:sz="8" w:space="0" w:color="808080"/>
              <w:bottom w:val="single" w:sz="8" w:space="0" w:color="808080"/>
            </w:tcBorders>
            <w:shd w:val="clear" w:color="auto" w:fill="FFF1E7"/>
            <w:vAlign w:val="bottom"/>
          </w:tcPr>
          <w:p w14:paraId="606F7FD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D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7FD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7FD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1,961</w:t>
            </w:r>
          </w:p>
        </w:tc>
        <w:tc>
          <w:tcPr>
            <w:tcW w:w="0" w:type="auto"/>
            <w:tcBorders>
              <w:top w:val="single" w:sz="8" w:space="0" w:color="808080"/>
              <w:bottom w:val="single" w:sz="8" w:space="0" w:color="808080"/>
            </w:tcBorders>
            <w:shd w:val="clear" w:color="auto" w:fill="auto"/>
            <w:vAlign w:val="bottom"/>
          </w:tcPr>
          <w:p w14:paraId="606F7FE0" w14:textId="77777777" w:rsidR="00FB67F9" w:rsidRDefault="00FB67F9">
            <w:pPr>
              <w:textAlignment w:val="bottom"/>
              <w:rPr>
                <w:rFonts w:ascii="Times New Roman" w:hAnsi="Times New Roman"/>
                <w:sz w:val="20"/>
                <w:szCs w:val="20"/>
              </w:rPr>
            </w:pPr>
          </w:p>
        </w:tc>
      </w:tr>
      <w:tr w:rsidR="00FB67F9" w14:paraId="606F7FEE"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FE2" w14:textId="77777777" w:rsidR="00FB67F9" w:rsidRDefault="00E839DF">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510</w:t>
            </w:r>
          </w:p>
        </w:tc>
        <w:tc>
          <w:tcPr>
            <w:tcW w:w="0" w:type="auto"/>
            <w:tcBorders>
              <w:top w:val="single" w:sz="8" w:space="0" w:color="808080"/>
              <w:bottom w:val="single" w:sz="8" w:space="0" w:color="808080"/>
            </w:tcBorders>
            <w:shd w:val="clear" w:color="auto" w:fill="FFF1E7"/>
            <w:vAlign w:val="bottom"/>
          </w:tcPr>
          <w:p w14:paraId="606F7FE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E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E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450</w:t>
            </w:r>
          </w:p>
        </w:tc>
        <w:tc>
          <w:tcPr>
            <w:tcW w:w="0" w:type="auto"/>
            <w:tcBorders>
              <w:top w:val="single" w:sz="8" w:space="0" w:color="808080"/>
              <w:bottom w:val="single" w:sz="8" w:space="0" w:color="808080"/>
            </w:tcBorders>
            <w:shd w:val="clear" w:color="auto" w:fill="auto"/>
            <w:vAlign w:val="bottom"/>
          </w:tcPr>
          <w:p w14:paraId="606F7FE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E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1,119</w:t>
            </w:r>
          </w:p>
        </w:tc>
        <w:tc>
          <w:tcPr>
            <w:tcW w:w="0" w:type="auto"/>
            <w:tcBorders>
              <w:top w:val="single" w:sz="8" w:space="0" w:color="808080"/>
              <w:bottom w:val="single" w:sz="8" w:space="0" w:color="808080"/>
            </w:tcBorders>
            <w:shd w:val="clear" w:color="auto" w:fill="FFF1E7"/>
            <w:vAlign w:val="bottom"/>
          </w:tcPr>
          <w:p w14:paraId="606F7FE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E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E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951</w:t>
            </w:r>
          </w:p>
        </w:tc>
        <w:tc>
          <w:tcPr>
            <w:tcW w:w="0" w:type="auto"/>
            <w:tcBorders>
              <w:top w:val="single" w:sz="8" w:space="0" w:color="808080"/>
              <w:bottom w:val="single" w:sz="8" w:space="0" w:color="808080"/>
            </w:tcBorders>
            <w:shd w:val="clear" w:color="auto" w:fill="auto"/>
            <w:vAlign w:val="bottom"/>
          </w:tcPr>
          <w:p w14:paraId="606F7FED" w14:textId="77777777" w:rsidR="00FB67F9" w:rsidRDefault="00FB67F9">
            <w:pPr>
              <w:textAlignment w:val="bottom"/>
              <w:rPr>
                <w:rFonts w:ascii="Times New Roman" w:hAnsi="Times New Roman"/>
                <w:sz w:val="20"/>
                <w:szCs w:val="20"/>
              </w:rPr>
            </w:pPr>
          </w:p>
        </w:tc>
      </w:tr>
      <w:tr w:rsidR="00FB67F9" w14:paraId="606F7FFB"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FEF" w14:textId="77777777" w:rsidR="00FB67F9" w:rsidRDefault="00E839DF">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F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694</w:t>
            </w:r>
          </w:p>
        </w:tc>
        <w:tc>
          <w:tcPr>
            <w:tcW w:w="0" w:type="auto"/>
            <w:tcBorders>
              <w:top w:val="single" w:sz="8" w:space="0" w:color="808080"/>
              <w:bottom w:val="single" w:sz="8" w:space="0" w:color="808080"/>
            </w:tcBorders>
            <w:shd w:val="clear" w:color="auto" w:fill="FFF1E7"/>
            <w:vAlign w:val="bottom"/>
          </w:tcPr>
          <w:p w14:paraId="606F7FF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F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F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561</w:t>
            </w:r>
          </w:p>
        </w:tc>
        <w:tc>
          <w:tcPr>
            <w:tcW w:w="0" w:type="auto"/>
            <w:tcBorders>
              <w:top w:val="single" w:sz="8" w:space="0" w:color="808080"/>
              <w:bottom w:val="single" w:sz="8" w:space="0" w:color="808080"/>
            </w:tcBorders>
            <w:shd w:val="clear" w:color="auto" w:fill="auto"/>
            <w:vAlign w:val="bottom"/>
          </w:tcPr>
          <w:p w14:paraId="606F7FF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F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F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1,363</w:t>
            </w:r>
          </w:p>
        </w:tc>
        <w:tc>
          <w:tcPr>
            <w:tcW w:w="0" w:type="auto"/>
            <w:tcBorders>
              <w:top w:val="single" w:sz="8" w:space="0" w:color="808080"/>
              <w:bottom w:val="single" w:sz="8" w:space="0" w:color="808080"/>
            </w:tcBorders>
            <w:shd w:val="clear" w:color="auto" w:fill="FFF1E7"/>
            <w:vAlign w:val="bottom"/>
          </w:tcPr>
          <w:p w14:paraId="606F7FF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F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7FF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1,063</w:t>
            </w:r>
          </w:p>
        </w:tc>
        <w:tc>
          <w:tcPr>
            <w:tcW w:w="0" w:type="auto"/>
            <w:tcBorders>
              <w:top w:val="single" w:sz="8" w:space="0" w:color="808080"/>
              <w:bottom w:val="single" w:sz="8" w:space="0" w:color="808080"/>
            </w:tcBorders>
            <w:shd w:val="clear" w:color="auto" w:fill="auto"/>
            <w:vAlign w:val="bottom"/>
          </w:tcPr>
          <w:p w14:paraId="606F7FFA" w14:textId="77777777" w:rsidR="00FB67F9" w:rsidRDefault="00FB67F9">
            <w:pPr>
              <w:textAlignment w:val="bottom"/>
              <w:rPr>
                <w:rFonts w:ascii="Times New Roman" w:hAnsi="Times New Roman"/>
                <w:sz w:val="20"/>
                <w:szCs w:val="20"/>
              </w:rPr>
            </w:pPr>
          </w:p>
        </w:tc>
      </w:tr>
      <w:tr w:rsidR="00FB67F9" w14:paraId="606F8008"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7FFC" w14:textId="77777777" w:rsidR="00FB67F9" w:rsidRDefault="00E839DF">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7FF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377</w:t>
            </w:r>
          </w:p>
        </w:tc>
        <w:tc>
          <w:tcPr>
            <w:tcW w:w="0" w:type="auto"/>
            <w:tcBorders>
              <w:top w:val="single" w:sz="8" w:space="0" w:color="808080"/>
              <w:bottom w:val="single" w:sz="8" w:space="0" w:color="808080"/>
            </w:tcBorders>
            <w:shd w:val="clear" w:color="auto" w:fill="FFF1E7"/>
            <w:vAlign w:val="bottom"/>
          </w:tcPr>
          <w:p w14:paraId="606F7FF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7FF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0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321</w:t>
            </w:r>
          </w:p>
        </w:tc>
        <w:tc>
          <w:tcPr>
            <w:tcW w:w="0" w:type="auto"/>
            <w:tcBorders>
              <w:top w:val="single" w:sz="8" w:space="0" w:color="808080"/>
              <w:bottom w:val="single" w:sz="8" w:space="0" w:color="808080"/>
            </w:tcBorders>
            <w:shd w:val="clear" w:color="auto" w:fill="auto"/>
            <w:vAlign w:val="bottom"/>
          </w:tcPr>
          <w:p w14:paraId="606F800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0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0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718</w:t>
            </w:r>
          </w:p>
        </w:tc>
        <w:tc>
          <w:tcPr>
            <w:tcW w:w="0" w:type="auto"/>
            <w:tcBorders>
              <w:top w:val="single" w:sz="8" w:space="0" w:color="808080"/>
              <w:bottom w:val="single" w:sz="8" w:space="0" w:color="808080"/>
            </w:tcBorders>
            <w:shd w:val="clear" w:color="auto" w:fill="FFF1E7"/>
            <w:vAlign w:val="bottom"/>
          </w:tcPr>
          <w:p w14:paraId="606F800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0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0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644</w:t>
            </w:r>
          </w:p>
        </w:tc>
        <w:tc>
          <w:tcPr>
            <w:tcW w:w="0" w:type="auto"/>
            <w:tcBorders>
              <w:top w:val="single" w:sz="8" w:space="0" w:color="808080"/>
              <w:bottom w:val="single" w:sz="8" w:space="0" w:color="808080"/>
            </w:tcBorders>
            <w:shd w:val="clear" w:color="auto" w:fill="auto"/>
            <w:vAlign w:val="bottom"/>
          </w:tcPr>
          <w:p w14:paraId="606F8007" w14:textId="77777777" w:rsidR="00FB67F9" w:rsidRDefault="00FB67F9">
            <w:pPr>
              <w:textAlignment w:val="bottom"/>
              <w:rPr>
                <w:rFonts w:ascii="Times New Roman" w:hAnsi="Times New Roman"/>
                <w:sz w:val="20"/>
                <w:szCs w:val="20"/>
              </w:rPr>
            </w:pPr>
          </w:p>
        </w:tc>
      </w:tr>
      <w:tr w:rsidR="00FB67F9" w14:paraId="606F8015"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009" w14:textId="77777777" w:rsidR="00FB67F9" w:rsidRDefault="00E839DF">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0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(872</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800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0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0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00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0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1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(1,729</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801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1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1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(1,644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01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022"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016"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1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90</w:t>
            </w:r>
          </w:p>
        </w:tc>
        <w:tc>
          <w:tcPr>
            <w:tcW w:w="0" w:type="auto"/>
            <w:tcBorders>
              <w:top w:val="single" w:sz="8" w:space="0" w:color="808080"/>
              <w:bottom w:val="single" w:sz="8" w:space="0" w:color="808080"/>
            </w:tcBorders>
            <w:shd w:val="clear" w:color="auto" w:fill="FFF1E7"/>
            <w:vAlign w:val="bottom"/>
          </w:tcPr>
          <w:p w14:paraId="606F801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1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1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w:t>
            </w:r>
          </w:p>
        </w:tc>
        <w:tc>
          <w:tcPr>
            <w:tcW w:w="0" w:type="auto"/>
            <w:tcBorders>
              <w:top w:val="single" w:sz="8" w:space="0" w:color="808080"/>
              <w:bottom w:val="single" w:sz="8" w:space="0" w:color="808080"/>
            </w:tcBorders>
            <w:shd w:val="clear" w:color="auto" w:fill="auto"/>
            <w:vAlign w:val="bottom"/>
          </w:tcPr>
          <w:p w14:paraId="606F801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1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1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228</w:t>
            </w:r>
          </w:p>
        </w:tc>
        <w:tc>
          <w:tcPr>
            <w:tcW w:w="0" w:type="auto"/>
            <w:tcBorders>
              <w:top w:val="single" w:sz="8" w:space="0" w:color="808080"/>
              <w:bottom w:val="single" w:sz="8" w:space="0" w:color="808080"/>
            </w:tcBorders>
            <w:shd w:val="clear" w:color="auto" w:fill="FFF1E7"/>
            <w:vAlign w:val="bottom"/>
          </w:tcPr>
          <w:p w14:paraId="606F801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1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2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142</w:t>
            </w:r>
          </w:p>
        </w:tc>
        <w:tc>
          <w:tcPr>
            <w:tcW w:w="0" w:type="auto"/>
            <w:tcBorders>
              <w:top w:val="single" w:sz="8" w:space="0" w:color="808080"/>
              <w:bottom w:val="single" w:sz="8" w:space="0" w:color="808080"/>
            </w:tcBorders>
            <w:shd w:val="clear" w:color="auto" w:fill="auto"/>
            <w:vAlign w:val="bottom"/>
          </w:tcPr>
          <w:p w14:paraId="606F8021" w14:textId="77777777" w:rsidR="00FB67F9" w:rsidRDefault="00FB67F9">
            <w:pPr>
              <w:textAlignment w:val="bottom"/>
              <w:rPr>
                <w:rFonts w:ascii="Times New Roman" w:hAnsi="Times New Roman"/>
                <w:sz w:val="20"/>
                <w:szCs w:val="20"/>
              </w:rPr>
            </w:pPr>
          </w:p>
        </w:tc>
      </w:tr>
      <w:tr w:rsidR="00FB67F9" w14:paraId="606F802F"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023"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2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(413</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802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2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2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02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2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2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(837</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606F802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2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02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03C" w14:textId="77777777">
        <w:trPr>
          <w:jc w:val="center"/>
        </w:trPr>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030"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0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E87722"/>
            </w:tcBorders>
            <w:shd w:val="clear" w:color="auto" w:fill="FFF1E7"/>
            <w:vAlign w:val="bottom"/>
          </w:tcPr>
          <w:p w14:paraId="606F803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03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03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E87722"/>
            </w:tcBorders>
            <w:shd w:val="clear" w:color="auto" w:fill="auto"/>
            <w:vAlign w:val="bottom"/>
          </w:tcPr>
          <w:p w14:paraId="606F803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03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03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w:t>
            </w:r>
          </w:p>
        </w:tc>
        <w:tc>
          <w:tcPr>
            <w:tcW w:w="0" w:type="auto"/>
            <w:tcBorders>
              <w:top w:val="single" w:sz="8" w:space="0" w:color="808080"/>
              <w:bottom w:val="single" w:sz="8" w:space="0" w:color="E87722"/>
            </w:tcBorders>
            <w:shd w:val="clear" w:color="auto" w:fill="FFF1E7"/>
            <w:vAlign w:val="bottom"/>
          </w:tcPr>
          <w:p w14:paraId="606F803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03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03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E87722"/>
            </w:tcBorders>
            <w:shd w:val="clear" w:color="auto" w:fill="auto"/>
            <w:vAlign w:val="bottom"/>
          </w:tcPr>
          <w:p w14:paraId="606F803B" w14:textId="77777777" w:rsidR="00FB67F9" w:rsidRDefault="00FB67F9">
            <w:pPr>
              <w:textAlignment w:val="bottom"/>
              <w:rPr>
                <w:rFonts w:ascii="Times New Roman" w:hAnsi="Times New Roman"/>
                <w:sz w:val="20"/>
                <w:szCs w:val="20"/>
              </w:rPr>
            </w:pPr>
          </w:p>
        </w:tc>
      </w:tr>
      <w:tr w:rsidR="00FB67F9" w14:paraId="606F804D"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3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03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03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1,249</w:t>
            </w:r>
          </w:p>
        </w:tc>
        <w:tc>
          <w:tcPr>
            <w:tcW w:w="0" w:type="auto"/>
            <w:tcBorders>
              <w:top w:val="single" w:sz="8" w:space="0" w:color="E87722"/>
              <w:bottom w:val="single" w:sz="8" w:space="0" w:color="E87722"/>
            </w:tcBorders>
            <w:shd w:val="clear" w:color="auto" w:fill="FFF1E7"/>
            <w:vAlign w:val="bottom"/>
          </w:tcPr>
          <w:p w14:paraId="606F804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4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04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04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997</w:t>
            </w:r>
          </w:p>
        </w:tc>
        <w:tc>
          <w:tcPr>
            <w:tcW w:w="0" w:type="auto"/>
            <w:tcBorders>
              <w:top w:val="single" w:sz="8" w:space="0" w:color="E87722"/>
              <w:bottom w:val="single" w:sz="8" w:space="0" w:color="E87722"/>
            </w:tcBorders>
            <w:shd w:val="clear" w:color="auto" w:fill="auto"/>
            <w:vAlign w:val="bottom"/>
          </w:tcPr>
          <w:p w14:paraId="606F804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04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04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2,810</w:t>
            </w:r>
          </w:p>
        </w:tc>
        <w:tc>
          <w:tcPr>
            <w:tcW w:w="0" w:type="auto"/>
            <w:tcBorders>
              <w:top w:val="single" w:sz="8" w:space="0" w:color="E87722"/>
              <w:bottom w:val="single" w:sz="8" w:space="0" w:color="E87722"/>
            </w:tcBorders>
            <w:shd w:val="clear" w:color="auto" w:fill="FFF1E7"/>
            <w:vAlign w:val="bottom"/>
          </w:tcPr>
          <w:p w14:paraId="606F804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4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04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04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2,267</w:t>
            </w:r>
          </w:p>
        </w:tc>
        <w:tc>
          <w:tcPr>
            <w:tcW w:w="0" w:type="auto"/>
            <w:tcBorders>
              <w:top w:val="single" w:sz="8" w:space="0" w:color="E87722"/>
              <w:bottom w:val="single" w:sz="8" w:space="0" w:color="E87722"/>
            </w:tcBorders>
            <w:shd w:val="clear" w:color="auto" w:fill="auto"/>
            <w:vAlign w:val="bottom"/>
          </w:tcPr>
          <w:p w14:paraId="606F804C" w14:textId="77777777" w:rsidR="00FB67F9" w:rsidRDefault="00FB67F9">
            <w:pPr>
              <w:textAlignment w:val="bottom"/>
              <w:rPr>
                <w:rFonts w:ascii="Times New Roman" w:hAnsi="Times New Roman"/>
                <w:sz w:val="20"/>
                <w:szCs w:val="20"/>
              </w:rPr>
            </w:pPr>
          </w:p>
        </w:tc>
      </w:tr>
    </w:tbl>
    <w:p w14:paraId="606F804E" w14:textId="77777777" w:rsidR="00FB67F9" w:rsidRDefault="00FB67F9">
      <w:pPr>
        <w:rPr>
          <w:vanish/>
        </w:rPr>
      </w:pPr>
    </w:p>
    <w:tbl>
      <w:tblPr>
        <w:tblW w:w="5000" w:type="pct"/>
        <w:jc w:val="center"/>
        <w:tblCellMar>
          <w:left w:w="0" w:type="dxa"/>
          <w:right w:w="0" w:type="dxa"/>
        </w:tblCellMar>
        <w:tblLook w:val="04A0" w:firstRow="1" w:lastRow="0" w:firstColumn="1" w:lastColumn="0" w:noHBand="0" w:noVBand="1"/>
      </w:tblPr>
      <w:tblGrid>
        <w:gridCol w:w="5534"/>
        <w:gridCol w:w="135"/>
        <w:gridCol w:w="1132"/>
        <w:gridCol w:w="73"/>
        <w:gridCol w:w="130"/>
        <w:gridCol w:w="136"/>
        <w:gridCol w:w="1113"/>
        <w:gridCol w:w="53"/>
      </w:tblGrid>
      <w:tr w:rsidR="00FB67F9" w14:paraId="606F8050" w14:textId="77777777">
        <w:trPr>
          <w:jc w:val="center"/>
        </w:trPr>
        <w:tc>
          <w:tcPr>
            <w:tcW w:w="0" w:type="auto"/>
            <w:gridSpan w:val="8"/>
            <w:shd w:val="clear" w:color="auto" w:fill="auto"/>
            <w:vAlign w:val="center"/>
          </w:tcPr>
          <w:p w14:paraId="606F804F" w14:textId="77777777" w:rsidR="00FB67F9" w:rsidRDefault="00FB67F9">
            <w:pPr>
              <w:rPr>
                <w:rFonts w:ascii="Times New Roman" w:hAnsi="Times New Roman"/>
                <w:sz w:val="20"/>
                <w:szCs w:val="20"/>
              </w:rPr>
            </w:pPr>
          </w:p>
        </w:tc>
      </w:tr>
      <w:tr w:rsidR="00FB67F9" w14:paraId="606F8059" w14:textId="77777777">
        <w:trPr>
          <w:jc w:val="center"/>
        </w:trPr>
        <w:tc>
          <w:tcPr>
            <w:tcW w:w="3350" w:type="pct"/>
            <w:shd w:val="clear" w:color="auto" w:fill="auto"/>
            <w:vAlign w:val="center"/>
          </w:tcPr>
          <w:p w14:paraId="606F8051" w14:textId="77777777" w:rsidR="00FB67F9" w:rsidRDefault="00FB67F9">
            <w:pPr>
              <w:rPr>
                <w:rFonts w:ascii="Times New Roman" w:hAnsi="Times New Roman"/>
                <w:sz w:val="20"/>
                <w:szCs w:val="20"/>
              </w:rPr>
            </w:pPr>
          </w:p>
        </w:tc>
        <w:tc>
          <w:tcPr>
            <w:tcW w:w="50" w:type="pct"/>
            <w:shd w:val="clear" w:color="auto" w:fill="auto"/>
            <w:vAlign w:val="center"/>
          </w:tcPr>
          <w:p w14:paraId="606F8052" w14:textId="77777777" w:rsidR="00FB67F9" w:rsidRDefault="00FB67F9">
            <w:pPr>
              <w:rPr>
                <w:rFonts w:ascii="Times New Roman" w:hAnsi="Times New Roman"/>
                <w:sz w:val="20"/>
                <w:szCs w:val="20"/>
              </w:rPr>
            </w:pPr>
          </w:p>
        </w:tc>
        <w:tc>
          <w:tcPr>
            <w:tcW w:w="700" w:type="pct"/>
            <w:shd w:val="clear" w:color="auto" w:fill="auto"/>
            <w:vAlign w:val="center"/>
          </w:tcPr>
          <w:p w14:paraId="606F8053" w14:textId="77777777" w:rsidR="00FB67F9" w:rsidRDefault="00FB67F9">
            <w:pPr>
              <w:rPr>
                <w:rFonts w:ascii="Times New Roman" w:hAnsi="Times New Roman"/>
                <w:sz w:val="20"/>
                <w:szCs w:val="20"/>
              </w:rPr>
            </w:pPr>
          </w:p>
        </w:tc>
        <w:tc>
          <w:tcPr>
            <w:tcW w:w="50" w:type="pct"/>
            <w:shd w:val="clear" w:color="auto" w:fill="auto"/>
            <w:vAlign w:val="center"/>
          </w:tcPr>
          <w:p w14:paraId="606F8054" w14:textId="77777777" w:rsidR="00FB67F9" w:rsidRDefault="00FB67F9">
            <w:pPr>
              <w:rPr>
                <w:rFonts w:ascii="Times New Roman" w:hAnsi="Times New Roman"/>
                <w:sz w:val="20"/>
                <w:szCs w:val="20"/>
              </w:rPr>
            </w:pPr>
          </w:p>
        </w:tc>
        <w:tc>
          <w:tcPr>
            <w:tcW w:w="50" w:type="pct"/>
            <w:shd w:val="clear" w:color="auto" w:fill="auto"/>
            <w:vAlign w:val="center"/>
          </w:tcPr>
          <w:p w14:paraId="606F8055" w14:textId="77777777" w:rsidR="00FB67F9" w:rsidRDefault="00FB67F9">
            <w:pPr>
              <w:rPr>
                <w:rFonts w:ascii="Times New Roman" w:hAnsi="Times New Roman"/>
                <w:sz w:val="20"/>
                <w:szCs w:val="20"/>
              </w:rPr>
            </w:pPr>
          </w:p>
        </w:tc>
        <w:tc>
          <w:tcPr>
            <w:tcW w:w="50" w:type="pct"/>
            <w:shd w:val="clear" w:color="auto" w:fill="auto"/>
            <w:vAlign w:val="center"/>
          </w:tcPr>
          <w:p w14:paraId="606F8056" w14:textId="77777777" w:rsidR="00FB67F9" w:rsidRDefault="00FB67F9">
            <w:pPr>
              <w:rPr>
                <w:rFonts w:ascii="Times New Roman" w:hAnsi="Times New Roman"/>
                <w:sz w:val="20"/>
                <w:szCs w:val="20"/>
              </w:rPr>
            </w:pPr>
          </w:p>
        </w:tc>
        <w:tc>
          <w:tcPr>
            <w:tcW w:w="700" w:type="pct"/>
            <w:shd w:val="clear" w:color="auto" w:fill="auto"/>
            <w:vAlign w:val="center"/>
          </w:tcPr>
          <w:p w14:paraId="606F8057" w14:textId="77777777" w:rsidR="00FB67F9" w:rsidRDefault="00FB67F9">
            <w:pPr>
              <w:rPr>
                <w:rFonts w:ascii="Times New Roman" w:hAnsi="Times New Roman"/>
                <w:sz w:val="20"/>
                <w:szCs w:val="20"/>
              </w:rPr>
            </w:pPr>
          </w:p>
        </w:tc>
        <w:tc>
          <w:tcPr>
            <w:tcW w:w="50" w:type="pct"/>
            <w:shd w:val="clear" w:color="auto" w:fill="auto"/>
            <w:vAlign w:val="center"/>
          </w:tcPr>
          <w:p w14:paraId="606F8058" w14:textId="77777777" w:rsidR="00FB67F9" w:rsidRDefault="00FB67F9">
            <w:pPr>
              <w:rPr>
                <w:rFonts w:ascii="Times New Roman" w:hAnsi="Times New Roman"/>
                <w:sz w:val="20"/>
                <w:szCs w:val="20"/>
              </w:rPr>
            </w:pPr>
          </w:p>
        </w:tc>
      </w:tr>
      <w:tr w:rsidR="00FB67F9" w14:paraId="606F805E" w14:textId="77777777">
        <w:trPr>
          <w:jc w:val="center"/>
        </w:trPr>
        <w:tc>
          <w:tcPr>
            <w:tcW w:w="0" w:type="auto"/>
            <w:shd w:val="clear" w:color="auto" w:fill="auto"/>
            <w:tcMar>
              <w:top w:w="40" w:type="dxa"/>
              <w:left w:w="40" w:type="dxa"/>
              <w:bottom w:w="40" w:type="dxa"/>
              <w:right w:w="40" w:type="dxa"/>
            </w:tcMar>
            <w:vAlign w:val="bottom"/>
          </w:tcPr>
          <w:p w14:paraId="606F805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05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w:t>
            </w:r>
          </w:p>
        </w:tc>
        <w:tc>
          <w:tcPr>
            <w:tcW w:w="0" w:type="auto"/>
            <w:shd w:val="clear" w:color="auto" w:fill="auto"/>
            <w:tcMar>
              <w:top w:w="40" w:type="dxa"/>
              <w:left w:w="40" w:type="dxa"/>
              <w:bottom w:w="40" w:type="dxa"/>
              <w:right w:w="40" w:type="dxa"/>
            </w:tcMar>
            <w:vAlign w:val="bottom"/>
          </w:tcPr>
          <w:p w14:paraId="606F805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05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FB67F9" w14:paraId="606F8063"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805F"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06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06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6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FB67F9" w14:paraId="606F8068" w14:textId="77777777">
        <w:trPr>
          <w:jc w:val="center"/>
        </w:trPr>
        <w:tc>
          <w:tcPr>
            <w:tcW w:w="0" w:type="auto"/>
            <w:tcBorders>
              <w:top w:val="single" w:sz="8" w:space="0" w:color="E87722"/>
            </w:tcBorders>
            <w:shd w:val="clear" w:color="auto" w:fill="auto"/>
            <w:tcMar>
              <w:top w:w="40" w:type="dxa"/>
              <w:left w:w="40" w:type="dxa"/>
              <w:bottom w:w="40" w:type="dxa"/>
              <w:right w:w="40" w:type="dxa"/>
            </w:tcMar>
            <w:vAlign w:val="bottom"/>
          </w:tcPr>
          <w:p w14:paraId="606F806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ACCOUNTS RECEIVABLE, NET</w:t>
            </w:r>
          </w:p>
        </w:tc>
        <w:tc>
          <w:tcPr>
            <w:tcW w:w="0" w:type="auto"/>
            <w:gridSpan w:val="3"/>
            <w:tcBorders>
              <w:top w:val="single" w:sz="8" w:space="0" w:color="E87722"/>
            </w:tcBorders>
            <w:shd w:val="clear" w:color="auto" w:fill="FFF1E7"/>
            <w:tcMar>
              <w:top w:w="40" w:type="dxa"/>
              <w:left w:w="40" w:type="dxa"/>
              <w:bottom w:w="40" w:type="dxa"/>
              <w:right w:w="40" w:type="dxa"/>
            </w:tcMar>
            <w:vAlign w:val="bottom"/>
          </w:tcPr>
          <w:p w14:paraId="606F806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06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06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071"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069" w14:textId="77777777" w:rsidR="00FB67F9" w:rsidRDefault="00E839DF">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606F806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06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1,905</w:t>
            </w:r>
          </w:p>
        </w:tc>
        <w:tc>
          <w:tcPr>
            <w:tcW w:w="0" w:type="auto"/>
            <w:tcBorders>
              <w:top w:val="single" w:sz="8" w:space="0" w:color="808080"/>
            </w:tcBorders>
            <w:shd w:val="clear" w:color="auto" w:fill="FFF1E7"/>
            <w:vAlign w:val="bottom"/>
          </w:tcPr>
          <w:p w14:paraId="606F806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06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806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06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1,718</w:t>
            </w:r>
          </w:p>
        </w:tc>
        <w:tc>
          <w:tcPr>
            <w:tcW w:w="0" w:type="auto"/>
            <w:tcBorders>
              <w:top w:val="single" w:sz="8" w:space="0" w:color="808080"/>
            </w:tcBorders>
            <w:shd w:val="clear" w:color="auto" w:fill="auto"/>
            <w:vAlign w:val="bottom"/>
          </w:tcPr>
          <w:p w14:paraId="606F8070" w14:textId="77777777" w:rsidR="00FB67F9" w:rsidRDefault="00FB67F9">
            <w:pPr>
              <w:textAlignment w:val="bottom"/>
              <w:rPr>
                <w:rFonts w:ascii="Times New Roman" w:hAnsi="Times New Roman"/>
                <w:sz w:val="20"/>
                <w:szCs w:val="20"/>
              </w:rPr>
            </w:pPr>
          </w:p>
        </w:tc>
      </w:tr>
      <w:tr w:rsidR="00FB67F9" w14:paraId="606F8078"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072" w14:textId="77777777" w:rsidR="00FB67F9" w:rsidRDefault="00E839DF">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606F807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1,210</w:t>
            </w:r>
          </w:p>
        </w:tc>
        <w:tc>
          <w:tcPr>
            <w:tcW w:w="0" w:type="auto"/>
            <w:tcBorders>
              <w:top w:val="single" w:sz="8" w:space="0" w:color="808080"/>
            </w:tcBorders>
            <w:shd w:val="clear" w:color="auto" w:fill="FFF1E7"/>
            <w:vAlign w:val="bottom"/>
          </w:tcPr>
          <w:p w14:paraId="606F807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07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807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1,164</w:t>
            </w:r>
          </w:p>
        </w:tc>
        <w:tc>
          <w:tcPr>
            <w:tcW w:w="0" w:type="auto"/>
            <w:tcBorders>
              <w:top w:val="single" w:sz="8" w:space="0" w:color="808080"/>
            </w:tcBorders>
            <w:shd w:val="clear" w:color="auto" w:fill="auto"/>
            <w:vAlign w:val="bottom"/>
          </w:tcPr>
          <w:p w14:paraId="606F8077" w14:textId="77777777" w:rsidR="00FB67F9" w:rsidRDefault="00FB67F9">
            <w:pPr>
              <w:textAlignment w:val="bottom"/>
              <w:rPr>
                <w:rFonts w:ascii="Times New Roman" w:hAnsi="Times New Roman"/>
                <w:sz w:val="20"/>
                <w:szCs w:val="20"/>
              </w:rPr>
            </w:pPr>
          </w:p>
        </w:tc>
      </w:tr>
      <w:tr w:rsidR="00FB67F9" w14:paraId="606F807F"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079" w14:textId="77777777" w:rsidR="00FB67F9" w:rsidRDefault="00E839DF">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606F807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366</w:t>
            </w:r>
          </w:p>
        </w:tc>
        <w:tc>
          <w:tcPr>
            <w:tcW w:w="0" w:type="auto"/>
            <w:tcBorders>
              <w:top w:val="single" w:sz="8" w:space="0" w:color="808080"/>
            </w:tcBorders>
            <w:shd w:val="clear" w:color="auto" w:fill="FFF1E7"/>
            <w:vAlign w:val="bottom"/>
          </w:tcPr>
          <w:p w14:paraId="606F807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07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807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245</w:t>
            </w:r>
          </w:p>
        </w:tc>
        <w:tc>
          <w:tcPr>
            <w:tcW w:w="0" w:type="auto"/>
            <w:tcBorders>
              <w:top w:val="single" w:sz="8" w:space="0" w:color="808080"/>
            </w:tcBorders>
            <w:shd w:val="clear" w:color="auto" w:fill="auto"/>
            <w:vAlign w:val="bottom"/>
          </w:tcPr>
          <w:p w14:paraId="606F807E" w14:textId="77777777" w:rsidR="00FB67F9" w:rsidRDefault="00FB67F9">
            <w:pPr>
              <w:textAlignment w:val="bottom"/>
              <w:rPr>
                <w:rFonts w:ascii="Times New Roman" w:hAnsi="Times New Roman"/>
                <w:sz w:val="20"/>
                <w:szCs w:val="20"/>
              </w:rPr>
            </w:pPr>
          </w:p>
        </w:tc>
      </w:tr>
      <w:tr w:rsidR="00FB67F9" w14:paraId="606F8086"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080" w14:textId="77777777" w:rsidR="00FB67F9" w:rsidRDefault="00E839DF">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8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916</w:t>
            </w:r>
          </w:p>
        </w:tc>
        <w:tc>
          <w:tcPr>
            <w:tcW w:w="0" w:type="auto"/>
            <w:tcBorders>
              <w:top w:val="single" w:sz="8" w:space="0" w:color="808080"/>
              <w:bottom w:val="single" w:sz="8" w:space="0" w:color="808080"/>
            </w:tcBorders>
            <w:shd w:val="clear" w:color="auto" w:fill="FFF1E7"/>
            <w:vAlign w:val="bottom"/>
          </w:tcPr>
          <w:p w14:paraId="606F808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8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771</w:t>
            </w:r>
          </w:p>
        </w:tc>
        <w:tc>
          <w:tcPr>
            <w:tcW w:w="0" w:type="auto"/>
            <w:tcBorders>
              <w:top w:val="single" w:sz="8" w:space="0" w:color="808080"/>
              <w:bottom w:val="single" w:sz="8" w:space="0" w:color="808080"/>
            </w:tcBorders>
            <w:shd w:val="clear" w:color="auto" w:fill="auto"/>
            <w:vAlign w:val="bottom"/>
          </w:tcPr>
          <w:p w14:paraId="606F8085" w14:textId="77777777" w:rsidR="00FB67F9" w:rsidRDefault="00FB67F9">
            <w:pPr>
              <w:textAlignment w:val="bottom"/>
              <w:rPr>
                <w:rFonts w:ascii="Times New Roman" w:hAnsi="Times New Roman"/>
                <w:sz w:val="20"/>
                <w:szCs w:val="20"/>
              </w:rPr>
            </w:pPr>
          </w:p>
        </w:tc>
      </w:tr>
      <w:tr w:rsidR="00FB67F9" w14:paraId="606F808D" w14:textId="77777777">
        <w:trPr>
          <w:jc w:val="center"/>
        </w:trPr>
        <w:tc>
          <w:tcPr>
            <w:tcW w:w="0" w:type="auto"/>
            <w:tcBorders>
              <w:bottom w:val="single" w:sz="8" w:space="0" w:color="E87722"/>
            </w:tcBorders>
            <w:shd w:val="clear" w:color="auto" w:fill="auto"/>
            <w:tcMar>
              <w:top w:w="40" w:type="dxa"/>
              <w:left w:w="240" w:type="dxa"/>
              <w:bottom w:w="40" w:type="dxa"/>
              <w:right w:w="40" w:type="dxa"/>
            </w:tcMar>
            <w:vAlign w:val="bottom"/>
          </w:tcPr>
          <w:p w14:paraId="606F8087" w14:textId="77777777" w:rsidR="00FB67F9" w:rsidRDefault="00E839DF">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808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103</w:t>
            </w:r>
          </w:p>
        </w:tc>
        <w:tc>
          <w:tcPr>
            <w:tcW w:w="0" w:type="auto"/>
            <w:tcBorders>
              <w:bottom w:val="single" w:sz="8" w:space="0" w:color="E87722"/>
            </w:tcBorders>
            <w:shd w:val="clear" w:color="auto" w:fill="FFF1E7"/>
            <w:vAlign w:val="bottom"/>
          </w:tcPr>
          <w:p w14:paraId="606F8089"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08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808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105</w:t>
            </w:r>
          </w:p>
        </w:tc>
        <w:tc>
          <w:tcPr>
            <w:tcW w:w="0" w:type="auto"/>
            <w:tcBorders>
              <w:bottom w:val="single" w:sz="8" w:space="0" w:color="E87722"/>
            </w:tcBorders>
            <w:shd w:val="clear" w:color="auto" w:fill="auto"/>
            <w:vAlign w:val="bottom"/>
          </w:tcPr>
          <w:p w14:paraId="606F808C" w14:textId="77777777" w:rsidR="00FB67F9" w:rsidRDefault="00FB67F9">
            <w:pPr>
              <w:textAlignment w:val="bottom"/>
              <w:rPr>
                <w:rFonts w:ascii="Times New Roman" w:hAnsi="Times New Roman"/>
                <w:sz w:val="20"/>
                <w:szCs w:val="20"/>
              </w:rPr>
            </w:pPr>
          </w:p>
        </w:tc>
      </w:tr>
      <w:tr w:rsidR="00FB67F9" w14:paraId="606F8094" w14:textId="77777777">
        <w:trPr>
          <w:jc w:val="center"/>
        </w:trPr>
        <w:tc>
          <w:tcPr>
            <w:tcW w:w="0" w:type="auto"/>
            <w:shd w:val="clear" w:color="auto" w:fill="auto"/>
            <w:tcMar>
              <w:top w:w="40" w:type="dxa"/>
              <w:left w:w="40" w:type="dxa"/>
              <w:bottom w:w="40" w:type="dxa"/>
              <w:right w:w="40" w:type="dxa"/>
            </w:tcMar>
            <w:vAlign w:val="bottom"/>
          </w:tcPr>
          <w:p w14:paraId="606F808E"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Total NIKE </w:t>
            </w:r>
            <w:r>
              <w:rPr>
                <w:rFonts w:ascii="Arial" w:eastAsia="宋体" w:hAnsi="Arial" w:cs="Arial"/>
                <w:sz w:val="17"/>
                <w:szCs w:val="17"/>
              </w:rPr>
              <w:t>Brand</w:t>
            </w:r>
          </w:p>
        </w:tc>
        <w:tc>
          <w:tcPr>
            <w:tcW w:w="0" w:type="auto"/>
            <w:gridSpan w:val="2"/>
            <w:shd w:val="clear" w:color="auto" w:fill="FFF1E7"/>
            <w:tcMar>
              <w:top w:w="40" w:type="dxa"/>
              <w:left w:w="40" w:type="dxa"/>
              <w:bottom w:w="40" w:type="dxa"/>
            </w:tcMar>
            <w:vAlign w:val="bottom"/>
          </w:tcPr>
          <w:p w14:paraId="606F808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4,500</w:t>
            </w:r>
          </w:p>
        </w:tc>
        <w:tc>
          <w:tcPr>
            <w:tcW w:w="0" w:type="auto"/>
            <w:shd w:val="clear" w:color="auto" w:fill="FFF1E7"/>
            <w:vAlign w:val="bottom"/>
          </w:tcPr>
          <w:p w14:paraId="606F8090"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09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809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4,003</w:t>
            </w:r>
          </w:p>
        </w:tc>
        <w:tc>
          <w:tcPr>
            <w:tcW w:w="0" w:type="auto"/>
            <w:shd w:val="clear" w:color="auto" w:fill="auto"/>
            <w:vAlign w:val="bottom"/>
          </w:tcPr>
          <w:p w14:paraId="606F8093" w14:textId="77777777" w:rsidR="00FB67F9" w:rsidRDefault="00FB67F9">
            <w:pPr>
              <w:textAlignment w:val="bottom"/>
              <w:rPr>
                <w:rFonts w:ascii="Times New Roman" w:hAnsi="Times New Roman"/>
                <w:sz w:val="20"/>
                <w:szCs w:val="20"/>
              </w:rPr>
            </w:pPr>
          </w:p>
        </w:tc>
      </w:tr>
      <w:tr w:rsidR="00FB67F9" w14:paraId="606F809B"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095"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9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254</w:t>
            </w:r>
          </w:p>
        </w:tc>
        <w:tc>
          <w:tcPr>
            <w:tcW w:w="0" w:type="auto"/>
            <w:tcBorders>
              <w:top w:val="single" w:sz="8" w:space="0" w:color="808080"/>
              <w:bottom w:val="single" w:sz="8" w:space="0" w:color="808080"/>
            </w:tcBorders>
            <w:shd w:val="clear" w:color="auto" w:fill="FFF1E7"/>
            <w:vAlign w:val="bottom"/>
          </w:tcPr>
          <w:p w14:paraId="606F809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9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9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243</w:t>
            </w:r>
          </w:p>
        </w:tc>
        <w:tc>
          <w:tcPr>
            <w:tcW w:w="0" w:type="auto"/>
            <w:tcBorders>
              <w:top w:val="single" w:sz="8" w:space="0" w:color="808080"/>
              <w:bottom w:val="single" w:sz="8" w:space="0" w:color="808080"/>
            </w:tcBorders>
            <w:shd w:val="clear" w:color="auto" w:fill="auto"/>
            <w:vAlign w:val="bottom"/>
          </w:tcPr>
          <w:p w14:paraId="606F809A" w14:textId="77777777" w:rsidR="00FB67F9" w:rsidRDefault="00FB67F9">
            <w:pPr>
              <w:textAlignment w:val="bottom"/>
              <w:rPr>
                <w:rFonts w:ascii="Times New Roman" w:hAnsi="Times New Roman"/>
                <w:sz w:val="20"/>
                <w:szCs w:val="20"/>
              </w:rPr>
            </w:pPr>
          </w:p>
        </w:tc>
      </w:tr>
      <w:tr w:rsidR="00FB67F9" w14:paraId="606F80A2" w14:textId="77777777">
        <w:trPr>
          <w:jc w:val="center"/>
        </w:trPr>
        <w:tc>
          <w:tcPr>
            <w:tcW w:w="0" w:type="auto"/>
            <w:shd w:val="clear" w:color="auto" w:fill="auto"/>
            <w:tcMar>
              <w:top w:w="40" w:type="dxa"/>
              <w:left w:w="240" w:type="dxa"/>
              <w:bottom w:w="40" w:type="dxa"/>
              <w:right w:w="40" w:type="dxa"/>
            </w:tcMar>
            <w:vAlign w:val="bottom"/>
          </w:tcPr>
          <w:p w14:paraId="606F809C"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606F809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w:t>
            </w:r>
          </w:p>
        </w:tc>
        <w:tc>
          <w:tcPr>
            <w:tcW w:w="0" w:type="auto"/>
            <w:shd w:val="clear" w:color="auto" w:fill="FFF1E7"/>
            <w:vAlign w:val="bottom"/>
          </w:tcPr>
          <w:p w14:paraId="606F809E"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09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80A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vAlign w:val="bottom"/>
          </w:tcPr>
          <w:p w14:paraId="606F80A1" w14:textId="77777777" w:rsidR="00FB67F9" w:rsidRDefault="00FB67F9">
            <w:pPr>
              <w:textAlignment w:val="bottom"/>
              <w:rPr>
                <w:rFonts w:ascii="Times New Roman" w:hAnsi="Times New Roman"/>
                <w:sz w:val="20"/>
                <w:szCs w:val="20"/>
              </w:rPr>
            </w:pPr>
          </w:p>
        </w:tc>
      </w:tr>
      <w:tr w:rsidR="00FB67F9" w14:paraId="606F80AB"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A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ACCOUNTS RECEIVABLE, NET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0A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0A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4,792</w:t>
            </w:r>
          </w:p>
        </w:tc>
        <w:tc>
          <w:tcPr>
            <w:tcW w:w="0" w:type="auto"/>
            <w:tcBorders>
              <w:top w:val="single" w:sz="8" w:space="0" w:color="E87722"/>
              <w:bottom w:val="single" w:sz="8" w:space="0" w:color="E87722"/>
            </w:tcBorders>
            <w:shd w:val="clear" w:color="auto" w:fill="FFF1E7"/>
            <w:vAlign w:val="bottom"/>
          </w:tcPr>
          <w:p w14:paraId="606F80A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0A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0A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4,272</w:t>
            </w:r>
          </w:p>
        </w:tc>
        <w:tc>
          <w:tcPr>
            <w:tcW w:w="0" w:type="auto"/>
            <w:tcBorders>
              <w:top w:val="single" w:sz="8" w:space="0" w:color="E87722"/>
              <w:bottom w:val="single" w:sz="8" w:space="0" w:color="E87722"/>
            </w:tcBorders>
            <w:shd w:val="clear" w:color="auto" w:fill="auto"/>
            <w:vAlign w:val="bottom"/>
          </w:tcPr>
          <w:p w14:paraId="606F80AA" w14:textId="77777777" w:rsidR="00FB67F9" w:rsidRDefault="00FB67F9">
            <w:pPr>
              <w:textAlignment w:val="bottom"/>
              <w:rPr>
                <w:rFonts w:ascii="Times New Roman" w:hAnsi="Times New Roman"/>
                <w:sz w:val="20"/>
                <w:szCs w:val="20"/>
              </w:rPr>
            </w:pPr>
          </w:p>
        </w:tc>
      </w:tr>
      <w:tr w:rsidR="00FB67F9" w14:paraId="606F80B0" w14:textId="77777777">
        <w:trPr>
          <w:jc w:val="center"/>
        </w:trPr>
        <w:tc>
          <w:tcPr>
            <w:tcW w:w="0" w:type="auto"/>
            <w:shd w:val="clear" w:color="auto" w:fill="auto"/>
            <w:tcMar>
              <w:top w:w="40" w:type="dxa"/>
              <w:left w:w="40" w:type="dxa"/>
              <w:bottom w:w="40" w:type="dxa"/>
              <w:right w:w="40" w:type="dxa"/>
            </w:tcMar>
            <w:vAlign w:val="bottom"/>
          </w:tcPr>
          <w:p w14:paraId="606F80A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INVENTORIES</w:t>
            </w:r>
          </w:p>
        </w:tc>
        <w:tc>
          <w:tcPr>
            <w:tcW w:w="0" w:type="auto"/>
            <w:gridSpan w:val="3"/>
            <w:shd w:val="clear" w:color="auto" w:fill="FFF1E7"/>
            <w:tcMar>
              <w:top w:w="40" w:type="dxa"/>
              <w:left w:w="40" w:type="dxa"/>
              <w:bottom w:w="40" w:type="dxa"/>
              <w:right w:w="40" w:type="dxa"/>
            </w:tcMar>
            <w:vAlign w:val="bottom"/>
          </w:tcPr>
          <w:p w14:paraId="606F80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0A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0A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0B9"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0B1" w14:textId="77777777" w:rsidR="00FB67F9" w:rsidRDefault="00E839DF">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606F80B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0B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2,357</w:t>
            </w:r>
          </w:p>
        </w:tc>
        <w:tc>
          <w:tcPr>
            <w:tcW w:w="0" w:type="auto"/>
            <w:tcBorders>
              <w:top w:val="single" w:sz="8" w:space="0" w:color="808080"/>
            </w:tcBorders>
            <w:shd w:val="clear" w:color="auto" w:fill="FFF1E7"/>
            <w:vAlign w:val="bottom"/>
          </w:tcPr>
          <w:p w14:paraId="606F80B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0B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80B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0B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2,328</w:t>
            </w:r>
          </w:p>
        </w:tc>
        <w:tc>
          <w:tcPr>
            <w:tcW w:w="0" w:type="auto"/>
            <w:tcBorders>
              <w:top w:val="single" w:sz="8" w:space="0" w:color="808080"/>
            </w:tcBorders>
            <w:shd w:val="clear" w:color="auto" w:fill="auto"/>
            <w:vAlign w:val="bottom"/>
          </w:tcPr>
          <w:p w14:paraId="606F80B8" w14:textId="77777777" w:rsidR="00FB67F9" w:rsidRDefault="00FB67F9">
            <w:pPr>
              <w:textAlignment w:val="bottom"/>
              <w:rPr>
                <w:rFonts w:ascii="Times New Roman" w:hAnsi="Times New Roman"/>
                <w:sz w:val="20"/>
                <w:szCs w:val="20"/>
              </w:rPr>
            </w:pPr>
          </w:p>
        </w:tc>
      </w:tr>
      <w:tr w:rsidR="00FB67F9" w14:paraId="606F80C0"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0BA" w14:textId="77777777" w:rsidR="00FB67F9" w:rsidRDefault="00E839DF">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606F80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1,577</w:t>
            </w:r>
          </w:p>
        </w:tc>
        <w:tc>
          <w:tcPr>
            <w:tcW w:w="0" w:type="auto"/>
            <w:tcBorders>
              <w:top w:val="single" w:sz="8" w:space="0" w:color="808080"/>
            </w:tcBorders>
            <w:shd w:val="clear" w:color="auto" w:fill="FFF1E7"/>
            <w:vAlign w:val="bottom"/>
          </w:tcPr>
          <w:p w14:paraId="606F80B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0B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80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1,390</w:t>
            </w:r>
          </w:p>
        </w:tc>
        <w:tc>
          <w:tcPr>
            <w:tcW w:w="0" w:type="auto"/>
            <w:tcBorders>
              <w:top w:val="single" w:sz="8" w:space="0" w:color="808080"/>
            </w:tcBorders>
            <w:shd w:val="clear" w:color="auto" w:fill="auto"/>
            <w:vAlign w:val="bottom"/>
          </w:tcPr>
          <w:p w14:paraId="606F80BF" w14:textId="77777777" w:rsidR="00FB67F9" w:rsidRDefault="00FB67F9">
            <w:pPr>
              <w:textAlignment w:val="bottom"/>
              <w:rPr>
                <w:rFonts w:ascii="Times New Roman" w:hAnsi="Times New Roman"/>
                <w:sz w:val="20"/>
                <w:szCs w:val="20"/>
              </w:rPr>
            </w:pPr>
          </w:p>
        </w:tc>
      </w:tr>
      <w:tr w:rsidR="00FB67F9" w14:paraId="606F80C7"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0C1" w14:textId="77777777" w:rsidR="00FB67F9" w:rsidRDefault="00E839DF">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606F80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840</w:t>
            </w:r>
          </w:p>
        </w:tc>
        <w:tc>
          <w:tcPr>
            <w:tcW w:w="0" w:type="auto"/>
            <w:tcBorders>
              <w:top w:val="single" w:sz="8" w:space="0" w:color="808080"/>
            </w:tcBorders>
            <w:shd w:val="clear" w:color="auto" w:fill="FFF1E7"/>
            <w:vAlign w:val="bottom"/>
          </w:tcPr>
          <w:p w14:paraId="606F80C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0C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80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693</w:t>
            </w:r>
          </w:p>
        </w:tc>
        <w:tc>
          <w:tcPr>
            <w:tcW w:w="0" w:type="auto"/>
            <w:tcBorders>
              <w:top w:val="single" w:sz="8" w:space="0" w:color="808080"/>
            </w:tcBorders>
            <w:shd w:val="clear" w:color="auto" w:fill="auto"/>
            <w:vAlign w:val="bottom"/>
          </w:tcPr>
          <w:p w14:paraId="606F80C6" w14:textId="77777777" w:rsidR="00FB67F9" w:rsidRDefault="00FB67F9">
            <w:pPr>
              <w:textAlignment w:val="bottom"/>
              <w:rPr>
                <w:rFonts w:ascii="Times New Roman" w:hAnsi="Times New Roman"/>
                <w:sz w:val="20"/>
                <w:szCs w:val="20"/>
              </w:rPr>
            </w:pPr>
          </w:p>
        </w:tc>
      </w:tr>
      <w:tr w:rsidR="00FB67F9" w14:paraId="606F80CE"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0C8"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Asia </w:t>
            </w:r>
            <w:r>
              <w:rPr>
                <w:rFonts w:ascii="Arial" w:eastAsia="宋体" w:hAnsi="Arial" w:cs="Arial"/>
                <w:sz w:val="17"/>
                <w:szCs w:val="17"/>
              </w:rPr>
              <w:t>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849</w:t>
            </w:r>
          </w:p>
        </w:tc>
        <w:tc>
          <w:tcPr>
            <w:tcW w:w="0" w:type="auto"/>
            <w:tcBorders>
              <w:top w:val="single" w:sz="8" w:space="0" w:color="808080"/>
              <w:bottom w:val="single" w:sz="8" w:space="0" w:color="808080"/>
            </w:tcBorders>
            <w:shd w:val="clear" w:color="auto" w:fill="FFF1E7"/>
            <w:vAlign w:val="bottom"/>
          </w:tcPr>
          <w:p w14:paraId="606F80C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C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694</w:t>
            </w:r>
          </w:p>
        </w:tc>
        <w:tc>
          <w:tcPr>
            <w:tcW w:w="0" w:type="auto"/>
            <w:tcBorders>
              <w:top w:val="single" w:sz="8" w:space="0" w:color="808080"/>
              <w:bottom w:val="single" w:sz="8" w:space="0" w:color="808080"/>
            </w:tcBorders>
            <w:shd w:val="clear" w:color="auto" w:fill="auto"/>
            <w:vAlign w:val="bottom"/>
          </w:tcPr>
          <w:p w14:paraId="606F80CD" w14:textId="77777777" w:rsidR="00FB67F9" w:rsidRDefault="00FB67F9">
            <w:pPr>
              <w:textAlignment w:val="bottom"/>
              <w:rPr>
                <w:rFonts w:ascii="Times New Roman" w:hAnsi="Times New Roman"/>
                <w:sz w:val="20"/>
                <w:szCs w:val="20"/>
              </w:rPr>
            </w:pPr>
          </w:p>
        </w:tc>
      </w:tr>
      <w:tr w:rsidR="00FB67F9" w14:paraId="606F80D5" w14:textId="77777777">
        <w:trPr>
          <w:jc w:val="center"/>
        </w:trPr>
        <w:tc>
          <w:tcPr>
            <w:tcW w:w="0" w:type="auto"/>
            <w:tcBorders>
              <w:bottom w:val="single" w:sz="8" w:space="0" w:color="E87722"/>
            </w:tcBorders>
            <w:shd w:val="clear" w:color="auto" w:fill="auto"/>
            <w:tcMar>
              <w:top w:w="40" w:type="dxa"/>
              <w:left w:w="240" w:type="dxa"/>
              <w:bottom w:w="40" w:type="dxa"/>
              <w:right w:w="40" w:type="dxa"/>
            </w:tcMar>
            <w:vAlign w:val="bottom"/>
          </w:tcPr>
          <w:p w14:paraId="606F80CF" w14:textId="77777777" w:rsidR="00FB67F9" w:rsidRDefault="00E839DF">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80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185</w:t>
            </w:r>
          </w:p>
        </w:tc>
        <w:tc>
          <w:tcPr>
            <w:tcW w:w="0" w:type="auto"/>
            <w:tcBorders>
              <w:bottom w:val="single" w:sz="8" w:space="0" w:color="E87722"/>
            </w:tcBorders>
            <w:shd w:val="clear" w:color="auto" w:fill="FFF1E7"/>
            <w:vAlign w:val="bottom"/>
          </w:tcPr>
          <w:p w14:paraId="606F80D1"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0D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80D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126</w:t>
            </w:r>
          </w:p>
        </w:tc>
        <w:tc>
          <w:tcPr>
            <w:tcW w:w="0" w:type="auto"/>
            <w:tcBorders>
              <w:bottom w:val="single" w:sz="8" w:space="0" w:color="E87722"/>
            </w:tcBorders>
            <w:shd w:val="clear" w:color="auto" w:fill="auto"/>
            <w:vAlign w:val="bottom"/>
          </w:tcPr>
          <w:p w14:paraId="606F80D4" w14:textId="77777777" w:rsidR="00FB67F9" w:rsidRDefault="00FB67F9">
            <w:pPr>
              <w:textAlignment w:val="bottom"/>
              <w:rPr>
                <w:rFonts w:ascii="Times New Roman" w:hAnsi="Times New Roman"/>
                <w:sz w:val="20"/>
                <w:szCs w:val="20"/>
              </w:rPr>
            </w:pPr>
          </w:p>
        </w:tc>
      </w:tr>
      <w:tr w:rsidR="00FB67F9" w14:paraId="606F80DC" w14:textId="77777777">
        <w:trPr>
          <w:jc w:val="center"/>
        </w:trPr>
        <w:tc>
          <w:tcPr>
            <w:tcW w:w="0" w:type="auto"/>
            <w:shd w:val="clear" w:color="auto" w:fill="auto"/>
            <w:tcMar>
              <w:top w:w="40" w:type="dxa"/>
              <w:left w:w="40" w:type="dxa"/>
              <w:bottom w:w="40" w:type="dxa"/>
              <w:right w:w="40" w:type="dxa"/>
            </w:tcMar>
            <w:vAlign w:val="bottom"/>
          </w:tcPr>
          <w:p w14:paraId="606F80D6"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606F80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5,808</w:t>
            </w:r>
          </w:p>
        </w:tc>
        <w:tc>
          <w:tcPr>
            <w:tcW w:w="0" w:type="auto"/>
            <w:shd w:val="clear" w:color="auto" w:fill="FFF1E7"/>
            <w:vAlign w:val="bottom"/>
          </w:tcPr>
          <w:p w14:paraId="606F80D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0D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80D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5,231</w:t>
            </w:r>
          </w:p>
        </w:tc>
        <w:tc>
          <w:tcPr>
            <w:tcW w:w="0" w:type="auto"/>
            <w:shd w:val="clear" w:color="auto" w:fill="auto"/>
            <w:vAlign w:val="bottom"/>
          </w:tcPr>
          <w:p w14:paraId="606F80DB" w14:textId="77777777" w:rsidR="00FB67F9" w:rsidRDefault="00FB67F9">
            <w:pPr>
              <w:textAlignment w:val="bottom"/>
              <w:rPr>
                <w:rFonts w:ascii="Times New Roman" w:hAnsi="Times New Roman"/>
                <w:sz w:val="20"/>
                <w:szCs w:val="20"/>
              </w:rPr>
            </w:pPr>
          </w:p>
        </w:tc>
      </w:tr>
      <w:tr w:rsidR="00FB67F9" w14:paraId="606F80E3"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0DD"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0D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285</w:t>
            </w:r>
          </w:p>
        </w:tc>
        <w:tc>
          <w:tcPr>
            <w:tcW w:w="0" w:type="auto"/>
            <w:tcBorders>
              <w:top w:val="single" w:sz="8" w:space="0" w:color="808080"/>
              <w:bottom w:val="single" w:sz="8" w:space="0" w:color="808080"/>
            </w:tcBorders>
            <w:shd w:val="clear" w:color="auto" w:fill="FFF1E7"/>
            <w:vAlign w:val="bottom"/>
          </w:tcPr>
          <w:p w14:paraId="606F80D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0E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0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269</w:t>
            </w:r>
          </w:p>
        </w:tc>
        <w:tc>
          <w:tcPr>
            <w:tcW w:w="0" w:type="auto"/>
            <w:tcBorders>
              <w:top w:val="single" w:sz="8" w:space="0" w:color="808080"/>
              <w:bottom w:val="single" w:sz="8" w:space="0" w:color="808080"/>
            </w:tcBorders>
            <w:shd w:val="clear" w:color="auto" w:fill="auto"/>
            <w:vAlign w:val="bottom"/>
          </w:tcPr>
          <w:p w14:paraId="606F80E2" w14:textId="77777777" w:rsidR="00FB67F9" w:rsidRDefault="00FB67F9">
            <w:pPr>
              <w:textAlignment w:val="bottom"/>
              <w:rPr>
                <w:rFonts w:ascii="Times New Roman" w:hAnsi="Times New Roman"/>
                <w:sz w:val="20"/>
                <w:szCs w:val="20"/>
              </w:rPr>
            </w:pPr>
          </w:p>
        </w:tc>
      </w:tr>
      <w:tr w:rsidR="00FB67F9" w14:paraId="606F80EA" w14:textId="77777777">
        <w:trPr>
          <w:jc w:val="center"/>
        </w:trPr>
        <w:tc>
          <w:tcPr>
            <w:tcW w:w="0" w:type="auto"/>
            <w:shd w:val="clear" w:color="auto" w:fill="auto"/>
            <w:tcMar>
              <w:top w:w="40" w:type="dxa"/>
              <w:left w:w="240" w:type="dxa"/>
              <w:bottom w:w="40" w:type="dxa"/>
              <w:right w:w="40" w:type="dxa"/>
            </w:tcMar>
            <w:vAlign w:val="bottom"/>
          </w:tcPr>
          <w:p w14:paraId="606F80E4"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606F80E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106</w:t>
            </w:r>
          </w:p>
        </w:tc>
        <w:tc>
          <w:tcPr>
            <w:tcW w:w="0" w:type="auto"/>
            <w:shd w:val="clear" w:color="auto" w:fill="FFF1E7"/>
            <w:vAlign w:val="bottom"/>
          </w:tcPr>
          <w:p w14:paraId="606F80E6"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0E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80E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122</w:t>
            </w:r>
          </w:p>
        </w:tc>
        <w:tc>
          <w:tcPr>
            <w:tcW w:w="0" w:type="auto"/>
            <w:shd w:val="clear" w:color="auto" w:fill="auto"/>
            <w:vAlign w:val="bottom"/>
          </w:tcPr>
          <w:p w14:paraId="606F80E9" w14:textId="77777777" w:rsidR="00FB67F9" w:rsidRDefault="00FB67F9">
            <w:pPr>
              <w:textAlignment w:val="bottom"/>
              <w:rPr>
                <w:rFonts w:ascii="Times New Roman" w:hAnsi="Times New Roman"/>
                <w:sz w:val="20"/>
                <w:szCs w:val="20"/>
              </w:rPr>
            </w:pPr>
          </w:p>
        </w:tc>
      </w:tr>
      <w:tr w:rsidR="00FB67F9" w14:paraId="606F80F3"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INVENTORIES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0E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0E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6,199</w:t>
            </w:r>
          </w:p>
        </w:tc>
        <w:tc>
          <w:tcPr>
            <w:tcW w:w="0" w:type="auto"/>
            <w:tcBorders>
              <w:top w:val="single" w:sz="8" w:space="0" w:color="E87722"/>
              <w:bottom w:val="single" w:sz="8" w:space="0" w:color="E87722"/>
            </w:tcBorders>
            <w:shd w:val="clear" w:color="auto" w:fill="FFF1E7"/>
            <w:vAlign w:val="bottom"/>
          </w:tcPr>
          <w:p w14:paraId="606F80E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0E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0F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0F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5,622</w:t>
            </w:r>
          </w:p>
        </w:tc>
        <w:tc>
          <w:tcPr>
            <w:tcW w:w="0" w:type="auto"/>
            <w:tcBorders>
              <w:top w:val="single" w:sz="8" w:space="0" w:color="E87722"/>
              <w:bottom w:val="single" w:sz="8" w:space="0" w:color="E87722"/>
            </w:tcBorders>
            <w:shd w:val="clear" w:color="auto" w:fill="auto"/>
            <w:vAlign w:val="bottom"/>
          </w:tcPr>
          <w:p w14:paraId="606F80F2" w14:textId="77777777" w:rsidR="00FB67F9" w:rsidRDefault="00FB67F9">
            <w:pPr>
              <w:textAlignment w:val="bottom"/>
              <w:rPr>
                <w:rFonts w:ascii="Times New Roman" w:hAnsi="Times New Roman"/>
                <w:sz w:val="20"/>
                <w:szCs w:val="20"/>
              </w:rPr>
            </w:pPr>
          </w:p>
        </w:tc>
      </w:tr>
    </w:tbl>
    <w:p w14:paraId="606F80F4" w14:textId="77777777" w:rsidR="00FB67F9" w:rsidRDefault="00FB67F9">
      <w:pPr>
        <w:spacing w:line="312" w:lineRule="auto"/>
        <w:jc w:val="center"/>
        <w:rPr>
          <w:rFonts w:ascii="Times New Roman" w:hAnsi="Times New Roman"/>
          <w:sz w:val="20"/>
          <w:szCs w:val="20"/>
        </w:rPr>
      </w:pPr>
    </w:p>
    <w:p w14:paraId="606F80F5" w14:textId="77777777" w:rsidR="00FB67F9" w:rsidRDefault="00FB67F9">
      <w:pPr>
        <w:rPr>
          <w:rFonts w:ascii="Times New Roman" w:hAnsi="Times New Roman"/>
          <w:sz w:val="20"/>
          <w:szCs w:val="20"/>
        </w:rPr>
      </w:pPr>
    </w:p>
    <w:p w14:paraId="606F80F6"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23</w:t>
      </w:r>
    </w:p>
    <w:p w14:paraId="606F80F7" w14:textId="77777777" w:rsidR="00FB67F9" w:rsidRDefault="00E839DF">
      <w:r>
        <w:rPr>
          <w:rFonts w:ascii="Times New Roman" w:hAnsi="Times New Roman"/>
          <w:sz w:val="17"/>
          <w:szCs w:val="17"/>
        </w:rPr>
        <w:pict w14:anchorId="606F8F94">
          <v:rect id="_x0000_i1049" style="width:415.3pt;height:1.5pt" o:hralign="center" o:hrstd="t" o:hr="t" fillcolor="#a0a0a0" stroked="f"/>
        </w:pict>
      </w:r>
    </w:p>
    <w:p w14:paraId="606F80F8" w14:textId="77777777" w:rsidR="00FB67F9" w:rsidRDefault="00FB67F9">
      <w:pPr>
        <w:rPr>
          <w:rFonts w:ascii="Times New Roman" w:hAnsi="Times New Roman"/>
          <w:sz w:val="17"/>
          <w:szCs w:val="17"/>
        </w:rPr>
      </w:pPr>
    </w:p>
    <w:p w14:paraId="606F80F9" w14:textId="77777777" w:rsidR="00FB67F9" w:rsidRDefault="00E839DF">
      <w:pPr>
        <w:rPr>
          <w:rFonts w:ascii="Times New Roman" w:hAnsi="Times New Roman"/>
          <w:sz w:val="17"/>
          <w:szCs w:val="17"/>
        </w:rPr>
      </w:pPr>
      <w:hyperlink r:id="rId93" w:anchor="s42C493F7582652B69E70047AB812E6A5" w:history="1">
        <w:r>
          <w:rPr>
            <w:rStyle w:val="a5"/>
            <w:rFonts w:ascii="sans-serif" w:eastAsia="sans-serif" w:hAnsi="sans-serif" w:cs="sans-serif"/>
            <w:sz w:val="17"/>
            <w:szCs w:val="17"/>
          </w:rPr>
          <w:t>Table of Contents</w:t>
        </w:r>
      </w:hyperlink>
    </w:p>
    <w:p w14:paraId="606F80FA" w14:textId="77777777" w:rsidR="00FB67F9" w:rsidRDefault="00FB67F9">
      <w:pPr>
        <w:rPr>
          <w:rFonts w:ascii="Times New Roman" w:hAnsi="Times New Roman"/>
          <w:sz w:val="17"/>
          <w:szCs w:val="17"/>
        </w:rPr>
      </w:pPr>
    </w:p>
    <w:p w14:paraId="606F80FB" w14:textId="77777777" w:rsidR="00FB67F9" w:rsidRDefault="00FB67F9">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5534"/>
        <w:gridCol w:w="135"/>
        <w:gridCol w:w="1132"/>
        <w:gridCol w:w="73"/>
        <w:gridCol w:w="130"/>
        <w:gridCol w:w="136"/>
        <w:gridCol w:w="1113"/>
        <w:gridCol w:w="53"/>
      </w:tblGrid>
      <w:tr w:rsidR="00FB67F9" w14:paraId="606F80FD" w14:textId="77777777">
        <w:trPr>
          <w:jc w:val="center"/>
        </w:trPr>
        <w:tc>
          <w:tcPr>
            <w:tcW w:w="0" w:type="auto"/>
            <w:gridSpan w:val="8"/>
            <w:shd w:val="clear" w:color="auto" w:fill="auto"/>
            <w:vAlign w:val="center"/>
          </w:tcPr>
          <w:p w14:paraId="606F80FC" w14:textId="77777777" w:rsidR="00FB67F9" w:rsidRDefault="00FB67F9">
            <w:pPr>
              <w:rPr>
                <w:rFonts w:ascii="Times New Roman" w:hAnsi="Times New Roman"/>
                <w:sz w:val="20"/>
                <w:szCs w:val="20"/>
              </w:rPr>
            </w:pPr>
          </w:p>
        </w:tc>
      </w:tr>
      <w:tr w:rsidR="00FB67F9" w14:paraId="606F8106" w14:textId="77777777">
        <w:trPr>
          <w:jc w:val="center"/>
        </w:trPr>
        <w:tc>
          <w:tcPr>
            <w:tcW w:w="3350" w:type="pct"/>
            <w:shd w:val="clear" w:color="auto" w:fill="auto"/>
            <w:vAlign w:val="center"/>
          </w:tcPr>
          <w:p w14:paraId="606F80FE" w14:textId="77777777" w:rsidR="00FB67F9" w:rsidRDefault="00FB67F9">
            <w:pPr>
              <w:rPr>
                <w:rFonts w:ascii="Times New Roman" w:hAnsi="Times New Roman"/>
                <w:sz w:val="20"/>
                <w:szCs w:val="20"/>
              </w:rPr>
            </w:pPr>
          </w:p>
        </w:tc>
        <w:tc>
          <w:tcPr>
            <w:tcW w:w="50" w:type="pct"/>
            <w:shd w:val="clear" w:color="auto" w:fill="auto"/>
            <w:vAlign w:val="center"/>
          </w:tcPr>
          <w:p w14:paraId="606F80FF" w14:textId="77777777" w:rsidR="00FB67F9" w:rsidRDefault="00FB67F9">
            <w:pPr>
              <w:rPr>
                <w:rFonts w:ascii="Times New Roman" w:hAnsi="Times New Roman"/>
                <w:sz w:val="20"/>
                <w:szCs w:val="20"/>
              </w:rPr>
            </w:pPr>
          </w:p>
        </w:tc>
        <w:tc>
          <w:tcPr>
            <w:tcW w:w="700" w:type="pct"/>
            <w:shd w:val="clear" w:color="auto" w:fill="auto"/>
            <w:vAlign w:val="center"/>
          </w:tcPr>
          <w:p w14:paraId="606F8100" w14:textId="77777777" w:rsidR="00FB67F9" w:rsidRDefault="00FB67F9">
            <w:pPr>
              <w:rPr>
                <w:rFonts w:ascii="Times New Roman" w:hAnsi="Times New Roman"/>
                <w:sz w:val="20"/>
                <w:szCs w:val="20"/>
              </w:rPr>
            </w:pPr>
          </w:p>
        </w:tc>
        <w:tc>
          <w:tcPr>
            <w:tcW w:w="50" w:type="pct"/>
            <w:shd w:val="clear" w:color="auto" w:fill="auto"/>
            <w:vAlign w:val="center"/>
          </w:tcPr>
          <w:p w14:paraId="606F8101" w14:textId="77777777" w:rsidR="00FB67F9" w:rsidRDefault="00FB67F9">
            <w:pPr>
              <w:rPr>
                <w:rFonts w:ascii="Times New Roman" w:hAnsi="Times New Roman"/>
                <w:sz w:val="20"/>
                <w:szCs w:val="20"/>
              </w:rPr>
            </w:pPr>
          </w:p>
        </w:tc>
        <w:tc>
          <w:tcPr>
            <w:tcW w:w="50" w:type="pct"/>
            <w:shd w:val="clear" w:color="auto" w:fill="auto"/>
            <w:vAlign w:val="center"/>
          </w:tcPr>
          <w:p w14:paraId="606F8102" w14:textId="77777777" w:rsidR="00FB67F9" w:rsidRDefault="00FB67F9">
            <w:pPr>
              <w:rPr>
                <w:rFonts w:ascii="Times New Roman" w:hAnsi="Times New Roman"/>
                <w:sz w:val="20"/>
                <w:szCs w:val="20"/>
              </w:rPr>
            </w:pPr>
          </w:p>
        </w:tc>
        <w:tc>
          <w:tcPr>
            <w:tcW w:w="50" w:type="pct"/>
            <w:shd w:val="clear" w:color="auto" w:fill="auto"/>
            <w:vAlign w:val="center"/>
          </w:tcPr>
          <w:p w14:paraId="606F8103" w14:textId="77777777" w:rsidR="00FB67F9" w:rsidRDefault="00FB67F9">
            <w:pPr>
              <w:rPr>
                <w:rFonts w:ascii="Times New Roman" w:hAnsi="Times New Roman"/>
                <w:sz w:val="20"/>
                <w:szCs w:val="20"/>
              </w:rPr>
            </w:pPr>
          </w:p>
        </w:tc>
        <w:tc>
          <w:tcPr>
            <w:tcW w:w="700" w:type="pct"/>
            <w:shd w:val="clear" w:color="auto" w:fill="auto"/>
            <w:vAlign w:val="center"/>
          </w:tcPr>
          <w:p w14:paraId="606F8104" w14:textId="77777777" w:rsidR="00FB67F9" w:rsidRDefault="00FB67F9">
            <w:pPr>
              <w:rPr>
                <w:rFonts w:ascii="Times New Roman" w:hAnsi="Times New Roman"/>
                <w:sz w:val="20"/>
                <w:szCs w:val="20"/>
              </w:rPr>
            </w:pPr>
          </w:p>
        </w:tc>
        <w:tc>
          <w:tcPr>
            <w:tcW w:w="50" w:type="pct"/>
            <w:shd w:val="clear" w:color="auto" w:fill="auto"/>
            <w:vAlign w:val="center"/>
          </w:tcPr>
          <w:p w14:paraId="606F8105" w14:textId="77777777" w:rsidR="00FB67F9" w:rsidRDefault="00FB67F9">
            <w:pPr>
              <w:rPr>
                <w:rFonts w:ascii="Times New Roman" w:hAnsi="Times New Roman"/>
                <w:sz w:val="20"/>
                <w:szCs w:val="20"/>
              </w:rPr>
            </w:pPr>
          </w:p>
        </w:tc>
      </w:tr>
      <w:tr w:rsidR="00FB67F9" w14:paraId="606F810B" w14:textId="77777777">
        <w:trPr>
          <w:jc w:val="center"/>
        </w:trPr>
        <w:tc>
          <w:tcPr>
            <w:tcW w:w="0" w:type="auto"/>
            <w:shd w:val="clear" w:color="auto" w:fill="auto"/>
            <w:tcMar>
              <w:top w:w="40" w:type="dxa"/>
              <w:left w:w="40" w:type="dxa"/>
              <w:bottom w:w="40" w:type="dxa"/>
              <w:right w:w="40" w:type="dxa"/>
            </w:tcMar>
            <w:vAlign w:val="bottom"/>
          </w:tcPr>
          <w:p w14:paraId="606F810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10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NOVEMBER 30,</w:t>
            </w:r>
          </w:p>
        </w:tc>
        <w:tc>
          <w:tcPr>
            <w:tcW w:w="0" w:type="auto"/>
            <w:shd w:val="clear" w:color="auto" w:fill="auto"/>
            <w:tcMar>
              <w:top w:w="40" w:type="dxa"/>
              <w:left w:w="40" w:type="dxa"/>
              <w:bottom w:w="40" w:type="dxa"/>
              <w:right w:w="40" w:type="dxa"/>
            </w:tcMar>
            <w:vAlign w:val="bottom"/>
          </w:tcPr>
          <w:p w14:paraId="606F810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10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FB67F9" w14:paraId="606F8110"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810C"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10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10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10F"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FB67F9" w14:paraId="606F8115" w14:textId="77777777">
        <w:trPr>
          <w:jc w:val="center"/>
        </w:trPr>
        <w:tc>
          <w:tcPr>
            <w:tcW w:w="0" w:type="auto"/>
            <w:tcBorders>
              <w:top w:val="single" w:sz="8" w:space="0" w:color="E87722"/>
            </w:tcBorders>
            <w:shd w:val="clear" w:color="auto" w:fill="auto"/>
            <w:tcMar>
              <w:top w:w="40" w:type="dxa"/>
              <w:left w:w="40" w:type="dxa"/>
              <w:bottom w:w="40" w:type="dxa"/>
              <w:right w:w="40" w:type="dxa"/>
            </w:tcMar>
            <w:vAlign w:val="bottom"/>
          </w:tcPr>
          <w:p w14:paraId="606F811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PROPERTY, PLANT AND EQUIPMENT, NET</w:t>
            </w:r>
          </w:p>
        </w:tc>
        <w:tc>
          <w:tcPr>
            <w:tcW w:w="0" w:type="auto"/>
            <w:gridSpan w:val="3"/>
            <w:tcBorders>
              <w:top w:val="single" w:sz="8" w:space="0" w:color="E87722"/>
            </w:tcBorders>
            <w:shd w:val="clear" w:color="auto" w:fill="FFF1E7"/>
            <w:tcMar>
              <w:top w:w="40" w:type="dxa"/>
              <w:left w:w="40" w:type="dxa"/>
              <w:bottom w:w="40" w:type="dxa"/>
              <w:right w:w="40" w:type="dxa"/>
            </w:tcMar>
            <w:vAlign w:val="bottom"/>
          </w:tcPr>
          <w:p w14:paraId="606F811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11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11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11E"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116" w14:textId="77777777" w:rsidR="00FB67F9" w:rsidRDefault="00E839DF">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606F811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11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658</w:t>
            </w:r>
          </w:p>
        </w:tc>
        <w:tc>
          <w:tcPr>
            <w:tcW w:w="0" w:type="auto"/>
            <w:tcBorders>
              <w:top w:val="single" w:sz="8" w:space="0" w:color="808080"/>
            </w:tcBorders>
            <w:shd w:val="clear" w:color="auto" w:fill="FFF1E7"/>
            <w:vAlign w:val="bottom"/>
          </w:tcPr>
          <w:p w14:paraId="606F8119"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11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606F811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11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814</w:t>
            </w:r>
          </w:p>
        </w:tc>
        <w:tc>
          <w:tcPr>
            <w:tcW w:w="0" w:type="auto"/>
            <w:tcBorders>
              <w:top w:val="single" w:sz="8" w:space="0" w:color="808080"/>
            </w:tcBorders>
            <w:shd w:val="clear" w:color="auto" w:fill="auto"/>
            <w:vAlign w:val="bottom"/>
          </w:tcPr>
          <w:p w14:paraId="606F811D" w14:textId="77777777" w:rsidR="00FB67F9" w:rsidRDefault="00FB67F9">
            <w:pPr>
              <w:textAlignment w:val="bottom"/>
              <w:rPr>
                <w:rFonts w:ascii="Times New Roman" w:hAnsi="Times New Roman"/>
                <w:sz w:val="20"/>
                <w:szCs w:val="20"/>
              </w:rPr>
            </w:pPr>
          </w:p>
        </w:tc>
      </w:tr>
      <w:tr w:rsidR="00FB67F9" w14:paraId="606F8125"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11F" w14:textId="77777777" w:rsidR="00FB67F9" w:rsidRDefault="00E839DF">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606F812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843</w:t>
            </w:r>
          </w:p>
        </w:tc>
        <w:tc>
          <w:tcPr>
            <w:tcW w:w="0" w:type="auto"/>
            <w:tcBorders>
              <w:top w:val="single" w:sz="8" w:space="0" w:color="808080"/>
            </w:tcBorders>
            <w:shd w:val="clear" w:color="auto" w:fill="FFF1E7"/>
            <w:vAlign w:val="bottom"/>
          </w:tcPr>
          <w:p w14:paraId="606F812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12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812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929</w:t>
            </w:r>
          </w:p>
        </w:tc>
        <w:tc>
          <w:tcPr>
            <w:tcW w:w="0" w:type="auto"/>
            <w:tcBorders>
              <w:top w:val="single" w:sz="8" w:space="0" w:color="808080"/>
            </w:tcBorders>
            <w:shd w:val="clear" w:color="auto" w:fill="auto"/>
            <w:vAlign w:val="bottom"/>
          </w:tcPr>
          <w:p w14:paraId="606F8124" w14:textId="77777777" w:rsidR="00FB67F9" w:rsidRDefault="00FB67F9">
            <w:pPr>
              <w:textAlignment w:val="bottom"/>
              <w:rPr>
                <w:rFonts w:ascii="Times New Roman" w:hAnsi="Times New Roman"/>
                <w:sz w:val="20"/>
                <w:szCs w:val="20"/>
              </w:rPr>
            </w:pPr>
          </w:p>
        </w:tc>
      </w:tr>
      <w:tr w:rsidR="00FB67F9" w14:paraId="606F812C"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606F8126" w14:textId="77777777" w:rsidR="00FB67F9" w:rsidRDefault="00E839DF">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606F812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219</w:t>
            </w:r>
          </w:p>
        </w:tc>
        <w:tc>
          <w:tcPr>
            <w:tcW w:w="0" w:type="auto"/>
            <w:tcBorders>
              <w:top w:val="single" w:sz="8" w:space="0" w:color="808080"/>
            </w:tcBorders>
            <w:shd w:val="clear" w:color="auto" w:fill="FFF1E7"/>
            <w:vAlign w:val="bottom"/>
          </w:tcPr>
          <w:p w14:paraId="606F812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12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606F812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237</w:t>
            </w:r>
          </w:p>
        </w:tc>
        <w:tc>
          <w:tcPr>
            <w:tcW w:w="0" w:type="auto"/>
            <w:tcBorders>
              <w:top w:val="single" w:sz="8" w:space="0" w:color="808080"/>
            </w:tcBorders>
            <w:shd w:val="clear" w:color="auto" w:fill="auto"/>
            <w:vAlign w:val="bottom"/>
          </w:tcPr>
          <w:p w14:paraId="606F812B" w14:textId="77777777" w:rsidR="00FB67F9" w:rsidRDefault="00FB67F9">
            <w:pPr>
              <w:textAlignment w:val="bottom"/>
              <w:rPr>
                <w:rFonts w:ascii="Times New Roman" w:hAnsi="Times New Roman"/>
                <w:sz w:val="20"/>
                <w:szCs w:val="20"/>
              </w:rPr>
            </w:pPr>
          </w:p>
        </w:tc>
      </w:tr>
      <w:tr w:rsidR="00FB67F9" w14:paraId="606F8133"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12D" w14:textId="77777777" w:rsidR="00FB67F9" w:rsidRDefault="00E839DF">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12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320</w:t>
            </w:r>
          </w:p>
        </w:tc>
        <w:tc>
          <w:tcPr>
            <w:tcW w:w="0" w:type="auto"/>
            <w:tcBorders>
              <w:top w:val="single" w:sz="8" w:space="0" w:color="808080"/>
              <w:bottom w:val="single" w:sz="8" w:space="0" w:color="808080"/>
            </w:tcBorders>
            <w:shd w:val="clear" w:color="auto" w:fill="FFF1E7"/>
            <w:vAlign w:val="bottom"/>
          </w:tcPr>
          <w:p w14:paraId="606F812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3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326</w:t>
            </w:r>
          </w:p>
        </w:tc>
        <w:tc>
          <w:tcPr>
            <w:tcW w:w="0" w:type="auto"/>
            <w:tcBorders>
              <w:top w:val="single" w:sz="8" w:space="0" w:color="808080"/>
              <w:bottom w:val="single" w:sz="8" w:space="0" w:color="808080"/>
            </w:tcBorders>
            <w:shd w:val="clear" w:color="auto" w:fill="auto"/>
            <w:vAlign w:val="bottom"/>
          </w:tcPr>
          <w:p w14:paraId="606F8132" w14:textId="77777777" w:rsidR="00FB67F9" w:rsidRDefault="00FB67F9">
            <w:pPr>
              <w:textAlignment w:val="bottom"/>
              <w:rPr>
                <w:rFonts w:ascii="Times New Roman" w:hAnsi="Times New Roman"/>
                <w:sz w:val="20"/>
                <w:szCs w:val="20"/>
              </w:rPr>
            </w:pPr>
          </w:p>
        </w:tc>
      </w:tr>
      <w:tr w:rsidR="00FB67F9" w14:paraId="606F813A" w14:textId="77777777">
        <w:trPr>
          <w:jc w:val="center"/>
        </w:trPr>
        <w:tc>
          <w:tcPr>
            <w:tcW w:w="0" w:type="auto"/>
            <w:tcBorders>
              <w:bottom w:val="single" w:sz="8" w:space="0" w:color="E87722"/>
            </w:tcBorders>
            <w:shd w:val="clear" w:color="auto" w:fill="auto"/>
            <w:tcMar>
              <w:top w:w="40" w:type="dxa"/>
              <w:left w:w="240" w:type="dxa"/>
              <w:bottom w:w="40" w:type="dxa"/>
              <w:right w:w="40" w:type="dxa"/>
            </w:tcMar>
            <w:vAlign w:val="bottom"/>
          </w:tcPr>
          <w:p w14:paraId="606F8134" w14:textId="77777777" w:rsidR="00FB67F9" w:rsidRDefault="00E839DF">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606F813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776</w:t>
            </w:r>
          </w:p>
        </w:tc>
        <w:tc>
          <w:tcPr>
            <w:tcW w:w="0" w:type="auto"/>
            <w:tcBorders>
              <w:bottom w:val="single" w:sz="8" w:space="0" w:color="E87722"/>
            </w:tcBorders>
            <w:shd w:val="clear" w:color="auto" w:fill="FFF1E7"/>
            <w:vAlign w:val="bottom"/>
          </w:tcPr>
          <w:p w14:paraId="606F813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13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606F813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665</w:t>
            </w:r>
          </w:p>
        </w:tc>
        <w:tc>
          <w:tcPr>
            <w:tcW w:w="0" w:type="auto"/>
            <w:tcBorders>
              <w:bottom w:val="single" w:sz="8" w:space="0" w:color="E87722"/>
            </w:tcBorders>
            <w:shd w:val="clear" w:color="auto" w:fill="auto"/>
            <w:vAlign w:val="bottom"/>
          </w:tcPr>
          <w:p w14:paraId="606F8139" w14:textId="77777777" w:rsidR="00FB67F9" w:rsidRDefault="00FB67F9">
            <w:pPr>
              <w:textAlignment w:val="bottom"/>
              <w:rPr>
                <w:rFonts w:ascii="Times New Roman" w:hAnsi="Times New Roman"/>
                <w:sz w:val="20"/>
                <w:szCs w:val="20"/>
              </w:rPr>
            </w:pPr>
          </w:p>
        </w:tc>
      </w:tr>
      <w:tr w:rsidR="00FB67F9" w14:paraId="606F8141" w14:textId="77777777">
        <w:trPr>
          <w:jc w:val="center"/>
        </w:trPr>
        <w:tc>
          <w:tcPr>
            <w:tcW w:w="0" w:type="auto"/>
            <w:shd w:val="clear" w:color="auto" w:fill="auto"/>
            <w:tcMar>
              <w:top w:w="40" w:type="dxa"/>
              <w:left w:w="40" w:type="dxa"/>
              <w:bottom w:w="40" w:type="dxa"/>
              <w:right w:w="40" w:type="dxa"/>
            </w:tcMar>
            <w:vAlign w:val="bottom"/>
          </w:tcPr>
          <w:p w14:paraId="606F813B"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606F813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2,816</w:t>
            </w:r>
          </w:p>
        </w:tc>
        <w:tc>
          <w:tcPr>
            <w:tcW w:w="0" w:type="auto"/>
            <w:shd w:val="clear" w:color="auto" w:fill="FFF1E7"/>
            <w:vAlign w:val="bottom"/>
          </w:tcPr>
          <w:p w14:paraId="606F813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13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81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2,971</w:t>
            </w:r>
          </w:p>
        </w:tc>
        <w:tc>
          <w:tcPr>
            <w:tcW w:w="0" w:type="auto"/>
            <w:shd w:val="clear" w:color="auto" w:fill="auto"/>
            <w:vAlign w:val="bottom"/>
          </w:tcPr>
          <w:p w14:paraId="606F8140" w14:textId="77777777" w:rsidR="00FB67F9" w:rsidRDefault="00FB67F9">
            <w:pPr>
              <w:textAlignment w:val="bottom"/>
              <w:rPr>
                <w:rFonts w:ascii="Times New Roman" w:hAnsi="Times New Roman"/>
                <w:sz w:val="20"/>
                <w:szCs w:val="20"/>
              </w:rPr>
            </w:pPr>
          </w:p>
        </w:tc>
      </w:tr>
      <w:tr w:rsidR="00FB67F9" w14:paraId="606F8148"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142"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1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w:t>
            </w:r>
          </w:p>
        </w:tc>
        <w:tc>
          <w:tcPr>
            <w:tcW w:w="0" w:type="auto"/>
            <w:tcBorders>
              <w:top w:val="single" w:sz="8" w:space="0" w:color="808080"/>
              <w:bottom w:val="single" w:sz="8" w:space="0" w:color="808080"/>
            </w:tcBorders>
            <w:shd w:val="clear" w:color="auto" w:fill="FFF1E7"/>
            <w:vAlign w:val="bottom"/>
          </w:tcPr>
          <w:p w14:paraId="606F814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4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100</w:t>
            </w:r>
          </w:p>
        </w:tc>
        <w:tc>
          <w:tcPr>
            <w:tcW w:w="0" w:type="auto"/>
            <w:tcBorders>
              <w:top w:val="single" w:sz="8" w:space="0" w:color="808080"/>
              <w:bottom w:val="single" w:sz="8" w:space="0" w:color="808080"/>
            </w:tcBorders>
            <w:shd w:val="clear" w:color="auto" w:fill="auto"/>
            <w:vAlign w:val="bottom"/>
          </w:tcPr>
          <w:p w14:paraId="606F8147" w14:textId="77777777" w:rsidR="00FB67F9" w:rsidRDefault="00FB67F9">
            <w:pPr>
              <w:textAlignment w:val="bottom"/>
              <w:rPr>
                <w:rFonts w:ascii="Times New Roman" w:hAnsi="Times New Roman"/>
                <w:sz w:val="20"/>
                <w:szCs w:val="20"/>
              </w:rPr>
            </w:pPr>
          </w:p>
        </w:tc>
      </w:tr>
      <w:tr w:rsidR="00FB67F9" w14:paraId="606F814F" w14:textId="77777777">
        <w:trPr>
          <w:jc w:val="center"/>
        </w:trPr>
        <w:tc>
          <w:tcPr>
            <w:tcW w:w="0" w:type="auto"/>
            <w:shd w:val="clear" w:color="auto" w:fill="auto"/>
            <w:tcMar>
              <w:top w:w="40" w:type="dxa"/>
              <w:left w:w="240" w:type="dxa"/>
              <w:bottom w:w="40" w:type="dxa"/>
              <w:right w:w="40" w:type="dxa"/>
            </w:tcMar>
            <w:vAlign w:val="bottom"/>
          </w:tcPr>
          <w:p w14:paraId="606F8149"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606F81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1,764</w:t>
            </w:r>
          </w:p>
        </w:tc>
        <w:tc>
          <w:tcPr>
            <w:tcW w:w="0" w:type="auto"/>
            <w:shd w:val="clear" w:color="auto" w:fill="FFF1E7"/>
            <w:vAlign w:val="bottom"/>
          </w:tcPr>
          <w:p w14:paraId="606F814B"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14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06F814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1,673</w:t>
            </w:r>
          </w:p>
        </w:tc>
        <w:tc>
          <w:tcPr>
            <w:tcW w:w="0" w:type="auto"/>
            <w:shd w:val="clear" w:color="auto" w:fill="auto"/>
            <w:vAlign w:val="bottom"/>
          </w:tcPr>
          <w:p w14:paraId="606F814E" w14:textId="77777777" w:rsidR="00FB67F9" w:rsidRDefault="00FB67F9">
            <w:pPr>
              <w:textAlignment w:val="bottom"/>
              <w:rPr>
                <w:rFonts w:ascii="Times New Roman" w:hAnsi="Times New Roman"/>
                <w:sz w:val="20"/>
                <w:szCs w:val="20"/>
              </w:rPr>
            </w:pPr>
          </w:p>
        </w:tc>
      </w:tr>
      <w:tr w:rsidR="00FB67F9" w14:paraId="606F8158"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15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15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15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4,668</w:t>
            </w:r>
          </w:p>
        </w:tc>
        <w:tc>
          <w:tcPr>
            <w:tcW w:w="0" w:type="auto"/>
            <w:tcBorders>
              <w:top w:val="single" w:sz="8" w:space="0" w:color="E87722"/>
              <w:bottom w:val="single" w:sz="8" w:space="0" w:color="E87722"/>
            </w:tcBorders>
            <w:shd w:val="clear" w:color="auto" w:fill="FFF1E7"/>
            <w:vAlign w:val="bottom"/>
          </w:tcPr>
          <w:p w14:paraId="606F815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15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15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15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4,744</w:t>
            </w:r>
          </w:p>
        </w:tc>
        <w:tc>
          <w:tcPr>
            <w:tcW w:w="0" w:type="auto"/>
            <w:tcBorders>
              <w:top w:val="single" w:sz="8" w:space="0" w:color="E87722"/>
              <w:bottom w:val="single" w:sz="8" w:space="0" w:color="E87722"/>
            </w:tcBorders>
            <w:shd w:val="clear" w:color="auto" w:fill="auto"/>
            <w:vAlign w:val="bottom"/>
          </w:tcPr>
          <w:p w14:paraId="606F8157" w14:textId="77777777" w:rsidR="00FB67F9" w:rsidRDefault="00FB67F9">
            <w:pPr>
              <w:textAlignment w:val="bottom"/>
              <w:rPr>
                <w:rFonts w:ascii="Times New Roman" w:hAnsi="Times New Roman"/>
                <w:sz w:val="20"/>
                <w:szCs w:val="20"/>
              </w:rPr>
            </w:pPr>
          </w:p>
        </w:tc>
      </w:tr>
    </w:tbl>
    <w:p w14:paraId="606F8159" w14:textId="77777777" w:rsidR="00FB67F9" w:rsidRDefault="00FB67F9">
      <w:pPr>
        <w:spacing w:line="312"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FB67F9" w14:paraId="606F815B" w14:textId="77777777">
        <w:trPr>
          <w:jc w:val="center"/>
        </w:trPr>
        <w:tc>
          <w:tcPr>
            <w:tcW w:w="0" w:type="auto"/>
            <w:shd w:val="clear" w:color="auto" w:fill="auto"/>
            <w:vAlign w:val="center"/>
          </w:tcPr>
          <w:p w14:paraId="606F815A" w14:textId="77777777" w:rsidR="00FB67F9" w:rsidRDefault="00FB67F9">
            <w:pPr>
              <w:rPr>
                <w:rFonts w:ascii="Times New Roman" w:hAnsi="Times New Roman"/>
                <w:sz w:val="20"/>
                <w:szCs w:val="20"/>
              </w:rPr>
            </w:pPr>
          </w:p>
        </w:tc>
      </w:tr>
      <w:tr w:rsidR="00FB67F9" w14:paraId="606F815D" w14:textId="77777777">
        <w:trPr>
          <w:jc w:val="center"/>
        </w:trPr>
        <w:tc>
          <w:tcPr>
            <w:tcW w:w="5000" w:type="pct"/>
            <w:shd w:val="clear" w:color="auto" w:fill="auto"/>
            <w:vAlign w:val="center"/>
          </w:tcPr>
          <w:p w14:paraId="606F815C" w14:textId="77777777" w:rsidR="00FB67F9" w:rsidRDefault="00FB67F9">
            <w:pPr>
              <w:rPr>
                <w:rFonts w:ascii="Times New Roman" w:hAnsi="Times New Roman"/>
                <w:sz w:val="20"/>
                <w:szCs w:val="20"/>
              </w:rPr>
            </w:pPr>
          </w:p>
        </w:tc>
      </w:tr>
      <w:tr w:rsidR="00FB67F9" w14:paraId="606F815F" w14:textId="77777777">
        <w:trPr>
          <w:jc w:val="center"/>
        </w:trPr>
        <w:tc>
          <w:tcPr>
            <w:tcW w:w="0" w:type="auto"/>
            <w:shd w:val="clear" w:color="auto" w:fill="auto"/>
            <w:tcMar>
              <w:top w:w="40" w:type="dxa"/>
              <w:left w:w="40" w:type="dxa"/>
              <w:bottom w:w="40" w:type="dxa"/>
              <w:right w:w="40" w:type="dxa"/>
            </w:tcMar>
            <w:vAlign w:val="bottom"/>
          </w:tcPr>
          <w:p w14:paraId="606F815E" w14:textId="77777777" w:rsidR="00FB67F9" w:rsidRDefault="00E839DF">
            <w:pPr>
              <w:textAlignment w:val="bottom"/>
              <w:rPr>
                <w:rFonts w:ascii="Times New Roman" w:hAnsi="Times New Roman"/>
                <w:sz w:val="36"/>
                <w:szCs w:val="36"/>
              </w:rPr>
            </w:pPr>
            <w:r>
              <w:rPr>
                <w:rFonts w:ascii="sans-serif" w:eastAsia="sans-serif" w:hAnsi="sans-serif" w:cs="sans-serif"/>
                <w:b/>
                <w:bCs/>
                <w:color w:val="E87722"/>
                <w:sz w:val="36"/>
                <w:szCs w:val="36"/>
              </w:rPr>
              <w:t>NOTE 13 — LEASES</w:t>
            </w:r>
          </w:p>
        </w:tc>
      </w:tr>
    </w:tbl>
    <w:p w14:paraId="606F816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Company primarily leases retail store space, certain distribution and warehouse facilities, office space, </w:t>
      </w:r>
      <w:r>
        <w:rPr>
          <w:rFonts w:ascii="Arial" w:eastAsia="宋体" w:hAnsi="Arial" w:cs="Arial"/>
          <w:sz w:val="17"/>
          <w:szCs w:val="17"/>
        </w:rPr>
        <w:t xml:space="preserve">equipment and other non-real estate assets. The Company determines if an arrangement is a lease at inception and begins recording lease activity at the commencement date, which is generally the date in which the Company takes possession of or controls the </w:t>
      </w:r>
      <w:r>
        <w:rPr>
          <w:rFonts w:ascii="Arial" w:eastAsia="宋体" w:hAnsi="Arial" w:cs="Arial"/>
          <w:sz w:val="17"/>
          <w:szCs w:val="17"/>
        </w:rPr>
        <w:t>physical use of the asset. ROU assets and lease liabilities are recognized based on the present value of lease payments over the lease term with lease expense recognized on a straight-line basis. The Company's incremental borrowing rate is used to determin</w:t>
      </w:r>
      <w:r>
        <w:rPr>
          <w:rFonts w:ascii="Arial" w:eastAsia="宋体" w:hAnsi="Arial" w:cs="Arial"/>
          <w:sz w:val="17"/>
          <w:szCs w:val="17"/>
        </w:rPr>
        <w:t>e the present value of future lease payments unless the implicit rate is readily determinable. As of and for the six months ended November 30, 2019, finance leases were not a material component of the Company's lease portfolio.</w:t>
      </w:r>
    </w:p>
    <w:p w14:paraId="606F816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Lease agreements may contain</w:t>
      </w:r>
      <w:r>
        <w:rPr>
          <w:rFonts w:ascii="Arial" w:eastAsia="宋体" w:hAnsi="Arial" w:cs="Arial"/>
          <w:sz w:val="17"/>
          <w:szCs w:val="17"/>
        </w:rPr>
        <w:t xml:space="preserve"> rent escalation clauses, renewal or termination options, rent holidays or certain landlord incentives, including tenant improvement allowances. ROU assets</w:t>
      </w:r>
      <w:r>
        <w:rPr>
          <w:rFonts w:ascii="Arial" w:eastAsia="宋体" w:hAnsi="Arial" w:cs="Arial"/>
          <w:i/>
          <w:iCs/>
          <w:sz w:val="17"/>
          <w:szCs w:val="17"/>
        </w:rPr>
        <w:t xml:space="preserve"> </w:t>
      </w:r>
      <w:r>
        <w:rPr>
          <w:rFonts w:ascii="Arial" w:eastAsia="宋体" w:hAnsi="Arial" w:cs="Arial"/>
          <w:sz w:val="17"/>
          <w:szCs w:val="17"/>
        </w:rPr>
        <w:t xml:space="preserve">include amounts for scheduled rent increases and are reduced by the amount of lease incentives. The </w:t>
      </w:r>
      <w:r>
        <w:rPr>
          <w:rFonts w:ascii="Arial" w:eastAsia="宋体" w:hAnsi="Arial" w:cs="Arial"/>
          <w:sz w:val="17"/>
          <w:szCs w:val="17"/>
        </w:rPr>
        <w:t>lease term includes the non-cancelable period of the lease and options to extend or terminate the lease when it is reasonably certain the Company will exercise the option. Certain lease agreements include variable lease payments, which are based on a perce</w:t>
      </w:r>
      <w:r>
        <w:rPr>
          <w:rFonts w:ascii="Arial" w:eastAsia="宋体" w:hAnsi="Arial" w:cs="Arial"/>
          <w:sz w:val="17"/>
          <w:szCs w:val="17"/>
        </w:rPr>
        <w:t xml:space="preserve">nt of retail sales over specified levels or adjust periodically for inflation as a result of changes in a published index, primarily the Consumer Price Index. </w:t>
      </w:r>
    </w:p>
    <w:p w14:paraId="606F816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Lease expense is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 xml:space="preserve">Operating overhead expense </w:t>
      </w:r>
      <w:r>
        <w:rPr>
          <w:rFonts w:ascii="Arial" w:eastAsia="宋体" w:hAnsi="Arial" w:cs="Arial"/>
          <w:sz w:val="17"/>
          <w:szCs w:val="17"/>
        </w:rPr>
        <w:t xml:space="preserve">within the Unaudited </w:t>
      </w:r>
      <w:r>
        <w:rPr>
          <w:rFonts w:ascii="Arial" w:eastAsia="宋体" w:hAnsi="Arial" w:cs="Arial"/>
          <w:sz w:val="17"/>
          <w:szCs w:val="17"/>
        </w:rPr>
        <w:t>Condensed Consolidated Statements of Income, based on the underlying nature of the leased asset. For the three months ended November 30, 2019, lease expense primarily consisted of operating lease costs of $142 million, including $90 million primarily relat</w:t>
      </w:r>
      <w:r>
        <w:rPr>
          <w:rFonts w:ascii="Arial" w:eastAsia="宋体" w:hAnsi="Arial" w:cs="Arial"/>
          <w:sz w:val="17"/>
          <w:szCs w:val="17"/>
        </w:rPr>
        <w:t>ed to variable lease costs and an immaterial amount of short-term lease costs. For the six months ended November 30, 2019, lease expense primarily consisted of operating lease costs of $288 million, including $183 million primarily related to variable leas</w:t>
      </w:r>
      <w:r>
        <w:rPr>
          <w:rFonts w:ascii="Arial" w:eastAsia="宋体" w:hAnsi="Arial" w:cs="Arial"/>
          <w:sz w:val="17"/>
          <w:szCs w:val="17"/>
        </w:rPr>
        <w:t>e costs and an immaterial amount of short-term lease costs.</w:t>
      </w:r>
    </w:p>
    <w:p w14:paraId="606F816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Amounts of future undiscounted cash flows related to operating lease payments over the lease term are as follows and are reconciled to the present value of the operating lease liabilities as recor</w:t>
      </w:r>
      <w:r>
        <w:rPr>
          <w:rFonts w:ascii="Arial" w:eastAsia="宋体" w:hAnsi="Arial" w:cs="Arial"/>
          <w:sz w:val="17"/>
          <w:szCs w:val="17"/>
        </w:rPr>
        <w:t>ded on the Unaudited Condensed Consolidated Balance Sheets:</w:t>
      </w:r>
    </w:p>
    <w:tbl>
      <w:tblPr>
        <w:tblW w:w="5000" w:type="pct"/>
        <w:tblCellMar>
          <w:left w:w="0" w:type="dxa"/>
          <w:right w:w="0" w:type="dxa"/>
        </w:tblCellMar>
        <w:tblLook w:val="04A0" w:firstRow="1" w:lastRow="0" w:firstColumn="1" w:lastColumn="0" w:noHBand="0" w:noVBand="1"/>
      </w:tblPr>
      <w:tblGrid>
        <w:gridCol w:w="6544"/>
        <w:gridCol w:w="136"/>
        <w:gridCol w:w="1560"/>
        <w:gridCol w:w="66"/>
      </w:tblGrid>
      <w:tr w:rsidR="00FB67F9" w14:paraId="606F8165" w14:textId="77777777">
        <w:tc>
          <w:tcPr>
            <w:tcW w:w="0" w:type="auto"/>
            <w:gridSpan w:val="4"/>
            <w:shd w:val="clear" w:color="auto" w:fill="auto"/>
            <w:vAlign w:val="center"/>
          </w:tcPr>
          <w:p w14:paraId="606F8164" w14:textId="77777777" w:rsidR="00FB67F9" w:rsidRDefault="00FB67F9">
            <w:pPr>
              <w:rPr>
                <w:rFonts w:ascii="Times New Roman" w:hAnsi="Times New Roman"/>
                <w:sz w:val="20"/>
                <w:szCs w:val="20"/>
              </w:rPr>
            </w:pPr>
          </w:p>
        </w:tc>
      </w:tr>
      <w:tr w:rsidR="00FB67F9" w14:paraId="606F816A" w14:textId="77777777">
        <w:tc>
          <w:tcPr>
            <w:tcW w:w="3950" w:type="pct"/>
            <w:shd w:val="clear" w:color="auto" w:fill="auto"/>
            <w:vAlign w:val="center"/>
          </w:tcPr>
          <w:p w14:paraId="606F8166" w14:textId="77777777" w:rsidR="00FB67F9" w:rsidRDefault="00FB67F9">
            <w:pPr>
              <w:rPr>
                <w:rFonts w:ascii="Times New Roman" w:hAnsi="Times New Roman"/>
                <w:sz w:val="20"/>
                <w:szCs w:val="20"/>
              </w:rPr>
            </w:pPr>
          </w:p>
        </w:tc>
        <w:tc>
          <w:tcPr>
            <w:tcW w:w="50" w:type="pct"/>
            <w:shd w:val="clear" w:color="auto" w:fill="auto"/>
            <w:vAlign w:val="center"/>
          </w:tcPr>
          <w:p w14:paraId="606F8167" w14:textId="77777777" w:rsidR="00FB67F9" w:rsidRDefault="00FB67F9">
            <w:pPr>
              <w:rPr>
                <w:rFonts w:ascii="Times New Roman" w:hAnsi="Times New Roman"/>
                <w:sz w:val="20"/>
                <w:szCs w:val="20"/>
              </w:rPr>
            </w:pPr>
          </w:p>
        </w:tc>
        <w:tc>
          <w:tcPr>
            <w:tcW w:w="950" w:type="pct"/>
            <w:shd w:val="clear" w:color="auto" w:fill="auto"/>
            <w:vAlign w:val="center"/>
          </w:tcPr>
          <w:p w14:paraId="606F8168" w14:textId="77777777" w:rsidR="00FB67F9" w:rsidRDefault="00FB67F9">
            <w:pPr>
              <w:rPr>
                <w:rFonts w:ascii="Times New Roman" w:hAnsi="Times New Roman"/>
                <w:sz w:val="20"/>
                <w:szCs w:val="20"/>
              </w:rPr>
            </w:pPr>
          </w:p>
        </w:tc>
        <w:tc>
          <w:tcPr>
            <w:tcW w:w="50" w:type="pct"/>
            <w:shd w:val="clear" w:color="auto" w:fill="auto"/>
            <w:vAlign w:val="center"/>
          </w:tcPr>
          <w:p w14:paraId="606F8169" w14:textId="77777777" w:rsidR="00FB67F9" w:rsidRDefault="00FB67F9">
            <w:pPr>
              <w:rPr>
                <w:rFonts w:ascii="Times New Roman" w:hAnsi="Times New Roman"/>
                <w:sz w:val="20"/>
                <w:szCs w:val="20"/>
              </w:rPr>
            </w:pPr>
          </w:p>
        </w:tc>
      </w:tr>
      <w:tr w:rsidR="00FB67F9" w14:paraId="606F816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16B"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16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NOVEMBER 30, 2019</w:t>
            </w:r>
            <w:r>
              <w:rPr>
                <w:rFonts w:ascii="sans-serif" w:eastAsia="sans-serif" w:hAnsi="sans-serif" w:cs="sans-serif"/>
                <w:b/>
                <w:bCs/>
                <w:color w:val="000000"/>
                <w:sz w:val="15"/>
                <w:szCs w:val="15"/>
              </w:rPr>
              <w:t>(1)</w:t>
            </w:r>
          </w:p>
        </w:tc>
      </w:tr>
      <w:tr w:rsidR="00FB67F9" w14:paraId="606F8172" w14:textId="77777777">
        <w:tc>
          <w:tcPr>
            <w:tcW w:w="0" w:type="auto"/>
            <w:shd w:val="clear" w:color="auto" w:fill="auto"/>
            <w:tcMar>
              <w:top w:w="40" w:type="dxa"/>
              <w:left w:w="40" w:type="dxa"/>
              <w:bottom w:w="40" w:type="dxa"/>
              <w:right w:w="40" w:type="dxa"/>
            </w:tcMar>
            <w:vAlign w:val="bottom"/>
          </w:tcPr>
          <w:p w14:paraId="606F816E" w14:textId="77777777" w:rsidR="00FB67F9" w:rsidRDefault="00E839DF">
            <w:pPr>
              <w:textAlignment w:val="bottom"/>
              <w:rPr>
                <w:rFonts w:ascii="Times New Roman" w:hAnsi="Times New Roman"/>
                <w:sz w:val="17"/>
                <w:szCs w:val="17"/>
              </w:rPr>
            </w:pPr>
            <w:r>
              <w:rPr>
                <w:rFonts w:ascii="Arial" w:eastAsia="宋体" w:hAnsi="Arial" w:cs="Arial"/>
                <w:sz w:val="17"/>
                <w:szCs w:val="17"/>
              </w:rPr>
              <w:t>Remainder of Fiscal 2020</w:t>
            </w:r>
          </w:p>
        </w:tc>
        <w:tc>
          <w:tcPr>
            <w:tcW w:w="0" w:type="auto"/>
            <w:tcBorders>
              <w:top w:val="single" w:sz="8" w:space="0" w:color="E87722"/>
            </w:tcBorders>
            <w:shd w:val="clear" w:color="auto" w:fill="FFF1E7"/>
            <w:tcMar>
              <w:top w:w="40" w:type="dxa"/>
              <w:left w:w="40" w:type="dxa"/>
              <w:bottom w:w="40" w:type="dxa"/>
            </w:tcMar>
            <w:vAlign w:val="bottom"/>
          </w:tcPr>
          <w:p w14:paraId="606F816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817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276</w:t>
            </w:r>
          </w:p>
        </w:tc>
        <w:tc>
          <w:tcPr>
            <w:tcW w:w="0" w:type="auto"/>
            <w:tcBorders>
              <w:top w:val="single" w:sz="8" w:space="0" w:color="E87722"/>
            </w:tcBorders>
            <w:shd w:val="clear" w:color="auto" w:fill="FFF1E7"/>
            <w:vAlign w:val="bottom"/>
          </w:tcPr>
          <w:p w14:paraId="606F8171" w14:textId="77777777" w:rsidR="00FB67F9" w:rsidRDefault="00FB67F9">
            <w:pPr>
              <w:textAlignment w:val="bottom"/>
              <w:rPr>
                <w:rFonts w:ascii="Times New Roman" w:hAnsi="Times New Roman"/>
                <w:sz w:val="20"/>
                <w:szCs w:val="20"/>
              </w:rPr>
            </w:pPr>
          </w:p>
        </w:tc>
      </w:tr>
      <w:tr w:rsidR="00FB67F9" w14:paraId="606F817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73"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2021</w:t>
            </w:r>
          </w:p>
        </w:tc>
        <w:tc>
          <w:tcPr>
            <w:tcW w:w="0" w:type="auto"/>
            <w:gridSpan w:val="2"/>
            <w:tcBorders>
              <w:top w:val="single" w:sz="8" w:space="0" w:color="808080"/>
            </w:tcBorders>
            <w:shd w:val="clear" w:color="auto" w:fill="FFF1E7"/>
            <w:tcMar>
              <w:top w:w="40" w:type="dxa"/>
              <w:left w:w="40" w:type="dxa"/>
              <w:bottom w:w="40" w:type="dxa"/>
            </w:tcMar>
            <w:vAlign w:val="bottom"/>
          </w:tcPr>
          <w:p w14:paraId="606F817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524</w:t>
            </w:r>
          </w:p>
        </w:tc>
        <w:tc>
          <w:tcPr>
            <w:tcW w:w="0" w:type="auto"/>
            <w:tcBorders>
              <w:top w:val="single" w:sz="8" w:space="0" w:color="808080"/>
            </w:tcBorders>
            <w:shd w:val="clear" w:color="auto" w:fill="FFF1E7"/>
            <w:vAlign w:val="bottom"/>
          </w:tcPr>
          <w:p w14:paraId="606F8175" w14:textId="77777777" w:rsidR="00FB67F9" w:rsidRDefault="00FB67F9">
            <w:pPr>
              <w:textAlignment w:val="bottom"/>
              <w:rPr>
                <w:rFonts w:ascii="Times New Roman" w:hAnsi="Times New Roman"/>
                <w:sz w:val="20"/>
                <w:szCs w:val="20"/>
              </w:rPr>
            </w:pPr>
          </w:p>
        </w:tc>
      </w:tr>
      <w:tr w:rsidR="00FB67F9" w14:paraId="606F817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177"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2022</w:t>
            </w:r>
          </w:p>
        </w:tc>
        <w:tc>
          <w:tcPr>
            <w:tcW w:w="0" w:type="auto"/>
            <w:gridSpan w:val="2"/>
            <w:tcBorders>
              <w:top w:val="single" w:sz="8" w:space="0" w:color="808080"/>
            </w:tcBorders>
            <w:shd w:val="clear" w:color="auto" w:fill="FFF1E7"/>
            <w:tcMar>
              <w:top w:w="40" w:type="dxa"/>
              <w:left w:w="40" w:type="dxa"/>
              <w:bottom w:w="40" w:type="dxa"/>
            </w:tcMar>
            <w:vAlign w:val="bottom"/>
          </w:tcPr>
          <w:p w14:paraId="606F817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461</w:t>
            </w:r>
          </w:p>
        </w:tc>
        <w:tc>
          <w:tcPr>
            <w:tcW w:w="0" w:type="auto"/>
            <w:tcBorders>
              <w:top w:val="single" w:sz="8" w:space="0" w:color="808080"/>
            </w:tcBorders>
            <w:shd w:val="clear" w:color="auto" w:fill="FFF1E7"/>
            <w:vAlign w:val="bottom"/>
          </w:tcPr>
          <w:p w14:paraId="606F8179" w14:textId="77777777" w:rsidR="00FB67F9" w:rsidRDefault="00FB67F9">
            <w:pPr>
              <w:textAlignment w:val="bottom"/>
              <w:rPr>
                <w:rFonts w:ascii="Times New Roman" w:hAnsi="Times New Roman"/>
                <w:sz w:val="20"/>
                <w:szCs w:val="20"/>
              </w:rPr>
            </w:pPr>
          </w:p>
        </w:tc>
      </w:tr>
      <w:tr w:rsidR="00FB67F9" w14:paraId="606F817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7B"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2023</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17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404</w:t>
            </w:r>
          </w:p>
        </w:tc>
        <w:tc>
          <w:tcPr>
            <w:tcW w:w="0" w:type="auto"/>
            <w:tcBorders>
              <w:top w:val="single" w:sz="8" w:space="0" w:color="808080"/>
              <w:bottom w:val="single" w:sz="8" w:space="0" w:color="808080"/>
            </w:tcBorders>
            <w:shd w:val="clear" w:color="auto" w:fill="FFF1E7"/>
            <w:vAlign w:val="bottom"/>
          </w:tcPr>
          <w:p w14:paraId="606F817D" w14:textId="77777777" w:rsidR="00FB67F9" w:rsidRDefault="00FB67F9">
            <w:pPr>
              <w:textAlignment w:val="bottom"/>
              <w:rPr>
                <w:rFonts w:ascii="Times New Roman" w:hAnsi="Times New Roman"/>
                <w:sz w:val="20"/>
                <w:szCs w:val="20"/>
              </w:rPr>
            </w:pPr>
          </w:p>
        </w:tc>
      </w:tr>
      <w:tr w:rsidR="00FB67F9" w14:paraId="606F818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7F"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2024</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1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364</w:t>
            </w:r>
          </w:p>
        </w:tc>
        <w:tc>
          <w:tcPr>
            <w:tcW w:w="0" w:type="auto"/>
            <w:tcBorders>
              <w:top w:val="single" w:sz="8" w:space="0" w:color="808080"/>
              <w:bottom w:val="single" w:sz="8" w:space="0" w:color="808080"/>
            </w:tcBorders>
            <w:shd w:val="clear" w:color="auto" w:fill="FFF1E7"/>
            <w:vAlign w:val="bottom"/>
          </w:tcPr>
          <w:p w14:paraId="606F8181" w14:textId="77777777" w:rsidR="00FB67F9" w:rsidRDefault="00FB67F9">
            <w:pPr>
              <w:textAlignment w:val="bottom"/>
              <w:rPr>
                <w:rFonts w:ascii="Times New Roman" w:hAnsi="Times New Roman"/>
                <w:sz w:val="20"/>
                <w:szCs w:val="20"/>
              </w:rPr>
            </w:pPr>
          </w:p>
        </w:tc>
      </w:tr>
      <w:tr w:rsidR="00FB67F9" w14:paraId="606F8186"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183" w14:textId="77777777" w:rsidR="00FB67F9" w:rsidRDefault="00E839DF">
            <w:pPr>
              <w:textAlignment w:val="bottom"/>
              <w:rPr>
                <w:rFonts w:ascii="Times New Roman" w:hAnsi="Times New Roman"/>
                <w:sz w:val="17"/>
                <w:szCs w:val="17"/>
              </w:rPr>
            </w:pPr>
            <w:r>
              <w:rPr>
                <w:rFonts w:ascii="Arial" w:eastAsia="宋体" w:hAnsi="Arial" w:cs="Arial"/>
                <w:sz w:val="17"/>
                <w:szCs w:val="17"/>
              </w:rPr>
              <w:t>Thereafter</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1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1,573</w:t>
            </w:r>
          </w:p>
        </w:tc>
        <w:tc>
          <w:tcPr>
            <w:tcW w:w="0" w:type="auto"/>
            <w:tcBorders>
              <w:top w:val="single" w:sz="8" w:space="0" w:color="808080"/>
              <w:bottom w:val="single" w:sz="8" w:space="0" w:color="E87722"/>
            </w:tcBorders>
            <w:shd w:val="clear" w:color="auto" w:fill="FFF1E7"/>
            <w:vAlign w:val="bottom"/>
          </w:tcPr>
          <w:p w14:paraId="606F8185" w14:textId="77777777" w:rsidR="00FB67F9" w:rsidRDefault="00FB67F9">
            <w:pPr>
              <w:textAlignment w:val="bottom"/>
              <w:rPr>
                <w:rFonts w:ascii="Times New Roman" w:hAnsi="Times New Roman"/>
                <w:sz w:val="20"/>
                <w:szCs w:val="20"/>
              </w:rPr>
            </w:pPr>
          </w:p>
        </w:tc>
      </w:tr>
      <w:tr w:rsidR="00FB67F9" w14:paraId="606F818B" w14:textId="77777777">
        <w:tc>
          <w:tcPr>
            <w:tcW w:w="0" w:type="auto"/>
            <w:shd w:val="clear" w:color="auto" w:fill="auto"/>
            <w:tcMar>
              <w:top w:w="40" w:type="dxa"/>
              <w:left w:w="40" w:type="dxa"/>
              <w:bottom w:w="40" w:type="dxa"/>
              <w:right w:w="40" w:type="dxa"/>
            </w:tcMar>
            <w:vAlign w:val="bottom"/>
          </w:tcPr>
          <w:p w14:paraId="606F8187"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Total </w:t>
            </w:r>
            <w:r>
              <w:rPr>
                <w:rFonts w:ascii="Arial" w:eastAsia="宋体" w:hAnsi="Arial" w:cs="Arial"/>
                <w:sz w:val="17"/>
                <w:szCs w:val="17"/>
              </w:rPr>
              <w:t>undiscounted future cash flows related to lease payments</w:t>
            </w:r>
          </w:p>
        </w:tc>
        <w:tc>
          <w:tcPr>
            <w:tcW w:w="0" w:type="auto"/>
            <w:tcBorders>
              <w:top w:val="single" w:sz="8" w:space="0" w:color="E87722"/>
            </w:tcBorders>
            <w:shd w:val="clear" w:color="auto" w:fill="FFF1E7"/>
            <w:tcMar>
              <w:top w:w="40" w:type="dxa"/>
              <w:left w:w="40" w:type="dxa"/>
              <w:bottom w:w="40" w:type="dxa"/>
            </w:tcMar>
            <w:vAlign w:val="bottom"/>
          </w:tcPr>
          <w:p w14:paraId="606F818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818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3,602</w:t>
            </w:r>
          </w:p>
        </w:tc>
        <w:tc>
          <w:tcPr>
            <w:tcW w:w="0" w:type="auto"/>
            <w:tcBorders>
              <w:top w:val="single" w:sz="8" w:space="0" w:color="E87722"/>
            </w:tcBorders>
            <w:shd w:val="clear" w:color="auto" w:fill="FFF1E7"/>
            <w:vAlign w:val="bottom"/>
          </w:tcPr>
          <w:p w14:paraId="606F818A" w14:textId="77777777" w:rsidR="00FB67F9" w:rsidRDefault="00FB67F9">
            <w:pPr>
              <w:textAlignment w:val="bottom"/>
              <w:rPr>
                <w:rFonts w:ascii="Times New Roman" w:hAnsi="Times New Roman"/>
                <w:sz w:val="20"/>
                <w:szCs w:val="20"/>
              </w:rPr>
            </w:pPr>
          </w:p>
        </w:tc>
      </w:tr>
      <w:tr w:rsidR="00FB67F9" w14:paraId="606F818F"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18C"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Less: Interest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18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448</w:t>
            </w:r>
          </w:p>
        </w:tc>
        <w:tc>
          <w:tcPr>
            <w:tcW w:w="0" w:type="auto"/>
            <w:tcBorders>
              <w:top w:val="single" w:sz="8" w:space="0" w:color="808080"/>
              <w:bottom w:val="single" w:sz="8" w:space="0" w:color="E87722"/>
            </w:tcBorders>
            <w:shd w:val="clear" w:color="auto" w:fill="FFF1E7"/>
            <w:vAlign w:val="bottom"/>
          </w:tcPr>
          <w:p w14:paraId="606F818E" w14:textId="77777777" w:rsidR="00FB67F9" w:rsidRDefault="00FB67F9">
            <w:pPr>
              <w:textAlignment w:val="bottom"/>
              <w:rPr>
                <w:rFonts w:ascii="Times New Roman" w:hAnsi="Times New Roman"/>
                <w:sz w:val="20"/>
                <w:szCs w:val="20"/>
              </w:rPr>
            </w:pPr>
          </w:p>
        </w:tc>
      </w:tr>
      <w:tr w:rsidR="00FB67F9" w14:paraId="606F819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190" w14:textId="77777777" w:rsidR="00FB67F9" w:rsidRDefault="00E839DF">
            <w:pPr>
              <w:textAlignment w:val="bottom"/>
              <w:rPr>
                <w:rFonts w:ascii="Times New Roman" w:hAnsi="Times New Roman"/>
                <w:sz w:val="17"/>
                <w:szCs w:val="17"/>
              </w:rPr>
            </w:pPr>
            <w:r>
              <w:rPr>
                <w:rFonts w:ascii="Arial" w:eastAsia="宋体" w:hAnsi="Arial" w:cs="Arial"/>
                <w:sz w:val="17"/>
                <w:szCs w:val="17"/>
              </w:rPr>
              <w:t>Present value of lease liabilities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19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19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3,154</w:t>
            </w:r>
          </w:p>
        </w:tc>
        <w:tc>
          <w:tcPr>
            <w:tcW w:w="0" w:type="auto"/>
            <w:tcBorders>
              <w:top w:val="single" w:sz="8" w:space="0" w:color="E87722"/>
              <w:bottom w:val="single" w:sz="8" w:space="0" w:color="E87722"/>
            </w:tcBorders>
            <w:shd w:val="clear" w:color="auto" w:fill="FFF1E7"/>
            <w:vAlign w:val="bottom"/>
          </w:tcPr>
          <w:p w14:paraId="606F8193" w14:textId="77777777" w:rsidR="00FB67F9" w:rsidRDefault="00FB67F9">
            <w:pPr>
              <w:textAlignment w:val="bottom"/>
              <w:rPr>
                <w:rFonts w:ascii="Times New Roman" w:hAnsi="Times New Roman"/>
                <w:sz w:val="20"/>
                <w:szCs w:val="20"/>
              </w:rPr>
            </w:pPr>
          </w:p>
        </w:tc>
      </w:tr>
    </w:tbl>
    <w:p w14:paraId="606F8195"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888"/>
      </w:tblGrid>
      <w:tr w:rsidR="00FB67F9" w14:paraId="606F8198" w14:textId="77777777">
        <w:trPr>
          <w:tblCellSpacing w:w="0" w:type="dxa"/>
        </w:trPr>
        <w:tc>
          <w:tcPr>
            <w:tcW w:w="480" w:type="dxa"/>
            <w:shd w:val="clear" w:color="auto" w:fill="auto"/>
            <w:vAlign w:val="center"/>
          </w:tcPr>
          <w:p w14:paraId="606F8196" w14:textId="77777777" w:rsidR="00FB67F9" w:rsidRDefault="00FB67F9">
            <w:pPr>
              <w:rPr>
                <w:rFonts w:ascii="Times New Roman" w:hAnsi="Times New Roman"/>
                <w:sz w:val="20"/>
                <w:szCs w:val="20"/>
              </w:rPr>
            </w:pPr>
          </w:p>
        </w:tc>
        <w:tc>
          <w:tcPr>
            <w:tcW w:w="0" w:type="auto"/>
            <w:shd w:val="clear" w:color="auto" w:fill="auto"/>
            <w:vAlign w:val="center"/>
          </w:tcPr>
          <w:p w14:paraId="606F8197" w14:textId="77777777" w:rsidR="00FB67F9" w:rsidRDefault="00FB67F9">
            <w:pPr>
              <w:rPr>
                <w:rFonts w:ascii="Times New Roman" w:hAnsi="Times New Roman"/>
                <w:sz w:val="20"/>
                <w:szCs w:val="20"/>
              </w:rPr>
            </w:pPr>
          </w:p>
        </w:tc>
      </w:tr>
      <w:tr w:rsidR="00FB67F9" w14:paraId="606F819B" w14:textId="77777777">
        <w:trPr>
          <w:tblCellSpacing w:w="0" w:type="dxa"/>
        </w:trPr>
        <w:tc>
          <w:tcPr>
            <w:tcW w:w="0" w:type="auto"/>
            <w:shd w:val="clear" w:color="auto" w:fill="auto"/>
          </w:tcPr>
          <w:p w14:paraId="606F8199"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19A"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Excludes $299 million of future operating lease payments for lease agreements signed but not yet </w:t>
            </w:r>
            <w:r>
              <w:rPr>
                <w:rFonts w:ascii="Arial" w:eastAsia="宋体" w:hAnsi="Arial" w:cs="Arial"/>
                <w:i/>
                <w:iCs/>
                <w:color w:val="000000"/>
                <w:sz w:val="14"/>
                <w:szCs w:val="14"/>
              </w:rPr>
              <w:t>commenced.</w:t>
            </w:r>
          </w:p>
        </w:tc>
      </w:tr>
    </w:tbl>
    <w:p w14:paraId="606F819C" w14:textId="77777777" w:rsidR="00FB67F9" w:rsidRDefault="00FB67F9">
      <w:pPr>
        <w:rPr>
          <w:rFonts w:ascii="Times New Roman" w:hAnsi="Times New Roman"/>
          <w:sz w:val="20"/>
          <w:szCs w:val="20"/>
        </w:rPr>
      </w:pPr>
    </w:p>
    <w:p w14:paraId="606F819D"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24</w:t>
      </w:r>
      <w:r>
        <w:rPr>
          <w:rFonts w:ascii="sans-serif" w:eastAsia="sans-serif" w:hAnsi="sans-serif" w:cs="sans-serif"/>
          <w:sz w:val="17"/>
          <w:szCs w:val="17"/>
        </w:rPr>
        <w:t xml:space="preserve"> </w:t>
      </w:r>
    </w:p>
    <w:p w14:paraId="606F819E" w14:textId="77777777" w:rsidR="00FB67F9" w:rsidRDefault="00E839DF">
      <w:r>
        <w:rPr>
          <w:rFonts w:ascii="Times New Roman" w:hAnsi="Times New Roman"/>
          <w:sz w:val="17"/>
          <w:szCs w:val="17"/>
        </w:rPr>
        <w:pict w14:anchorId="606F8F95">
          <v:rect id="_x0000_i1050" style="width:415.3pt;height:1.5pt" o:hralign="center" o:hrstd="t" o:hr="t" fillcolor="#a0a0a0" stroked="f"/>
        </w:pict>
      </w:r>
    </w:p>
    <w:p w14:paraId="606F819F" w14:textId="77777777" w:rsidR="00FB67F9" w:rsidRDefault="00FB67F9">
      <w:pPr>
        <w:rPr>
          <w:rFonts w:ascii="Times New Roman" w:hAnsi="Times New Roman"/>
          <w:sz w:val="17"/>
          <w:szCs w:val="17"/>
        </w:rPr>
      </w:pPr>
    </w:p>
    <w:p w14:paraId="606F81A0" w14:textId="77777777" w:rsidR="00FB67F9" w:rsidRDefault="00E839DF">
      <w:pPr>
        <w:rPr>
          <w:rFonts w:ascii="Times New Roman" w:hAnsi="Times New Roman"/>
          <w:sz w:val="17"/>
          <w:szCs w:val="17"/>
        </w:rPr>
      </w:pPr>
      <w:hyperlink r:id="rId94" w:anchor="s42C493F7582652B69E70047AB812E6A5" w:history="1">
        <w:r>
          <w:rPr>
            <w:rStyle w:val="a5"/>
            <w:rFonts w:ascii="sans-serif" w:eastAsia="sans-serif" w:hAnsi="sans-serif" w:cs="sans-serif"/>
            <w:sz w:val="17"/>
            <w:szCs w:val="17"/>
          </w:rPr>
          <w:t>Table of Contents</w:t>
        </w:r>
      </w:hyperlink>
    </w:p>
    <w:p w14:paraId="606F81A1" w14:textId="77777777" w:rsidR="00FB67F9" w:rsidRDefault="00FB67F9">
      <w:pPr>
        <w:rPr>
          <w:rFonts w:ascii="Times New Roman" w:hAnsi="Times New Roman"/>
          <w:sz w:val="17"/>
          <w:szCs w:val="17"/>
        </w:rPr>
      </w:pPr>
    </w:p>
    <w:p w14:paraId="606F81A2" w14:textId="77777777" w:rsidR="00FB67F9" w:rsidRDefault="00FB67F9">
      <w:pPr>
        <w:rPr>
          <w:rFonts w:ascii="Times New Roman" w:hAnsi="Times New Roman"/>
          <w:sz w:val="20"/>
          <w:szCs w:val="20"/>
        </w:rPr>
      </w:pPr>
    </w:p>
    <w:p w14:paraId="606F81A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Amounts of minimum future annual commitments under non-cancelable operating and cap</w:t>
      </w:r>
      <w:r>
        <w:rPr>
          <w:rFonts w:ascii="Arial" w:eastAsia="宋体" w:hAnsi="Arial" w:cs="Arial"/>
          <w:sz w:val="17"/>
          <w:szCs w:val="17"/>
        </w:rPr>
        <w:t>ital leases in accordance with Topic 840 were as follows:</w:t>
      </w:r>
    </w:p>
    <w:tbl>
      <w:tblPr>
        <w:tblW w:w="4990" w:type="pct"/>
        <w:tblCellMar>
          <w:left w:w="0" w:type="dxa"/>
          <w:right w:w="0" w:type="dxa"/>
        </w:tblCellMar>
        <w:tblLook w:val="04A0" w:firstRow="1" w:lastRow="0" w:firstColumn="1" w:lastColumn="0" w:noHBand="0" w:noVBand="1"/>
      </w:tblPr>
      <w:tblGrid>
        <w:gridCol w:w="4536"/>
        <w:gridCol w:w="136"/>
        <w:gridCol w:w="1055"/>
        <w:gridCol w:w="61"/>
        <w:gridCol w:w="136"/>
        <w:gridCol w:w="1063"/>
        <w:gridCol w:w="81"/>
        <w:gridCol w:w="135"/>
        <w:gridCol w:w="1025"/>
        <w:gridCol w:w="61"/>
      </w:tblGrid>
      <w:tr w:rsidR="00FB67F9" w14:paraId="606F81A5" w14:textId="77777777">
        <w:tc>
          <w:tcPr>
            <w:tcW w:w="0" w:type="auto"/>
            <w:gridSpan w:val="10"/>
            <w:shd w:val="clear" w:color="auto" w:fill="auto"/>
            <w:vAlign w:val="center"/>
          </w:tcPr>
          <w:p w14:paraId="606F81A4" w14:textId="77777777" w:rsidR="00FB67F9" w:rsidRDefault="00FB67F9">
            <w:pPr>
              <w:rPr>
                <w:rFonts w:ascii="Times New Roman" w:hAnsi="Times New Roman"/>
                <w:sz w:val="20"/>
                <w:szCs w:val="20"/>
              </w:rPr>
            </w:pPr>
          </w:p>
        </w:tc>
      </w:tr>
      <w:tr w:rsidR="00FB67F9" w14:paraId="606F81B0" w14:textId="77777777">
        <w:tc>
          <w:tcPr>
            <w:tcW w:w="2750" w:type="pct"/>
            <w:shd w:val="clear" w:color="auto" w:fill="auto"/>
            <w:vAlign w:val="center"/>
          </w:tcPr>
          <w:p w14:paraId="606F81A6" w14:textId="77777777" w:rsidR="00FB67F9" w:rsidRDefault="00FB67F9">
            <w:pPr>
              <w:rPr>
                <w:rFonts w:ascii="Times New Roman" w:hAnsi="Times New Roman"/>
                <w:sz w:val="20"/>
                <w:szCs w:val="20"/>
              </w:rPr>
            </w:pPr>
          </w:p>
        </w:tc>
        <w:tc>
          <w:tcPr>
            <w:tcW w:w="50" w:type="pct"/>
            <w:shd w:val="clear" w:color="auto" w:fill="auto"/>
            <w:vAlign w:val="center"/>
          </w:tcPr>
          <w:p w14:paraId="606F81A7" w14:textId="77777777" w:rsidR="00FB67F9" w:rsidRDefault="00FB67F9">
            <w:pPr>
              <w:rPr>
                <w:rFonts w:ascii="Times New Roman" w:hAnsi="Times New Roman"/>
                <w:sz w:val="20"/>
                <w:szCs w:val="20"/>
              </w:rPr>
            </w:pPr>
          </w:p>
        </w:tc>
        <w:tc>
          <w:tcPr>
            <w:tcW w:w="650" w:type="pct"/>
            <w:shd w:val="clear" w:color="auto" w:fill="auto"/>
            <w:vAlign w:val="center"/>
          </w:tcPr>
          <w:p w14:paraId="606F81A8" w14:textId="77777777" w:rsidR="00FB67F9" w:rsidRDefault="00FB67F9">
            <w:pPr>
              <w:rPr>
                <w:rFonts w:ascii="Times New Roman" w:hAnsi="Times New Roman"/>
                <w:sz w:val="20"/>
                <w:szCs w:val="20"/>
              </w:rPr>
            </w:pPr>
          </w:p>
        </w:tc>
        <w:tc>
          <w:tcPr>
            <w:tcW w:w="50" w:type="pct"/>
            <w:shd w:val="clear" w:color="auto" w:fill="auto"/>
            <w:vAlign w:val="center"/>
          </w:tcPr>
          <w:p w14:paraId="606F81A9" w14:textId="77777777" w:rsidR="00FB67F9" w:rsidRDefault="00FB67F9">
            <w:pPr>
              <w:rPr>
                <w:rFonts w:ascii="Times New Roman" w:hAnsi="Times New Roman"/>
                <w:sz w:val="20"/>
                <w:szCs w:val="20"/>
              </w:rPr>
            </w:pPr>
          </w:p>
        </w:tc>
        <w:tc>
          <w:tcPr>
            <w:tcW w:w="50" w:type="pct"/>
            <w:shd w:val="clear" w:color="auto" w:fill="auto"/>
            <w:vAlign w:val="center"/>
          </w:tcPr>
          <w:p w14:paraId="606F81AA" w14:textId="77777777" w:rsidR="00FB67F9" w:rsidRDefault="00FB67F9">
            <w:pPr>
              <w:rPr>
                <w:rFonts w:ascii="Times New Roman" w:hAnsi="Times New Roman"/>
                <w:sz w:val="20"/>
                <w:szCs w:val="20"/>
              </w:rPr>
            </w:pPr>
          </w:p>
        </w:tc>
        <w:tc>
          <w:tcPr>
            <w:tcW w:w="650" w:type="pct"/>
            <w:shd w:val="clear" w:color="auto" w:fill="auto"/>
            <w:vAlign w:val="center"/>
          </w:tcPr>
          <w:p w14:paraId="606F81AB" w14:textId="77777777" w:rsidR="00FB67F9" w:rsidRDefault="00FB67F9">
            <w:pPr>
              <w:rPr>
                <w:rFonts w:ascii="Times New Roman" w:hAnsi="Times New Roman"/>
                <w:sz w:val="20"/>
                <w:szCs w:val="20"/>
              </w:rPr>
            </w:pPr>
          </w:p>
        </w:tc>
        <w:tc>
          <w:tcPr>
            <w:tcW w:w="50" w:type="pct"/>
            <w:shd w:val="clear" w:color="auto" w:fill="auto"/>
            <w:vAlign w:val="center"/>
          </w:tcPr>
          <w:p w14:paraId="606F81AC" w14:textId="77777777" w:rsidR="00FB67F9" w:rsidRDefault="00FB67F9">
            <w:pPr>
              <w:rPr>
                <w:rFonts w:ascii="Times New Roman" w:hAnsi="Times New Roman"/>
                <w:sz w:val="20"/>
                <w:szCs w:val="20"/>
              </w:rPr>
            </w:pPr>
          </w:p>
        </w:tc>
        <w:tc>
          <w:tcPr>
            <w:tcW w:w="50" w:type="pct"/>
            <w:shd w:val="clear" w:color="auto" w:fill="auto"/>
            <w:vAlign w:val="center"/>
          </w:tcPr>
          <w:p w14:paraId="606F81AD" w14:textId="77777777" w:rsidR="00FB67F9" w:rsidRDefault="00FB67F9">
            <w:pPr>
              <w:rPr>
                <w:rFonts w:ascii="Times New Roman" w:hAnsi="Times New Roman"/>
                <w:sz w:val="20"/>
                <w:szCs w:val="20"/>
              </w:rPr>
            </w:pPr>
          </w:p>
        </w:tc>
        <w:tc>
          <w:tcPr>
            <w:tcW w:w="650" w:type="pct"/>
            <w:shd w:val="clear" w:color="auto" w:fill="auto"/>
            <w:vAlign w:val="center"/>
          </w:tcPr>
          <w:p w14:paraId="606F81AE" w14:textId="77777777" w:rsidR="00FB67F9" w:rsidRDefault="00FB67F9">
            <w:pPr>
              <w:rPr>
                <w:rFonts w:ascii="Times New Roman" w:hAnsi="Times New Roman"/>
                <w:sz w:val="20"/>
                <w:szCs w:val="20"/>
              </w:rPr>
            </w:pPr>
          </w:p>
        </w:tc>
        <w:tc>
          <w:tcPr>
            <w:tcW w:w="50" w:type="pct"/>
            <w:shd w:val="clear" w:color="auto" w:fill="auto"/>
            <w:vAlign w:val="center"/>
          </w:tcPr>
          <w:p w14:paraId="606F81AF" w14:textId="77777777" w:rsidR="00FB67F9" w:rsidRDefault="00FB67F9">
            <w:pPr>
              <w:rPr>
                <w:rFonts w:ascii="Times New Roman" w:hAnsi="Times New Roman"/>
                <w:sz w:val="20"/>
                <w:szCs w:val="20"/>
              </w:rPr>
            </w:pPr>
          </w:p>
        </w:tc>
      </w:tr>
      <w:tr w:rsidR="00FB67F9" w14:paraId="606F81B3" w14:textId="77777777">
        <w:tc>
          <w:tcPr>
            <w:tcW w:w="0" w:type="auto"/>
            <w:shd w:val="clear" w:color="auto" w:fill="auto"/>
            <w:tcMar>
              <w:top w:w="40" w:type="dxa"/>
              <w:left w:w="40" w:type="dxa"/>
              <w:bottom w:w="40" w:type="dxa"/>
              <w:right w:w="40" w:type="dxa"/>
            </w:tcMar>
            <w:vAlign w:val="bottom"/>
          </w:tcPr>
          <w:p w14:paraId="606F81B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606F81B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MAY 31, 2019</w:t>
            </w:r>
          </w:p>
        </w:tc>
      </w:tr>
      <w:tr w:rsidR="00FB67F9" w14:paraId="606F81B8"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1B4"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1B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OPERATING LEASES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1B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CAPITAL LEASES AND OTHER FINANCING OBLIGATIONS</w:t>
            </w:r>
            <w:r>
              <w:rPr>
                <w:rFonts w:ascii="sans-serif" w:eastAsia="sans-serif" w:hAnsi="sans-serif" w:cs="sans-serif"/>
                <w:b/>
                <w:bCs/>
                <w:color w:val="000000"/>
                <w:sz w:val="15"/>
                <w:szCs w:val="15"/>
              </w:rPr>
              <w:t>(1)</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1B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TOTAL</w:t>
            </w:r>
          </w:p>
        </w:tc>
      </w:tr>
      <w:tr w:rsidR="00FB67F9" w14:paraId="606F81C3" w14:textId="77777777">
        <w:tc>
          <w:tcPr>
            <w:tcW w:w="0" w:type="auto"/>
            <w:shd w:val="clear" w:color="auto" w:fill="auto"/>
            <w:tcMar>
              <w:top w:w="40" w:type="dxa"/>
              <w:left w:w="40" w:type="dxa"/>
              <w:bottom w:w="40" w:type="dxa"/>
              <w:right w:w="40" w:type="dxa"/>
            </w:tcMar>
            <w:vAlign w:val="bottom"/>
          </w:tcPr>
          <w:p w14:paraId="606F81B9"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2020</w:t>
            </w:r>
          </w:p>
        </w:tc>
        <w:tc>
          <w:tcPr>
            <w:tcW w:w="0" w:type="auto"/>
            <w:tcBorders>
              <w:top w:val="single" w:sz="8" w:space="0" w:color="E87722"/>
            </w:tcBorders>
            <w:shd w:val="clear" w:color="auto" w:fill="auto"/>
            <w:tcMar>
              <w:top w:w="40" w:type="dxa"/>
              <w:left w:w="40" w:type="dxa"/>
              <w:bottom w:w="40" w:type="dxa"/>
            </w:tcMar>
            <w:vAlign w:val="bottom"/>
          </w:tcPr>
          <w:p w14:paraId="606F81B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81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553</w:t>
            </w:r>
          </w:p>
        </w:tc>
        <w:tc>
          <w:tcPr>
            <w:tcW w:w="0" w:type="auto"/>
            <w:tcBorders>
              <w:top w:val="single" w:sz="8" w:space="0" w:color="E87722"/>
            </w:tcBorders>
            <w:shd w:val="clear" w:color="auto" w:fill="auto"/>
            <w:vAlign w:val="bottom"/>
          </w:tcPr>
          <w:p w14:paraId="606F81BC"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1B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81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top w:val="single" w:sz="8" w:space="0" w:color="E87722"/>
            </w:tcBorders>
            <w:shd w:val="clear" w:color="auto" w:fill="auto"/>
            <w:vAlign w:val="bottom"/>
          </w:tcPr>
          <w:p w14:paraId="606F81BF"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1C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81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585</w:t>
            </w:r>
          </w:p>
        </w:tc>
        <w:tc>
          <w:tcPr>
            <w:tcW w:w="0" w:type="auto"/>
            <w:tcBorders>
              <w:top w:val="single" w:sz="8" w:space="0" w:color="E87722"/>
            </w:tcBorders>
            <w:shd w:val="clear" w:color="auto" w:fill="auto"/>
            <w:vAlign w:val="bottom"/>
          </w:tcPr>
          <w:p w14:paraId="606F81C2" w14:textId="77777777" w:rsidR="00FB67F9" w:rsidRDefault="00FB67F9">
            <w:pPr>
              <w:textAlignment w:val="bottom"/>
              <w:rPr>
                <w:rFonts w:ascii="Times New Roman" w:hAnsi="Times New Roman"/>
                <w:sz w:val="20"/>
                <w:szCs w:val="20"/>
              </w:rPr>
            </w:pPr>
          </w:p>
        </w:tc>
      </w:tr>
      <w:tr w:rsidR="00FB67F9" w14:paraId="606F81CB"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C4"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2021</w:t>
            </w:r>
          </w:p>
        </w:tc>
        <w:tc>
          <w:tcPr>
            <w:tcW w:w="0" w:type="auto"/>
            <w:gridSpan w:val="2"/>
            <w:tcBorders>
              <w:top w:val="single" w:sz="8" w:space="0" w:color="808080"/>
            </w:tcBorders>
            <w:shd w:val="clear" w:color="auto" w:fill="auto"/>
            <w:tcMar>
              <w:top w:w="40" w:type="dxa"/>
              <w:left w:w="40" w:type="dxa"/>
              <w:bottom w:w="40" w:type="dxa"/>
            </w:tcMar>
            <w:vAlign w:val="bottom"/>
          </w:tcPr>
          <w:p w14:paraId="606F81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513</w:t>
            </w:r>
          </w:p>
        </w:tc>
        <w:tc>
          <w:tcPr>
            <w:tcW w:w="0" w:type="auto"/>
            <w:tcBorders>
              <w:top w:val="single" w:sz="8" w:space="0" w:color="808080"/>
            </w:tcBorders>
            <w:shd w:val="clear" w:color="auto" w:fill="auto"/>
            <w:vAlign w:val="bottom"/>
          </w:tcPr>
          <w:p w14:paraId="606F81C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vAlign w:val="bottom"/>
          </w:tcPr>
          <w:p w14:paraId="606F81C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547</w:t>
            </w:r>
          </w:p>
        </w:tc>
        <w:tc>
          <w:tcPr>
            <w:tcW w:w="0" w:type="auto"/>
            <w:tcBorders>
              <w:top w:val="single" w:sz="8" w:space="0" w:color="808080"/>
              <w:bottom w:val="single" w:sz="8" w:space="0" w:color="808080"/>
            </w:tcBorders>
            <w:shd w:val="clear" w:color="auto" w:fill="auto"/>
            <w:vAlign w:val="bottom"/>
          </w:tcPr>
          <w:p w14:paraId="606F81CA" w14:textId="77777777" w:rsidR="00FB67F9" w:rsidRDefault="00FB67F9">
            <w:pPr>
              <w:textAlignment w:val="bottom"/>
              <w:rPr>
                <w:rFonts w:ascii="Times New Roman" w:hAnsi="Times New Roman"/>
                <w:sz w:val="20"/>
                <w:szCs w:val="20"/>
              </w:rPr>
            </w:pPr>
          </w:p>
        </w:tc>
      </w:tr>
      <w:tr w:rsidR="00FB67F9" w14:paraId="606F81D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1CC"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2022</w:t>
            </w:r>
          </w:p>
        </w:tc>
        <w:tc>
          <w:tcPr>
            <w:tcW w:w="0" w:type="auto"/>
            <w:gridSpan w:val="2"/>
            <w:tcBorders>
              <w:top w:val="single" w:sz="8" w:space="0" w:color="808080"/>
            </w:tcBorders>
            <w:shd w:val="clear" w:color="auto" w:fill="auto"/>
            <w:tcMar>
              <w:top w:w="40" w:type="dxa"/>
              <w:left w:w="40" w:type="dxa"/>
              <w:bottom w:w="40" w:type="dxa"/>
            </w:tcMar>
            <w:vAlign w:val="bottom"/>
          </w:tcPr>
          <w:p w14:paraId="606F81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441</w:t>
            </w:r>
          </w:p>
        </w:tc>
        <w:tc>
          <w:tcPr>
            <w:tcW w:w="0" w:type="auto"/>
            <w:tcBorders>
              <w:top w:val="single" w:sz="8" w:space="0" w:color="808080"/>
            </w:tcBorders>
            <w:shd w:val="clear" w:color="auto" w:fill="auto"/>
            <w:vAlign w:val="bottom"/>
          </w:tcPr>
          <w:p w14:paraId="606F81C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1C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w:t>
            </w:r>
          </w:p>
        </w:tc>
        <w:tc>
          <w:tcPr>
            <w:tcW w:w="0" w:type="auto"/>
            <w:tcBorders>
              <w:top w:val="single" w:sz="8" w:space="0" w:color="808080"/>
            </w:tcBorders>
            <w:shd w:val="clear" w:color="auto" w:fill="auto"/>
            <w:vAlign w:val="bottom"/>
          </w:tcPr>
          <w:p w14:paraId="606F81D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1D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481</w:t>
            </w:r>
          </w:p>
        </w:tc>
        <w:tc>
          <w:tcPr>
            <w:tcW w:w="0" w:type="auto"/>
            <w:tcBorders>
              <w:top w:val="single" w:sz="8" w:space="0" w:color="808080"/>
            </w:tcBorders>
            <w:shd w:val="clear" w:color="auto" w:fill="auto"/>
            <w:vAlign w:val="bottom"/>
          </w:tcPr>
          <w:p w14:paraId="606F81D2" w14:textId="77777777" w:rsidR="00FB67F9" w:rsidRDefault="00FB67F9">
            <w:pPr>
              <w:textAlignment w:val="bottom"/>
              <w:rPr>
                <w:rFonts w:ascii="Times New Roman" w:hAnsi="Times New Roman"/>
                <w:sz w:val="20"/>
                <w:szCs w:val="20"/>
              </w:rPr>
            </w:pPr>
          </w:p>
        </w:tc>
      </w:tr>
      <w:tr w:rsidR="00FB67F9" w14:paraId="606F81DB"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D4"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2023</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386</w:t>
            </w:r>
          </w:p>
        </w:tc>
        <w:tc>
          <w:tcPr>
            <w:tcW w:w="0" w:type="auto"/>
            <w:tcBorders>
              <w:top w:val="single" w:sz="8" w:space="0" w:color="808080"/>
              <w:bottom w:val="single" w:sz="8" w:space="0" w:color="808080"/>
            </w:tcBorders>
            <w:shd w:val="clear" w:color="auto" w:fill="auto"/>
            <w:vAlign w:val="bottom"/>
          </w:tcPr>
          <w:p w14:paraId="606F81D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w:t>
            </w:r>
          </w:p>
        </w:tc>
        <w:tc>
          <w:tcPr>
            <w:tcW w:w="0" w:type="auto"/>
            <w:tcBorders>
              <w:top w:val="single" w:sz="8" w:space="0" w:color="808080"/>
              <w:bottom w:val="single" w:sz="8" w:space="0" w:color="808080"/>
            </w:tcBorders>
            <w:shd w:val="clear" w:color="auto" w:fill="auto"/>
            <w:vAlign w:val="bottom"/>
          </w:tcPr>
          <w:p w14:paraId="606F81D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D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423</w:t>
            </w:r>
          </w:p>
        </w:tc>
        <w:tc>
          <w:tcPr>
            <w:tcW w:w="0" w:type="auto"/>
            <w:tcBorders>
              <w:top w:val="single" w:sz="8" w:space="0" w:color="808080"/>
              <w:bottom w:val="single" w:sz="8" w:space="0" w:color="808080"/>
            </w:tcBorders>
            <w:shd w:val="clear" w:color="auto" w:fill="auto"/>
            <w:vAlign w:val="bottom"/>
          </w:tcPr>
          <w:p w14:paraId="606F81DA" w14:textId="77777777" w:rsidR="00FB67F9" w:rsidRDefault="00FB67F9">
            <w:pPr>
              <w:textAlignment w:val="bottom"/>
              <w:rPr>
                <w:rFonts w:ascii="Times New Roman" w:hAnsi="Times New Roman"/>
                <w:sz w:val="20"/>
                <w:szCs w:val="20"/>
              </w:rPr>
            </w:pPr>
          </w:p>
        </w:tc>
      </w:tr>
      <w:tr w:rsidR="00FB67F9" w14:paraId="606F81E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1DC" w14:textId="77777777" w:rsidR="00FB67F9" w:rsidRDefault="00E839DF">
            <w:pPr>
              <w:textAlignment w:val="bottom"/>
              <w:rPr>
                <w:rFonts w:ascii="Times New Roman" w:hAnsi="Times New Roman"/>
                <w:sz w:val="17"/>
                <w:szCs w:val="17"/>
              </w:rPr>
            </w:pPr>
            <w:r>
              <w:rPr>
                <w:rFonts w:ascii="Arial" w:eastAsia="宋体" w:hAnsi="Arial" w:cs="Arial"/>
                <w:sz w:val="17"/>
                <w:szCs w:val="17"/>
              </w:rPr>
              <w:t>Fiscal 2024</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345</w:t>
            </w:r>
          </w:p>
        </w:tc>
        <w:tc>
          <w:tcPr>
            <w:tcW w:w="0" w:type="auto"/>
            <w:tcBorders>
              <w:top w:val="single" w:sz="8" w:space="0" w:color="808080"/>
              <w:bottom w:val="single" w:sz="8" w:space="0" w:color="808080"/>
            </w:tcBorders>
            <w:shd w:val="clear" w:color="auto" w:fill="auto"/>
            <w:vAlign w:val="bottom"/>
          </w:tcPr>
          <w:p w14:paraId="606F81D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D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vAlign w:val="bottom"/>
          </w:tcPr>
          <w:p w14:paraId="606F81E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1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379</w:t>
            </w:r>
          </w:p>
        </w:tc>
        <w:tc>
          <w:tcPr>
            <w:tcW w:w="0" w:type="auto"/>
            <w:tcBorders>
              <w:top w:val="single" w:sz="8" w:space="0" w:color="808080"/>
              <w:bottom w:val="single" w:sz="8" w:space="0" w:color="808080"/>
            </w:tcBorders>
            <w:shd w:val="clear" w:color="auto" w:fill="auto"/>
            <w:vAlign w:val="bottom"/>
          </w:tcPr>
          <w:p w14:paraId="606F81E2" w14:textId="77777777" w:rsidR="00FB67F9" w:rsidRDefault="00FB67F9">
            <w:pPr>
              <w:textAlignment w:val="bottom"/>
              <w:rPr>
                <w:rFonts w:ascii="Times New Roman" w:hAnsi="Times New Roman"/>
                <w:sz w:val="20"/>
                <w:szCs w:val="20"/>
              </w:rPr>
            </w:pPr>
          </w:p>
        </w:tc>
      </w:tr>
      <w:tr w:rsidR="00FB67F9" w14:paraId="606F81EB"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1E4" w14:textId="77777777" w:rsidR="00FB67F9" w:rsidRDefault="00E839DF">
            <w:pPr>
              <w:textAlignment w:val="bottom"/>
              <w:rPr>
                <w:rFonts w:ascii="Times New Roman" w:hAnsi="Times New Roman"/>
                <w:sz w:val="17"/>
                <w:szCs w:val="17"/>
              </w:rPr>
            </w:pPr>
            <w:r>
              <w:rPr>
                <w:rFonts w:ascii="Arial" w:eastAsia="宋体" w:hAnsi="Arial" w:cs="Arial"/>
                <w:sz w:val="17"/>
                <w:szCs w:val="17"/>
              </w:rPr>
              <w:t>Thereafter</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1E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1,494</w:t>
            </w:r>
          </w:p>
        </w:tc>
        <w:tc>
          <w:tcPr>
            <w:tcW w:w="0" w:type="auto"/>
            <w:tcBorders>
              <w:top w:val="single" w:sz="8" w:space="0" w:color="808080"/>
              <w:bottom w:val="single" w:sz="8" w:space="0" w:color="E87722"/>
            </w:tcBorders>
            <w:shd w:val="clear" w:color="auto" w:fill="auto"/>
            <w:vAlign w:val="bottom"/>
          </w:tcPr>
          <w:p w14:paraId="606F81E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1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197</w:t>
            </w:r>
          </w:p>
        </w:tc>
        <w:tc>
          <w:tcPr>
            <w:tcW w:w="0" w:type="auto"/>
            <w:tcBorders>
              <w:top w:val="single" w:sz="8" w:space="0" w:color="808080"/>
              <w:bottom w:val="single" w:sz="8" w:space="0" w:color="E87722"/>
            </w:tcBorders>
            <w:shd w:val="clear" w:color="auto" w:fill="auto"/>
            <w:vAlign w:val="bottom"/>
          </w:tcPr>
          <w:p w14:paraId="606F81E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1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1,691</w:t>
            </w:r>
          </w:p>
        </w:tc>
        <w:tc>
          <w:tcPr>
            <w:tcW w:w="0" w:type="auto"/>
            <w:tcBorders>
              <w:top w:val="single" w:sz="8" w:space="0" w:color="808080"/>
              <w:bottom w:val="single" w:sz="8" w:space="0" w:color="E87722"/>
            </w:tcBorders>
            <w:shd w:val="clear" w:color="auto" w:fill="auto"/>
            <w:vAlign w:val="bottom"/>
          </w:tcPr>
          <w:p w14:paraId="606F81EA" w14:textId="77777777" w:rsidR="00FB67F9" w:rsidRDefault="00FB67F9">
            <w:pPr>
              <w:textAlignment w:val="bottom"/>
              <w:rPr>
                <w:rFonts w:ascii="Times New Roman" w:hAnsi="Times New Roman"/>
                <w:sz w:val="20"/>
                <w:szCs w:val="20"/>
              </w:rPr>
            </w:pPr>
          </w:p>
        </w:tc>
      </w:tr>
      <w:tr w:rsidR="00FB67F9" w14:paraId="606F81F6"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1EC" w14:textId="77777777" w:rsidR="00FB67F9" w:rsidRDefault="00E839DF">
            <w:pPr>
              <w:textAlignment w:val="bottom"/>
              <w:rPr>
                <w:rFonts w:ascii="Times New Roman" w:hAnsi="Times New Roman"/>
                <w:sz w:val="16"/>
                <w:szCs w:val="16"/>
              </w:rPr>
            </w:pPr>
            <w:r>
              <w:rPr>
                <w:rFonts w:ascii="Arial" w:eastAsia="宋体" w:hAnsi="Arial" w:cs="Arial"/>
                <w:b/>
                <w:bCs/>
                <w:sz w:val="16"/>
                <w:szCs w:val="16"/>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1E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1E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3,732</w:t>
            </w:r>
          </w:p>
        </w:tc>
        <w:tc>
          <w:tcPr>
            <w:tcW w:w="0" w:type="auto"/>
            <w:tcBorders>
              <w:top w:val="single" w:sz="8" w:space="0" w:color="E87722"/>
              <w:bottom w:val="single" w:sz="8" w:space="0" w:color="E87722"/>
            </w:tcBorders>
            <w:shd w:val="clear" w:color="auto" w:fill="auto"/>
            <w:vAlign w:val="bottom"/>
          </w:tcPr>
          <w:p w14:paraId="606F81E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1F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1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374</w:t>
            </w:r>
          </w:p>
        </w:tc>
        <w:tc>
          <w:tcPr>
            <w:tcW w:w="0" w:type="auto"/>
            <w:tcBorders>
              <w:top w:val="single" w:sz="8" w:space="0" w:color="E87722"/>
              <w:bottom w:val="single" w:sz="8" w:space="0" w:color="E87722"/>
            </w:tcBorders>
            <w:shd w:val="clear" w:color="auto" w:fill="auto"/>
            <w:vAlign w:val="bottom"/>
          </w:tcPr>
          <w:p w14:paraId="606F81F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1F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1F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4,106</w:t>
            </w:r>
          </w:p>
        </w:tc>
        <w:tc>
          <w:tcPr>
            <w:tcW w:w="0" w:type="auto"/>
            <w:tcBorders>
              <w:top w:val="single" w:sz="8" w:space="0" w:color="E87722"/>
              <w:bottom w:val="single" w:sz="8" w:space="0" w:color="E87722"/>
            </w:tcBorders>
            <w:shd w:val="clear" w:color="auto" w:fill="auto"/>
            <w:vAlign w:val="bottom"/>
          </w:tcPr>
          <w:p w14:paraId="606F81F5" w14:textId="77777777" w:rsidR="00FB67F9" w:rsidRDefault="00FB67F9">
            <w:pPr>
              <w:textAlignment w:val="bottom"/>
              <w:rPr>
                <w:rFonts w:ascii="Times New Roman" w:hAnsi="Times New Roman"/>
                <w:sz w:val="20"/>
                <w:szCs w:val="20"/>
              </w:rPr>
            </w:pPr>
          </w:p>
        </w:tc>
      </w:tr>
    </w:tbl>
    <w:p w14:paraId="606F81F7"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6647"/>
      </w:tblGrid>
      <w:tr w:rsidR="00FB67F9" w14:paraId="606F81FA" w14:textId="77777777">
        <w:trPr>
          <w:tblCellSpacing w:w="0" w:type="dxa"/>
        </w:trPr>
        <w:tc>
          <w:tcPr>
            <w:tcW w:w="480" w:type="dxa"/>
            <w:shd w:val="clear" w:color="auto" w:fill="auto"/>
            <w:vAlign w:val="center"/>
          </w:tcPr>
          <w:p w14:paraId="606F81F8" w14:textId="77777777" w:rsidR="00FB67F9" w:rsidRDefault="00FB67F9">
            <w:pPr>
              <w:rPr>
                <w:rFonts w:ascii="Times New Roman" w:hAnsi="Times New Roman"/>
                <w:sz w:val="20"/>
                <w:szCs w:val="20"/>
              </w:rPr>
            </w:pPr>
          </w:p>
        </w:tc>
        <w:tc>
          <w:tcPr>
            <w:tcW w:w="0" w:type="auto"/>
            <w:shd w:val="clear" w:color="auto" w:fill="auto"/>
            <w:vAlign w:val="center"/>
          </w:tcPr>
          <w:p w14:paraId="606F81F9" w14:textId="77777777" w:rsidR="00FB67F9" w:rsidRDefault="00FB67F9">
            <w:pPr>
              <w:rPr>
                <w:rFonts w:ascii="Times New Roman" w:hAnsi="Times New Roman"/>
                <w:sz w:val="20"/>
                <w:szCs w:val="20"/>
              </w:rPr>
            </w:pPr>
          </w:p>
        </w:tc>
      </w:tr>
      <w:tr w:rsidR="00FB67F9" w14:paraId="606F81FD" w14:textId="77777777">
        <w:trPr>
          <w:tblCellSpacing w:w="0" w:type="dxa"/>
        </w:trPr>
        <w:tc>
          <w:tcPr>
            <w:tcW w:w="0" w:type="auto"/>
            <w:shd w:val="clear" w:color="auto" w:fill="auto"/>
          </w:tcPr>
          <w:p w14:paraId="606F81FB"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1FC"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Capital leases and other financing obligations include payments related to build-to-suit lease </w:t>
            </w:r>
            <w:r>
              <w:rPr>
                <w:rFonts w:ascii="Arial" w:eastAsia="宋体" w:hAnsi="Arial" w:cs="Arial"/>
                <w:i/>
                <w:iCs/>
                <w:color w:val="000000"/>
                <w:sz w:val="14"/>
                <w:szCs w:val="14"/>
              </w:rPr>
              <w:t>arrangements.</w:t>
            </w:r>
          </w:p>
        </w:tc>
      </w:tr>
    </w:tbl>
    <w:p w14:paraId="606F81FE"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following table includes the weighted average remaining lease terms, in years, and the weighted average discount rate used to calculate the present value of operating lease liabilities:</w:t>
      </w:r>
    </w:p>
    <w:tbl>
      <w:tblPr>
        <w:tblW w:w="5000" w:type="pct"/>
        <w:tblCellMar>
          <w:left w:w="0" w:type="dxa"/>
          <w:right w:w="0" w:type="dxa"/>
        </w:tblCellMar>
        <w:tblLook w:val="04A0" w:firstRow="1" w:lastRow="0" w:firstColumn="1" w:lastColumn="0" w:noHBand="0" w:noVBand="1"/>
      </w:tblPr>
      <w:tblGrid>
        <w:gridCol w:w="6839"/>
        <w:gridCol w:w="1275"/>
        <w:gridCol w:w="192"/>
      </w:tblGrid>
      <w:tr w:rsidR="00FB67F9" w14:paraId="606F8200" w14:textId="77777777">
        <w:tc>
          <w:tcPr>
            <w:tcW w:w="0" w:type="auto"/>
            <w:gridSpan w:val="3"/>
            <w:shd w:val="clear" w:color="auto" w:fill="auto"/>
            <w:vAlign w:val="center"/>
          </w:tcPr>
          <w:p w14:paraId="606F81FF" w14:textId="77777777" w:rsidR="00FB67F9" w:rsidRDefault="00FB67F9">
            <w:pPr>
              <w:rPr>
                <w:rFonts w:ascii="Times New Roman" w:hAnsi="Times New Roman"/>
                <w:sz w:val="20"/>
                <w:szCs w:val="20"/>
              </w:rPr>
            </w:pPr>
          </w:p>
        </w:tc>
      </w:tr>
      <w:tr w:rsidR="00FB67F9" w14:paraId="606F8204" w14:textId="77777777">
        <w:tc>
          <w:tcPr>
            <w:tcW w:w="4150" w:type="pct"/>
            <w:shd w:val="clear" w:color="auto" w:fill="auto"/>
            <w:vAlign w:val="center"/>
          </w:tcPr>
          <w:p w14:paraId="606F8201" w14:textId="77777777" w:rsidR="00FB67F9" w:rsidRDefault="00FB67F9">
            <w:pPr>
              <w:rPr>
                <w:rFonts w:ascii="Times New Roman" w:hAnsi="Times New Roman"/>
                <w:sz w:val="20"/>
                <w:szCs w:val="20"/>
              </w:rPr>
            </w:pPr>
          </w:p>
        </w:tc>
        <w:tc>
          <w:tcPr>
            <w:tcW w:w="800" w:type="pct"/>
            <w:shd w:val="clear" w:color="auto" w:fill="auto"/>
            <w:vAlign w:val="center"/>
          </w:tcPr>
          <w:p w14:paraId="606F8202" w14:textId="77777777" w:rsidR="00FB67F9" w:rsidRDefault="00FB67F9">
            <w:pPr>
              <w:rPr>
                <w:rFonts w:ascii="Times New Roman" w:hAnsi="Times New Roman"/>
                <w:sz w:val="20"/>
                <w:szCs w:val="20"/>
              </w:rPr>
            </w:pPr>
          </w:p>
        </w:tc>
        <w:tc>
          <w:tcPr>
            <w:tcW w:w="50" w:type="pct"/>
            <w:shd w:val="clear" w:color="auto" w:fill="auto"/>
            <w:vAlign w:val="center"/>
          </w:tcPr>
          <w:p w14:paraId="606F8203" w14:textId="77777777" w:rsidR="00FB67F9" w:rsidRDefault="00FB67F9">
            <w:pPr>
              <w:rPr>
                <w:rFonts w:ascii="Times New Roman" w:hAnsi="Times New Roman"/>
                <w:sz w:val="20"/>
                <w:szCs w:val="20"/>
              </w:rPr>
            </w:pPr>
          </w:p>
        </w:tc>
      </w:tr>
      <w:tr w:rsidR="00FB67F9" w14:paraId="606F8207" w14:textId="77777777">
        <w:tc>
          <w:tcPr>
            <w:tcW w:w="0" w:type="auto"/>
            <w:shd w:val="clear" w:color="auto" w:fill="auto"/>
            <w:tcMar>
              <w:top w:w="40" w:type="dxa"/>
              <w:left w:w="40" w:type="dxa"/>
              <w:bottom w:w="40" w:type="dxa"/>
              <w:right w:w="40" w:type="dxa"/>
            </w:tcMar>
            <w:vAlign w:val="bottom"/>
          </w:tcPr>
          <w:p w14:paraId="606F820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606F820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NOVEMBER 30,</w:t>
            </w:r>
          </w:p>
        </w:tc>
      </w:tr>
      <w:tr w:rsidR="00FB67F9" w14:paraId="606F820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20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20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FB67F9" w14:paraId="606F820E" w14:textId="77777777">
        <w:tc>
          <w:tcPr>
            <w:tcW w:w="0" w:type="auto"/>
            <w:tcBorders>
              <w:bottom w:val="single" w:sz="8" w:space="0" w:color="808080"/>
            </w:tcBorders>
            <w:shd w:val="clear" w:color="auto" w:fill="auto"/>
            <w:tcMar>
              <w:top w:w="40" w:type="dxa"/>
              <w:left w:w="40" w:type="dxa"/>
              <w:bottom w:w="40" w:type="dxa"/>
              <w:right w:w="40" w:type="dxa"/>
            </w:tcMar>
            <w:vAlign w:val="bottom"/>
          </w:tcPr>
          <w:p w14:paraId="606F820B" w14:textId="77777777" w:rsidR="00FB67F9" w:rsidRDefault="00E839DF">
            <w:pPr>
              <w:textAlignment w:val="bottom"/>
              <w:rPr>
                <w:rFonts w:ascii="Times New Roman" w:hAnsi="Times New Roman"/>
                <w:sz w:val="17"/>
                <w:szCs w:val="17"/>
              </w:rPr>
            </w:pPr>
            <w:r>
              <w:rPr>
                <w:rFonts w:ascii="Arial" w:eastAsia="宋体" w:hAnsi="Arial" w:cs="Arial"/>
                <w:sz w:val="17"/>
                <w:szCs w:val="17"/>
              </w:rPr>
              <w:t>Weighted-average remaining lease term (years)</w:t>
            </w:r>
          </w:p>
        </w:tc>
        <w:tc>
          <w:tcPr>
            <w:tcW w:w="0" w:type="auto"/>
            <w:shd w:val="clear" w:color="auto" w:fill="FFF1E7"/>
            <w:tcMar>
              <w:top w:w="40" w:type="dxa"/>
              <w:left w:w="40" w:type="dxa"/>
              <w:bottom w:w="40" w:type="dxa"/>
            </w:tcMar>
            <w:vAlign w:val="bottom"/>
          </w:tcPr>
          <w:p w14:paraId="606F820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w:t>
            </w:r>
          </w:p>
        </w:tc>
        <w:tc>
          <w:tcPr>
            <w:tcW w:w="0" w:type="auto"/>
            <w:shd w:val="clear" w:color="auto" w:fill="FFF1E7"/>
            <w:vAlign w:val="bottom"/>
          </w:tcPr>
          <w:p w14:paraId="606F820D" w14:textId="77777777" w:rsidR="00FB67F9" w:rsidRDefault="00FB67F9">
            <w:pPr>
              <w:textAlignment w:val="bottom"/>
              <w:rPr>
                <w:rFonts w:ascii="Times New Roman" w:hAnsi="Times New Roman"/>
                <w:sz w:val="20"/>
                <w:szCs w:val="20"/>
              </w:rPr>
            </w:pPr>
          </w:p>
        </w:tc>
      </w:tr>
      <w:tr w:rsidR="00FB67F9" w14:paraId="606F8212"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20F" w14:textId="77777777" w:rsidR="00FB67F9" w:rsidRDefault="00E839DF">
            <w:pPr>
              <w:textAlignment w:val="bottom"/>
              <w:rPr>
                <w:rFonts w:ascii="Times New Roman" w:hAnsi="Times New Roman"/>
                <w:sz w:val="17"/>
                <w:szCs w:val="17"/>
              </w:rPr>
            </w:pPr>
            <w:r>
              <w:rPr>
                <w:rFonts w:ascii="Arial" w:eastAsia="宋体" w:hAnsi="Arial" w:cs="Arial"/>
                <w:sz w:val="17"/>
                <w:szCs w:val="17"/>
              </w:rPr>
              <w:t>Weighted-average discount rate</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821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21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bl>
    <w:p w14:paraId="606F8213" w14:textId="77777777" w:rsidR="00FB67F9" w:rsidRDefault="00FB67F9">
      <w:pPr>
        <w:spacing w:line="312" w:lineRule="auto"/>
        <w:rPr>
          <w:rFonts w:ascii="Times New Roman" w:hAnsi="Times New Roman"/>
          <w:sz w:val="20"/>
          <w:szCs w:val="20"/>
        </w:rPr>
      </w:pPr>
    </w:p>
    <w:p w14:paraId="606F8214"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following table includes supplemental cash and non-cash information related to operating leases:</w:t>
      </w:r>
    </w:p>
    <w:tbl>
      <w:tblPr>
        <w:tblW w:w="5000" w:type="pct"/>
        <w:tblCellMar>
          <w:left w:w="0" w:type="dxa"/>
          <w:right w:w="0" w:type="dxa"/>
        </w:tblCellMar>
        <w:tblLook w:val="04A0" w:firstRow="1" w:lastRow="0" w:firstColumn="1" w:lastColumn="0" w:noHBand="0" w:noVBand="1"/>
      </w:tblPr>
      <w:tblGrid>
        <w:gridCol w:w="6876"/>
        <w:gridCol w:w="136"/>
        <w:gridCol w:w="1228"/>
        <w:gridCol w:w="66"/>
      </w:tblGrid>
      <w:tr w:rsidR="00FB67F9" w14:paraId="606F8216" w14:textId="77777777">
        <w:tc>
          <w:tcPr>
            <w:tcW w:w="0" w:type="auto"/>
            <w:gridSpan w:val="4"/>
            <w:shd w:val="clear" w:color="auto" w:fill="auto"/>
            <w:vAlign w:val="center"/>
          </w:tcPr>
          <w:p w14:paraId="606F8215" w14:textId="77777777" w:rsidR="00FB67F9" w:rsidRDefault="00FB67F9">
            <w:pPr>
              <w:rPr>
                <w:rFonts w:ascii="Times New Roman" w:hAnsi="Times New Roman"/>
                <w:sz w:val="20"/>
                <w:szCs w:val="20"/>
              </w:rPr>
            </w:pPr>
          </w:p>
        </w:tc>
      </w:tr>
      <w:tr w:rsidR="00FB67F9" w14:paraId="606F821B" w14:textId="77777777">
        <w:tc>
          <w:tcPr>
            <w:tcW w:w="4150" w:type="pct"/>
            <w:shd w:val="clear" w:color="auto" w:fill="auto"/>
            <w:vAlign w:val="center"/>
          </w:tcPr>
          <w:p w14:paraId="606F8217" w14:textId="77777777" w:rsidR="00FB67F9" w:rsidRDefault="00FB67F9">
            <w:pPr>
              <w:rPr>
                <w:rFonts w:ascii="Times New Roman" w:hAnsi="Times New Roman"/>
                <w:sz w:val="20"/>
                <w:szCs w:val="20"/>
              </w:rPr>
            </w:pPr>
          </w:p>
        </w:tc>
        <w:tc>
          <w:tcPr>
            <w:tcW w:w="50" w:type="pct"/>
            <w:shd w:val="clear" w:color="auto" w:fill="auto"/>
            <w:vAlign w:val="center"/>
          </w:tcPr>
          <w:p w14:paraId="606F8218" w14:textId="77777777" w:rsidR="00FB67F9" w:rsidRDefault="00FB67F9">
            <w:pPr>
              <w:rPr>
                <w:rFonts w:ascii="Times New Roman" w:hAnsi="Times New Roman"/>
                <w:sz w:val="20"/>
                <w:szCs w:val="20"/>
              </w:rPr>
            </w:pPr>
          </w:p>
        </w:tc>
        <w:tc>
          <w:tcPr>
            <w:tcW w:w="750" w:type="pct"/>
            <w:shd w:val="clear" w:color="auto" w:fill="auto"/>
            <w:vAlign w:val="center"/>
          </w:tcPr>
          <w:p w14:paraId="606F8219" w14:textId="77777777" w:rsidR="00FB67F9" w:rsidRDefault="00FB67F9">
            <w:pPr>
              <w:rPr>
                <w:rFonts w:ascii="Times New Roman" w:hAnsi="Times New Roman"/>
                <w:sz w:val="20"/>
                <w:szCs w:val="20"/>
              </w:rPr>
            </w:pPr>
          </w:p>
        </w:tc>
        <w:tc>
          <w:tcPr>
            <w:tcW w:w="50" w:type="pct"/>
            <w:shd w:val="clear" w:color="auto" w:fill="auto"/>
            <w:vAlign w:val="center"/>
          </w:tcPr>
          <w:p w14:paraId="606F821A" w14:textId="77777777" w:rsidR="00FB67F9" w:rsidRDefault="00FB67F9">
            <w:pPr>
              <w:rPr>
                <w:rFonts w:ascii="Times New Roman" w:hAnsi="Times New Roman"/>
                <w:sz w:val="20"/>
                <w:szCs w:val="20"/>
              </w:rPr>
            </w:pPr>
          </w:p>
        </w:tc>
      </w:tr>
      <w:tr w:rsidR="00FB67F9" w14:paraId="606F821E" w14:textId="77777777">
        <w:tc>
          <w:tcPr>
            <w:tcW w:w="0" w:type="auto"/>
            <w:shd w:val="clear" w:color="auto" w:fill="auto"/>
            <w:tcMar>
              <w:top w:w="40" w:type="dxa"/>
              <w:left w:w="40" w:type="dxa"/>
              <w:bottom w:w="40" w:type="dxa"/>
              <w:right w:w="40" w:type="dxa"/>
            </w:tcMar>
            <w:vAlign w:val="bottom"/>
          </w:tcPr>
          <w:p w14:paraId="606F821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21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22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21F"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22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FB67F9" w14:paraId="606F8224" w14:textId="77777777">
        <w:tc>
          <w:tcPr>
            <w:tcW w:w="0" w:type="auto"/>
            <w:shd w:val="clear" w:color="auto" w:fill="auto"/>
            <w:tcMar>
              <w:top w:w="40" w:type="dxa"/>
              <w:left w:w="40" w:type="dxa"/>
              <w:bottom w:w="40" w:type="dxa"/>
              <w:right w:w="40" w:type="dxa"/>
            </w:tcMar>
            <w:vAlign w:val="bottom"/>
          </w:tcPr>
          <w:p w14:paraId="606F8222" w14:textId="77777777" w:rsidR="00FB67F9" w:rsidRDefault="00E839DF">
            <w:pPr>
              <w:textAlignment w:val="bottom"/>
              <w:rPr>
                <w:rFonts w:ascii="Times New Roman" w:hAnsi="Times New Roman"/>
                <w:sz w:val="17"/>
                <w:szCs w:val="17"/>
              </w:rPr>
            </w:pPr>
            <w:r>
              <w:rPr>
                <w:rFonts w:ascii="Arial" w:eastAsia="宋体" w:hAnsi="Arial" w:cs="Arial"/>
                <w:sz w:val="17"/>
                <w:szCs w:val="17"/>
              </w:rPr>
              <w:t>Cash paid for amounts included in the measurement of lease liabilities:</w:t>
            </w:r>
          </w:p>
        </w:tc>
        <w:tc>
          <w:tcPr>
            <w:tcW w:w="0" w:type="auto"/>
            <w:gridSpan w:val="3"/>
            <w:shd w:val="clear" w:color="auto" w:fill="FFF1E7"/>
            <w:tcMar>
              <w:top w:w="40" w:type="dxa"/>
              <w:left w:w="40" w:type="dxa"/>
              <w:bottom w:w="40" w:type="dxa"/>
              <w:right w:w="40" w:type="dxa"/>
            </w:tcMar>
            <w:vAlign w:val="bottom"/>
          </w:tcPr>
          <w:p w14:paraId="606F822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22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225" w14:textId="77777777" w:rsidR="00FB67F9" w:rsidRDefault="00E839DF">
            <w:pPr>
              <w:textAlignment w:val="bottom"/>
              <w:rPr>
                <w:rFonts w:ascii="Times New Roman" w:hAnsi="Times New Roman"/>
                <w:sz w:val="17"/>
                <w:szCs w:val="17"/>
              </w:rPr>
            </w:pPr>
            <w:r>
              <w:rPr>
                <w:rFonts w:ascii="Arial" w:eastAsia="宋体" w:hAnsi="Arial" w:cs="Arial"/>
                <w:sz w:val="17"/>
                <w:szCs w:val="17"/>
              </w:rPr>
              <w:t>Operating cash flows from operating leases</w:t>
            </w:r>
          </w:p>
        </w:tc>
        <w:tc>
          <w:tcPr>
            <w:tcW w:w="0" w:type="auto"/>
            <w:tcBorders>
              <w:top w:val="single" w:sz="8" w:space="0" w:color="808080"/>
            </w:tcBorders>
            <w:shd w:val="clear" w:color="auto" w:fill="FFF1E7"/>
            <w:tcMar>
              <w:top w:w="40" w:type="dxa"/>
              <w:left w:w="40" w:type="dxa"/>
              <w:bottom w:w="40" w:type="dxa"/>
            </w:tcMar>
            <w:vAlign w:val="bottom"/>
          </w:tcPr>
          <w:p w14:paraId="606F822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22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271</w:t>
            </w:r>
          </w:p>
        </w:tc>
        <w:tc>
          <w:tcPr>
            <w:tcW w:w="0" w:type="auto"/>
            <w:tcBorders>
              <w:top w:val="single" w:sz="8" w:space="0" w:color="808080"/>
            </w:tcBorders>
            <w:shd w:val="clear" w:color="auto" w:fill="FFF1E7"/>
            <w:vAlign w:val="bottom"/>
          </w:tcPr>
          <w:p w14:paraId="606F8228" w14:textId="77777777" w:rsidR="00FB67F9" w:rsidRDefault="00FB67F9">
            <w:pPr>
              <w:textAlignment w:val="bottom"/>
              <w:rPr>
                <w:rFonts w:ascii="Times New Roman" w:hAnsi="Times New Roman"/>
                <w:sz w:val="20"/>
                <w:szCs w:val="20"/>
              </w:rPr>
            </w:pPr>
          </w:p>
        </w:tc>
      </w:tr>
      <w:tr w:rsidR="00FB67F9" w14:paraId="606F822E"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22A" w14:textId="77777777" w:rsidR="00FB67F9" w:rsidRDefault="00E839DF">
            <w:pPr>
              <w:textAlignment w:val="bottom"/>
              <w:rPr>
                <w:rFonts w:ascii="Times New Roman" w:hAnsi="Times New Roman"/>
                <w:sz w:val="17"/>
                <w:szCs w:val="17"/>
              </w:rPr>
            </w:pPr>
            <w:r>
              <w:rPr>
                <w:rFonts w:ascii="Arial" w:eastAsia="宋体" w:hAnsi="Arial" w:cs="Arial"/>
                <w:sz w:val="17"/>
                <w:szCs w:val="17"/>
              </w:rPr>
              <w:t>Operating lease right-of-use assets obtained in exchange for new operating lease liabilities</w:t>
            </w:r>
            <w:r>
              <w:rPr>
                <w:rFonts w:ascii="Arial" w:eastAsia="宋体" w:hAnsi="Arial" w:cs="Arial"/>
                <w:sz w:val="15"/>
                <w:szCs w:val="15"/>
              </w:rPr>
              <w:t>(1)</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822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606F822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192</w:t>
            </w:r>
          </w:p>
        </w:tc>
        <w:tc>
          <w:tcPr>
            <w:tcW w:w="0" w:type="auto"/>
            <w:tcBorders>
              <w:top w:val="single" w:sz="8" w:space="0" w:color="808080"/>
              <w:bottom w:val="single" w:sz="8" w:space="0" w:color="E87722"/>
            </w:tcBorders>
            <w:shd w:val="clear" w:color="auto" w:fill="FFF1E7"/>
            <w:vAlign w:val="bottom"/>
          </w:tcPr>
          <w:p w14:paraId="606F822D" w14:textId="77777777" w:rsidR="00FB67F9" w:rsidRDefault="00FB67F9">
            <w:pPr>
              <w:textAlignment w:val="bottom"/>
              <w:rPr>
                <w:rFonts w:ascii="Times New Roman" w:hAnsi="Times New Roman"/>
                <w:sz w:val="20"/>
                <w:szCs w:val="20"/>
              </w:rPr>
            </w:pPr>
          </w:p>
        </w:tc>
      </w:tr>
    </w:tbl>
    <w:p w14:paraId="606F822F"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5308"/>
      </w:tblGrid>
      <w:tr w:rsidR="00FB67F9" w14:paraId="606F8232" w14:textId="77777777">
        <w:trPr>
          <w:tblCellSpacing w:w="0" w:type="dxa"/>
        </w:trPr>
        <w:tc>
          <w:tcPr>
            <w:tcW w:w="480" w:type="dxa"/>
            <w:shd w:val="clear" w:color="auto" w:fill="auto"/>
            <w:vAlign w:val="center"/>
          </w:tcPr>
          <w:p w14:paraId="606F8230" w14:textId="77777777" w:rsidR="00FB67F9" w:rsidRDefault="00FB67F9">
            <w:pPr>
              <w:rPr>
                <w:rFonts w:ascii="Times New Roman" w:hAnsi="Times New Roman"/>
                <w:sz w:val="20"/>
                <w:szCs w:val="20"/>
              </w:rPr>
            </w:pPr>
          </w:p>
        </w:tc>
        <w:tc>
          <w:tcPr>
            <w:tcW w:w="0" w:type="auto"/>
            <w:shd w:val="clear" w:color="auto" w:fill="auto"/>
            <w:vAlign w:val="center"/>
          </w:tcPr>
          <w:p w14:paraId="606F8231" w14:textId="77777777" w:rsidR="00FB67F9" w:rsidRDefault="00FB67F9">
            <w:pPr>
              <w:rPr>
                <w:rFonts w:ascii="Times New Roman" w:hAnsi="Times New Roman"/>
                <w:sz w:val="20"/>
                <w:szCs w:val="20"/>
              </w:rPr>
            </w:pPr>
          </w:p>
        </w:tc>
      </w:tr>
      <w:tr w:rsidR="00FB67F9" w14:paraId="606F8235" w14:textId="77777777">
        <w:trPr>
          <w:tblCellSpacing w:w="0" w:type="dxa"/>
        </w:trPr>
        <w:tc>
          <w:tcPr>
            <w:tcW w:w="0" w:type="auto"/>
            <w:shd w:val="clear" w:color="auto" w:fill="auto"/>
          </w:tcPr>
          <w:p w14:paraId="606F8233"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234"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Excludes the amount initially capitalized in conjunction with the adoption of Topic 842.</w:t>
            </w:r>
          </w:p>
        </w:tc>
      </w:tr>
    </w:tbl>
    <w:p w14:paraId="606F8236" w14:textId="77777777" w:rsidR="00FB67F9" w:rsidRDefault="00FB67F9">
      <w:pPr>
        <w:rPr>
          <w:rFonts w:ascii="Times New Roman" w:hAnsi="Times New Roman"/>
          <w:sz w:val="20"/>
          <w:szCs w:val="20"/>
        </w:rPr>
      </w:pPr>
    </w:p>
    <w:p w14:paraId="606F8237"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25</w:t>
      </w:r>
    </w:p>
    <w:p w14:paraId="606F8238" w14:textId="77777777" w:rsidR="00FB67F9" w:rsidRDefault="00E839DF">
      <w:r>
        <w:rPr>
          <w:rFonts w:ascii="Times New Roman" w:hAnsi="Times New Roman"/>
          <w:sz w:val="17"/>
          <w:szCs w:val="17"/>
        </w:rPr>
        <w:pict w14:anchorId="606F8F96">
          <v:rect id="_x0000_i1051" style="width:415.3pt;height:1.5pt" o:hralign="center" o:hrstd="t" o:hr="t" fillcolor="#a0a0a0" stroked="f"/>
        </w:pict>
      </w:r>
    </w:p>
    <w:p w14:paraId="606F8239" w14:textId="77777777" w:rsidR="00FB67F9" w:rsidRDefault="00FB67F9">
      <w:pPr>
        <w:rPr>
          <w:rFonts w:ascii="Times New Roman" w:hAnsi="Times New Roman"/>
          <w:sz w:val="17"/>
          <w:szCs w:val="17"/>
        </w:rPr>
      </w:pPr>
    </w:p>
    <w:p w14:paraId="606F823A" w14:textId="77777777" w:rsidR="00FB67F9" w:rsidRDefault="00E839DF">
      <w:pPr>
        <w:rPr>
          <w:rFonts w:ascii="Times New Roman" w:hAnsi="Times New Roman"/>
          <w:sz w:val="17"/>
          <w:szCs w:val="17"/>
        </w:rPr>
      </w:pPr>
      <w:hyperlink r:id="rId95" w:anchor="s42C493F7582652B69E70047AB812E6A5" w:history="1">
        <w:r>
          <w:rPr>
            <w:rStyle w:val="a5"/>
            <w:rFonts w:ascii="sans-serif" w:eastAsia="sans-serif" w:hAnsi="sans-serif" w:cs="sans-serif"/>
            <w:sz w:val="17"/>
            <w:szCs w:val="17"/>
          </w:rPr>
          <w:t xml:space="preserve">Table of </w:t>
        </w:r>
        <w:r>
          <w:rPr>
            <w:rStyle w:val="a5"/>
            <w:rFonts w:ascii="sans-serif" w:eastAsia="sans-serif" w:hAnsi="sans-serif" w:cs="sans-serif"/>
            <w:sz w:val="17"/>
            <w:szCs w:val="17"/>
          </w:rPr>
          <w:t>Contents</w:t>
        </w:r>
      </w:hyperlink>
    </w:p>
    <w:p w14:paraId="606F823B" w14:textId="77777777" w:rsidR="00FB67F9" w:rsidRDefault="00FB67F9">
      <w:pPr>
        <w:rPr>
          <w:rFonts w:ascii="Times New Roman" w:hAnsi="Times New Roman"/>
          <w:sz w:val="17"/>
          <w:szCs w:val="17"/>
        </w:rPr>
      </w:pPr>
    </w:p>
    <w:p w14:paraId="606F823C" w14:textId="77777777" w:rsidR="00FB67F9" w:rsidRDefault="00FB67F9">
      <w:pPr>
        <w:rPr>
          <w:rFonts w:ascii="Times New Roman" w:hAnsi="Times New Roman"/>
          <w:sz w:val="20"/>
          <w:szCs w:val="20"/>
        </w:rPr>
      </w:pPr>
    </w:p>
    <w:p w14:paraId="606F823D"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2. MANAGEMENT'S DISCUSSION AND ANALYSIS OF FINANCIAL CONDITION AND RESULTS OF OPERATIONS</w:t>
      </w:r>
    </w:p>
    <w:p w14:paraId="606F823E"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OVERVIEW</w:t>
      </w:r>
    </w:p>
    <w:p w14:paraId="606F823F"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NIKE designs, develops, markets and sells athletic footwear, apparel, equipment, accessories and services worldwide. We are the largest seller of athletic footwear and apparel in the world. We sell our products through NIKE-owned retail stores and through </w:t>
      </w:r>
      <w:r>
        <w:rPr>
          <w:rFonts w:ascii="Arial" w:eastAsia="宋体" w:hAnsi="Arial" w:cs="Arial"/>
          <w:sz w:val="17"/>
          <w:szCs w:val="17"/>
        </w:rPr>
        <w:t>digital platforms (which we refer to collectively as our “NIKE Direct” operations), to retail accounts and to a mix of independent distributors, licensees and sales representatives in virtually all countries around the world. Our goal is to deliver value t</w:t>
      </w:r>
      <w:r>
        <w:rPr>
          <w:rFonts w:ascii="Arial" w:eastAsia="宋体" w:hAnsi="Arial" w:cs="Arial"/>
          <w:sz w:val="17"/>
          <w:szCs w:val="17"/>
        </w:rPr>
        <w:t>o our shareholders by building a profitable global portfolio of branded footwear, apparel, equipment and accessories businesses. Our strategy is to achieve long-term revenue growth by creating innovative, “must-have” products, building deep personal consum</w:t>
      </w:r>
      <w:r>
        <w:rPr>
          <w:rFonts w:ascii="Arial" w:eastAsia="宋体" w:hAnsi="Arial" w:cs="Arial"/>
          <w:sz w:val="17"/>
          <w:szCs w:val="17"/>
        </w:rPr>
        <w:t>er connections with our brands and delivering compelling consumer experiences through digital platforms and at retail. Through the Consumer Direct Offense, we are focusing on our Triple Double strategy, with the objective of doubling the impact of innovati</w:t>
      </w:r>
      <w:r>
        <w:rPr>
          <w:rFonts w:ascii="Arial" w:eastAsia="宋体" w:hAnsi="Arial" w:cs="Arial"/>
          <w:sz w:val="17"/>
          <w:szCs w:val="17"/>
        </w:rPr>
        <w:t xml:space="preserve">on, increasing our speed to market and growing our direct connections with consumers. </w:t>
      </w:r>
    </w:p>
    <w:p w14:paraId="606F824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For the second quarter of fiscal 2020, NIKE, Inc. </w:t>
      </w:r>
      <w:r>
        <w:rPr>
          <w:rFonts w:ascii="Arial" w:eastAsia="宋体" w:hAnsi="Arial" w:cs="Arial"/>
          <w:i/>
          <w:iCs/>
          <w:sz w:val="17"/>
          <w:szCs w:val="17"/>
        </w:rPr>
        <w:t>Revenues</w:t>
      </w:r>
      <w:r>
        <w:rPr>
          <w:rFonts w:ascii="Arial" w:eastAsia="宋体" w:hAnsi="Arial" w:cs="Arial"/>
          <w:sz w:val="17"/>
          <w:szCs w:val="17"/>
        </w:rPr>
        <w:t xml:space="preserve"> increased 10% to $10.3 billion compared to the second quarter of fiscal 2019</w:t>
      </w:r>
      <w:r>
        <w:rPr>
          <w:rFonts w:ascii="Arial" w:eastAsia="宋体" w:hAnsi="Arial" w:cs="Arial"/>
          <w:sz w:val="17"/>
          <w:szCs w:val="17"/>
          <w:shd w:val="clear" w:color="auto" w:fill="FFFFFF"/>
        </w:rPr>
        <w:t>.</w:t>
      </w:r>
      <w:r>
        <w:rPr>
          <w:rFonts w:ascii="Arial" w:eastAsia="宋体" w:hAnsi="Arial" w:cs="Arial"/>
          <w:sz w:val="17"/>
          <w:szCs w:val="17"/>
        </w:rPr>
        <w:t xml:space="preserve"> On a currency-neutral basis, </w:t>
      </w:r>
      <w:r>
        <w:rPr>
          <w:rFonts w:ascii="Arial" w:eastAsia="宋体" w:hAnsi="Arial" w:cs="Arial"/>
          <w:i/>
          <w:iCs/>
          <w:sz w:val="17"/>
          <w:szCs w:val="17"/>
        </w:rPr>
        <w:t>Rev</w:t>
      </w:r>
      <w:r>
        <w:rPr>
          <w:rFonts w:ascii="Arial" w:eastAsia="宋体" w:hAnsi="Arial" w:cs="Arial"/>
          <w:i/>
          <w:iCs/>
          <w:sz w:val="17"/>
          <w:szCs w:val="17"/>
        </w:rPr>
        <w:t>enues</w:t>
      </w:r>
      <w:r>
        <w:rPr>
          <w:rFonts w:ascii="Arial" w:eastAsia="宋体" w:hAnsi="Arial" w:cs="Arial"/>
          <w:sz w:val="17"/>
          <w:szCs w:val="17"/>
        </w:rPr>
        <w:t xml:space="preserve"> increased 13%. </w:t>
      </w:r>
      <w:r>
        <w:rPr>
          <w:rFonts w:ascii="Arial" w:eastAsia="宋体" w:hAnsi="Arial" w:cs="Arial"/>
          <w:i/>
          <w:iCs/>
          <w:sz w:val="17"/>
          <w:szCs w:val="17"/>
        </w:rPr>
        <w:t>Net income</w:t>
      </w:r>
      <w:r>
        <w:rPr>
          <w:rFonts w:ascii="Arial" w:eastAsia="宋体" w:hAnsi="Arial" w:cs="Arial"/>
          <w:sz w:val="17"/>
          <w:szCs w:val="17"/>
        </w:rPr>
        <w:t xml:space="preserve"> was $1.1 billion and diluted earnings per common share was $0.70 for the second quarter of fiscal 2020, compared to </w:t>
      </w:r>
      <w:r>
        <w:rPr>
          <w:rFonts w:ascii="Arial" w:eastAsia="宋体" w:hAnsi="Arial" w:cs="Arial"/>
          <w:i/>
          <w:iCs/>
          <w:sz w:val="17"/>
          <w:szCs w:val="17"/>
        </w:rPr>
        <w:t>Net income</w:t>
      </w:r>
      <w:r>
        <w:rPr>
          <w:rFonts w:ascii="Arial" w:eastAsia="宋体" w:hAnsi="Arial" w:cs="Arial"/>
          <w:sz w:val="17"/>
          <w:szCs w:val="17"/>
        </w:rPr>
        <w:t xml:space="preserve"> of $847 million and diluted earnings per common share of $0.52 for the second quarter of fiscal 2</w:t>
      </w:r>
      <w:r>
        <w:rPr>
          <w:rFonts w:ascii="Arial" w:eastAsia="宋体" w:hAnsi="Arial" w:cs="Arial"/>
          <w:sz w:val="17"/>
          <w:szCs w:val="17"/>
        </w:rPr>
        <w:t>019.</w:t>
      </w:r>
    </w:p>
    <w:p w14:paraId="606F8241"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Income before income taxes</w:t>
      </w:r>
      <w:r>
        <w:rPr>
          <w:rFonts w:ascii="Arial" w:eastAsia="宋体" w:hAnsi="Arial" w:cs="Arial"/>
          <w:sz w:val="17"/>
          <w:szCs w:val="17"/>
        </w:rPr>
        <w:t xml:space="preserve"> increased 25% compared to the second quarter of fiscal 2019, driven by revenue growth, gross margin expansion and selling and administrative expense leverage. The NIKE Brand, which represents over 90% of NIKE, Inc. </w:t>
      </w:r>
      <w:r>
        <w:rPr>
          <w:rFonts w:ascii="Arial" w:eastAsia="宋体" w:hAnsi="Arial" w:cs="Arial"/>
          <w:i/>
          <w:iCs/>
          <w:sz w:val="17"/>
          <w:szCs w:val="17"/>
        </w:rPr>
        <w:t>Revenues</w:t>
      </w:r>
      <w:r>
        <w:rPr>
          <w:rFonts w:ascii="Arial" w:eastAsia="宋体" w:hAnsi="Arial" w:cs="Arial"/>
          <w:sz w:val="17"/>
          <w:szCs w:val="17"/>
        </w:rPr>
        <w:t>,</w:t>
      </w:r>
      <w:r>
        <w:rPr>
          <w:rFonts w:ascii="Arial" w:eastAsia="宋体" w:hAnsi="Arial" w:cs="Arial"/>
          <w:sz w:val="17"/>
          <w:szCs w:val="17"/>
        </w:rPr>
        <w:t xml:space="preserve"> delivered 10% revenue growth. On a currency-neutral basis, NIKE Brand revenues grew 12%</w:t>
      </w:r>
      <w:r>
        <w:rPr>
          <w:rFonts w:ascii="Arial" w:eastAsia="宋体" w:hAnsi="Arial" w:cs="Arial"/>
          <w:sz w:val="17"/>
          <w:szCs w:val="17"/>
          <w:shd w:val="clear" w:color="auto" w:fill="FFFFFF"/>
        </w:rPr>
        <w:t>, driven by higher revenues across all geographies, footwear and apparel, as well as growth in nearly all key categories, primarily Sportswear and the Jordan Brand. Rev</w:t>
      </w:r>
      <w:r>
        <w:rPr>
          <w:rFonts w:ascii="Arial" w:eastAsia="宋体" w:hAnsi="Arial" w:cs="Arial"/>
          <w:sz w:val="17"/>
          <w:szCs w:val="17"/>
          <w:shd w:val="clear" w:color="auto" w:fill="FFFFFF"/>
        </w:rPr>
        <w:t>enues for Converse increased 13% and 15% on a reported and currency-neutral basis, respectively</w:t>
      </w:r>
      <w:r>
        <w:rPr>
          <w:rFonts w:ascii="Arial" w:eastAsia="宋体" w:hAnsi="Arial" w:cs="Arial"/>
          <w:sz w:val="17"/>
          <w:szCs w:val="17"/>
        </w:rPr>
        <w:t>, mainly driven by double-digit growth in Asia and Europe, as well as through digital globally.</w:t>
      </w:r>
    </w:p>
    <w:p w14:paraId="606F824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Our effective tax rate was 10.7% for the second quarter of fiscal</w:t>
      </w:r>
      <w:r>
        <w:rPr>
          <w:rFonts w:ascii="Arial" w:eastAsia="宋体" w:hAnsi="Arial" w:cs="Arial"/>
          <w:sz w:val="17"/>
          <w:szCs w:val="17"/>
        </w:rPr>
        <w:t xml:space="preserve"> 2020 compared to 15.0% for the second quarter of fiscal 2019, primarily due to a more favorable impact from stock-based compensation.</w:t>
      </w:r>
    </w:p>
    <w:p w14:paraId="606F824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Diluted earnings per common share reflects a 2% decline in the weighted average diluted common shares outstanding, driven</w:t>
      </w:r>
      <w:r>
        <w:rPr>
          <w:rFonts w:ascii="Arial" w:eastAsia="宋体" w:hAnsi="Arial" w:cs="Arial"/>
          <w:sz w:val="17"/>
          <w:szCs w:val="17"/>
        </w:rPr>
        <w:t xml:space="preserve"> by our share repurchase program.</w:t>
      </w:r>
    </w:p>
    <w:p w14:paraId="606F8244"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October 29, 2019, we signed a definitive agreement to sell the assets and liabilities of our wholly-owned subsidiary brand, Hurley. As of November 30, 2019, the related assets and liabilities were classified as held-for</w:t>
      </w:r>
      <w:r>
        <w:rPr>
          <w:rFonts w:ascii="Arial" w:eastAsia="宋体" w:hAnsi="Arial" w:cs="Arial"/>
          <w:sz w:val="17"/>
          <w:szCs w:val="17"/>
        </w:rPr>
        <w:t xml:space="preserve">-sale on our Unaudited Condensed Consolidated Balance Sheets. The transaction closed on December 6, 2019, subsequent to the end of the second quarter of fiscal 2020. The impacts of the divestiture are not material to the Company.  </w:t>
      </w:r>
    </w:p>
    <w:p w14:paraId="606F824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While foreign currency m</w:t>
      </w:r>
      <w:r>
        <w:rPr>
          <w:rFonts w:ascii="Arial" w:eastAsia="宋体" w:hAnsi="Arial" w:cs="Arial"/>
          <w:sz w:val="17"/>
          <w:szCs w:val="17"/>
        </w:rPr>
        <w:t>arkets remain volatile, in part due to geopolitical dynamics leading to a stronger U.S. Dollar, we continue to see opportunities to drive future growth and profitability. We remain committed to effectively managing our business to achieve our financial goa</w:t>
      </w:r>
      <w:r>
        <w:rPr>
          <w:rFonts w:ascii="Arial" w:eastAsia="宋体" w:hAnsi="Arial" w:cs="Arial"/>
          <w:sz w:val="17"/>
          <w:szCs w:val="17"/>
        </w:rPr>
        <w:t>ls over the long-term by executing against the operational strategies outlined above.</w:t>
      </w:r>
    </w:p>
    <w:p w14:paraId="606F8246"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USE OF NON-GAAP FINANCIAL MEASURES</w:t>
      </w:r>
    </w:p>
    <w:p w14:paraId="606F824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Throughout this Quarterly Report on Form 10-Q, we discuss non-GAAP financial measures, including references to wholesale equivalent rev</w:t>
      </w:r>
      <w:r>
        <w:rPr>
          <w:rFonts w:ascii="Arial" w:eastAsia="宋体" w:hAnsi="Arial" w:cs="Arial"/>
          <w:sz w:val="17"/>
          <w:szCs w:val="17"/>
        </w:rPr>
        <w:t>enues, currency-neutral revenues as well as Total NIKE Brand earnings before interest and taxes (EBIT) and Total NIKE, Inc. EBIT, which should be considered in addition to, and not in lieu of, the financial measures calculated and presented in accordance w</w:t>
      </w:r>
      <w:r>
        <w:rPr>
          <w:rFonts w:ascii="Arial" w:eastAsia="宋体" w:hAnsi="Arial" w:cs="Arial"/>
          <w:sz w:val="17"/>
          <w:szCs w:val="17"/>
        </w:rPr>
        <w:t>ith accounting principles generally accepted in the United States of America (“U.S. GAAP”). References to wholesale equivalent revenues are intended to provide context as to the total size of our NIKE Brand market footprint if we had no NIKE Direct operati</w:t>
      </w:r>
      <w:r>
        <w:rPr>
          <w:rFonts w:ascii="Arial" w:eastAsia="宋体" w:hAnsi="Arial" w:cs="Arial"/>
          <w:sz w:val="17"/>
          <w:szCs w:val="17"/>
        </w:rPr>
        <w:t>ons. NIKE Brand wholesale equivalent revenues consist of (1) sales to external wholesale customers and (2) internal sales from our wholesale operations to our NIKE Direct operations, which are charged at prices comparable to those charged to external whole</w:t>
      </w:r>
      <w:r>
        <w:rPr>
          <w:rFonts w:ascii="Arial" w:eastAsia="宋体" w:hAnsi="Arial" w:cs="Arial"/>
          <w:sz w:val="17"/>
          <w:szCs w:val="17"/>
        </w:rPr>
        <w:t>sale customers. Currency-neutral revenues are calculated using actual exchange rates in use during the comparative prior year period to enhance the visibility of the underlying business trends excluding the impact of translation arising from foreign curren</w:t>
      </w:r>
      <w:r>
        <w:rPr>
          <w:rFonts w:ascii="Arial" w:eastAsia="宋体" w:hAnsi="Arial" w:cs="Arial"/>
          <w:sz w:val="17"/>
          <w:szCs w:val="17"/>
        </w:rPr>
        <w:t xml:space="preserve">cy exchange rate fluctuations. EBIT is calculated as </w:t>
      </w:r>
      <w:r>
        <w:rPr>
          <w:rFonts w:ascii="Arial" w:eastAsia="宋体" w:hAnsi="Arial" w:cs="Arial"/>
          <w:i/>
          <w:iCs/>
          <w:sz w:val="17"/>
          <w:szCs w:val="17"/>
        </w:rPr>
        <w:t>Net Income</w:t>
      </w:r>
      <w:r>
        <w:rPr>
          <w:rFonts w:ascii="Arial" w:eastAsia="宋体" w:hAnsi="Arial" w:cs="Arial"/>
          <w:sz w:val="17"/>
          <w:szCs w:val="17"/>
        </w:rPr>
        <w:t xml:space="preserve"> before </w:t>
      </w:r>
      <w:r>
        <w:rPr>
          <w:rFonts w:ascii="Arial" w:eastAsia="宋体" w:hAnsi="Arial" w:cs="Arial"/>
          <w:i/>
          <w:iCs/>
          <w:sz w:val="17"/>
          <w:szCs w:val="17"/>
        </w:rPr>
        <w:t>Interest expense (income), net</w:t>
      </w:r>
      <w:r>
        <w:rPr>
          <w:rFonts w:ascii="Arial" w:eastAsia="宋体" w:hAnsi="Arial" w:cs="Arial"/>
          <w:sz w:val="17"/>
          <w:szCs w:val="17"/>
        </w:rPr>
        <w:t xml:space="preserve"> and </w:t>
      </w:r>
      <w:r>
        <w:rPr>
          <w:rFonts w:ascii="Arial" w:eastAsia="宋体" w:hAnsi="Arial" w:cs="Arial"/>
          <w:i/>
          <w:iCs/>
          <w:sz w:val="17"/>
          <w:szCs w:val="17"/>
        </w:rPr>
        <w:t>Income tax expense</w:t>
      </w:r>
      <w:r>
        <w:rPr>
          <w:rFonts w:ascii="Arial" w:eastAsia="宋体" w:hAnsi="Arial" w:cs="Arial"/>
          <w:sz w:val="17"/>
          <w:szCs w:val="17"/>
        </w:rPr>
        <w:t xml:space="preserve"> in the Unaudited Condensed Consolidated Statements of Income.</w:t>
      </w:r>
    </w:p>
    <w:p w14:paraId="606F824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Management uses these non-GAAP financial measures when evaluating the</w:t>
      </w:r>
      <w:r>
        <w:rPr>
          <w:rFonts w:ascii="Arial" w:eastAsia="宋体" w:hAnsi="Arial" w:cs="Arial"/>
          <w:sz w:val="17"/>
          <w:szCs w:val="17"/>
        </w:rPr>
        <w:t xml:space="preserve"> Company's performance, including when making financial and operating decisions. Additionally, management believes these non-GAAP financial measures provide investors with additional financial information that should be considered when assessing our underl</w:t>
      </w:r>
      <w:r>
        <w:rPr>
          <w:rFonts w:ascii="Arial" w:eastAsia="宋体" w:hAnsi="Arial" w:cs="Arial"/>
          <w:sz w:val="17"/>
          <w:szCs w:val="17"/>
        </w:rPr>
        <w:t>ying business performance and trends. However, references to wholesale equivalent revenues, currency-neutral revenues and EBIT should not be considered in isolation or as a substitute for other financial measures calculated and presented in accordance with</w:t>
      </w:r>
      <w:r>
        <w:rPr>
          <w:rFonts w:ascii="Arial" w:eastAsia="宋体" w:hAnsi="Arial" w:cs="Arial"/>
          <w:sz w:val="17"/>
          <w:szCs w:val="17"/>
        </w:rPr>
        <w:t xml:space="preserve"> U.S. GAAP and may not be comparable to similarly titled non-GAAP measures used by other companies.</w:t>
      </w:r>
    </w:p>
    <w:p w14:paraId="606F8249" w14:textId="77777777" w:rsidR="00FB67F9" w:rsidRDefault="00FB67F9">
      <w:pPr>
        <w:rPr>
          <w:rFonts w:ascii="Times New Roman" w:hAnsi="Times New Roman"/>
          <w:sz w:val="20"/>
          <w:szCs w:val="20"/>
        </w:rPr>
      </w:pPr>
    </w:p>
    <w:p w14:paraId="606F824A"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26</w:t>
      </w:r>
      <w:r>
        <w:rPr>
          <w:rFonts w:ascii="sans-serif" w:eastAsia="sans-serif" w:hAnsi="sans-serif" w:cs="sans-serif"/>
          <w:sz w:val="17"/>
          <w:szCs w:val="17"/>
        </w:rPr>
        <w:t xml:space="preserve"> </w:t>
      </w:r>
    </w:p>
    <w:p w14:paraId="606F824B" w14:textId="77777777" w:rsidR="00FB67F9" w:rsidRDefault="00E839DF">
      <w:r>
        <w:rPr>
          <w:rFonts w:ascii="Times New Roman" w:hAnsi="Times New Roman"/>
          <w:sz w:val="17"/>
          <w:szCs w:val="17"/>
        </w:rPr>
        <w:pict w14:anchorId="606F8F97">
          <v:rect id="_x0000_i1052" style="width:415.3pt;height:1.5pt" o:hralign="center" o:hrstd="t" o:hr="t" fillcolor="#a0a0a0" stroked="f"/>
        </w:pict>
      </w:r>
    </w:p>
    <w:p w14:paraId="606F824C" w14:textId="77777777" w:rsidR="00FB67F9" w:rsidRDefault="00FB67F9">
      <w:pPr>
        <w:rPr>
          <w:rFonts w:ascii="Times New Roman" w:hAnsi="Times New Roman"/>
          <w:sz w:val="17"/>
          <w:szCs w:val="17"/>
        </w:rPr>
      </w:pPr>
    </w:p>
    <w:p w14:paraId="606F824D" w14:textId="77777777" w:rsidR="00FB67F9" w:rsidRDefault="00E839DF">
      <w:pPr>
        <w:rPr>
          <w:rFonts w:ascii="Times New Roman" w:hAnsi="Times New Roman"/>
          <w:sz w:val="17"/>
          <w:szCs w:val="17"/>
        </w:rPr>
      </w:pPr>
      <w:hyperlink r:id="rId96" w:anchor="s42C493F7582652B69E70047AB812E6A5" w:history="1">
        <w:r>
          <w:rPr>
            <w:rStyle w:val="a5"/>
            <w:rFonts w:ascii="sans-serif" w:eastAsia="sans-serif" w:hAnsi="sans-serif" w:cs="sans-serif"/>
            <w:sz w:val="17"/>
            <w:szCs w:val="17"/>
          </w:rPr>
          <w:t>Table of Contents</w:t>
        </w:r>
      </w:hyperlink>
    </w:p>
    <w:p w14:paraId="606F824E" w14:textId="77777777" w:rsidR="00FB67F9" w:rsidRDefault="00FB67F9">
      <w:pPr>
        <w:rPr>
          <w:rFonts w:ascii="Times New Roman" w:hAnsi="Times New Roman"/>
          <w:sz w:val="17"/>
          <w:szCs w:val="17"/>
        </w:rPr>
      </w:pPr>
    </w:p>
    <w:p w14:paraId="606F824F" w14:textId="77777777" w:rsidR="00FB67F9" w:rsidRDefault="00FB67F9">
      <w:pPr>
        <w:rPr>
          <w:rFonts w:ascii="Times New Roman" w:hAnsi="Times New Roman"/>
          <w:sz w:val="20"/>
          <w:szCs w:val="20"/>
        </w:rPr>
      </w:pPr>
    </w:p>
    <w:p w14:paraId="606F8250"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RESULTS OF OPERATIONS</w:t>
      </w:r>
    </w:p>
    <w:tbl>
      <w:tblPr>
        <w:tblW w:w="5000" w:type="pct"/>
        <w:tblCellMar>
          <w:left w:w="0" w:type="dxa"/>
          <w:right w:w="0" w:type="dxa"/>
        </w:tblCellMar>
        <w:tblLook w:val="04A0" w:firstRow="1" w:lastRow="0" w:firstColumn="1" w:lastColumn="0" w:noHBand="0" w:noVBand="1"/>
      </w:tblPr>
      <w:tblGrid>
        <w:gridCol w:w="3086"/>
        <w:gridCol w:w="135"/>
        <w:gridCol w:w="520"/>
        <w:gridCol w:w="192"/>
        <w:gridCol w:w="135"/>
        <w:gridCol w:w="503"/>
        <w:gridCol w:w="192"/>
        <w:gridCol w:w="644"/>
        <w:gridCol w:w="239"/>
        <w:gridCol w:w="130"/>
        <w:gridCol w:w="135"/>
        <w:gridCol w:w="520"/>
        <w:gridCol w:w="192"/>
        <w:gridCol w:w="135"/>
        <w:gridCol w:w="520"/>
        <w:gridCol w:w="192"/>
        <w:gridCol w:w="644"/>
        <w:gridCol w:w="192"/>
      </w:tblGrid>
      <w:tr w:rsidR="00FB67F9" w14:paraId="606F8252" w14:textId="77777777">
        <w:tc>
          <w:tcPr>
            <w:tcW w:w="0" w:type="auto"/>
            <w:gridSpan w:val="18"/>
            <w:shd w:val="clear" w:color="auto" w:fill="auto"/>
            <w:vAlign w:val="center"/>
          </w:tcPr>
          <w:p w14:paraId="606F8251" w14:textId="77777777" w:rsidR="00FB67F9" w:rsidRDefault="00FB67F9">
            <w:pPr>
              <w:rPr>
                <w:rFonts w:ascii="Times New Roman" w:hAnsi="Times New Roman"/>
                <w:sz w:val="20"/>
                <w:szCs w:val="20"/>
              </w:rPr>
            </w:pPr>
          </w:p>
        </w:tc>
      </w:tr>
      <w:tr w:rsidR="00FB67F9" w14:paraId="606F8265" w14:textId="77777777">
        <w:tc>
          <w:tcPr>
            <w:tcW w:w="1950" w:type="pct"/>
            <w:shd w:val="clear" w:color="auto" w:fill="auto"/>
            <w:vAlign w:val="center"/>
          </w:tcPr>
          <w:p w14:paraId="606F8253" w14:textId="77777777" w:rsidR="00FB67F9" w:rsidRDefault="00FB67F9">
            <w:pPr>
              <w:rPr>
                <w:rFonts w:ascii="Times New Roman" w:hAnsi="Times New Roman"/>
                <w:sz w:val="20"/>
                <w:szCs w:val="20"/>
              </w:rPr>
            </w:pPr>
          </w:p>
        </w:tc>
        <w:tc>
          <w:tcPr>
            <w:tcW w:w="50" w:type="pct"/>
            <w:shd w:val="clear" w:color="auto" w:fill="auto"/>
            <w:vAlign w:val="center"/>
          </w:tcPr>
          <w:p w14:paraId="606F8254" w14:textId="77777777" w:rsidR="00FB67F9" w:rsidRDefault="00FB67F9">
            <w:pPr>
              <w:rPr>
                <w:rFonts w:ascii="Times New Roman" w:hAnsi="Times New Roman"/>
                <w:sz w:val="20"/>
                <w:szCs w:val="20"/>
              </w:rPr>
            </w:pPr>
          </w:p>
        </w:tc>
        <w:tc>
          <w:tcPr>
            <w:tcW w:w="400" w:type="pct"/>
            <w:shd w:val="clear" w:color="auto" w:fill="auto"/>
            <w:vAlign w:val="center"/>
          </w:tcPr>
          <w:p w14:paraId="606F8255" w14:textId="77777777" w:rsidR="00FB67F9" w:rsidRDefault="00FB67F9">
            <w:pPr>
              <w:rPr>
                <w:rFonts w:ascii="Times New Roman" w:hAnsi="Times New Roman"/>
                <w:sz w:val="20"/>
                <w:szCs w:val="20"/>
              </w:rPr>
            </w:pPr>
          </w:p>
        </w:tc>
        <w:tc>
          <w:tcPr>
            <w:tcW w:w="50" w:type="pct"/>
            <w:shd w:val="clear" w:color="auto" w:fill="auto"/>
            <w:vAlign w:val="center"/>
          </w:tcPr>
          <w:p w14:paraId="606F8256" w14:textId="77777777" w:rsidR="00FB67F9" w:rsidRDefault="00FB67F9">
            <w:pPr>
              <w:rPr>
                <w:rFonts w:ascii="Times New Roman" w:hAnsi="Times New Roman"/>
                <w:sz w:val="20"/>
                <w:szCs w:val="20"/>
              </w:rPr>
            </w:pPr>
          </w:p>
        </w:tc>
        <w:tc>
          <w:tcPr>
            <w:tcW w:w="50" w:type="pct"/>
            <w:shd w:val="clear" w:color="auto" w:fill="auto"/>
            <w:vAlign w:val="center"/>
          </w:tcPr>
          <w:p w14:paraId="606F8257" w14:textId="77777777" w:rsidR="00FB67F9" w:rsidRDefault="00FB67F9">
            <w:pPr>
              <w:rPr>
                <w:rFonts w:ascii="Times New Roman" w:hAnsi="Times New Roman"/>
                <w:sz w:val="20"/>
                <w:szCs w:val="20"/>
              </w:rPr>
            </w:pPr>
          </w:p>
        </w:tc>
        <w:tc>
          <w:tcPr>
            <w:tcW w:w="400" w:type="pct"/>
            <w:shd w:val="clear" w:color="auto" w:fill="auto"/>
            <w:vAlign w:val="center"/>
          </w:tcPr>
          <w:p w14:paraId="606F8258" w14:textId="77777777" w:rsidR="00FB67F9" w:rsidRDefault="00FB67F9">
            <w:pPr>
              <w:rPr>
                <w:rFonts w:ascii="Times New Roman" w:hAnsi="Times New Roman"/>
                <w:sz w:val="20"/>
                <w:szCs w:val="20"/>
              </w:rPr>
            </w:pPr>
          </w:p>
        </w:tc>
        <w:tc>
          <w:tcPr>
            <w:tcW w:w="50" w:type="pct"/>
            <w:shd w:val="clear" w:color="auto" w:fill="auto"/>
            <w:vAlign w:val="center"/>
          </w:tcPr>
          <w:p w14:paraId="606F8259" w14:textId="77777777" w:rsidR="00FB67F9" w:rsidRDefault="00FB67F9">
            <w:pPr>
              <w:rPr>
                <w:rFonts w:ascii="Times New Roman" w:hAnsi="Times New Roman"/>
                <w:sz w:val="20"/>
                <w:szCs w:val="20"/>
              </w:rPr>
            </w:pPr>
          </w:p>
        </w:tc>
        <w:tc>
          <w:tcPr>
            <w:tcW w:w="450" w:type="pct"/>
            <w:shd w:val="clear" w:color="auto" w:fill="auto"/>
            <w:vAlign w:val="center"/>
          </w:tcPr>
          <w:p w14:paraId="606F825A" w14:textId="77777777" w:rsidR="00FB67F9" w:rsidRDefault="00FB67F9">
            <w:pPr>
              <w:rPr>
                <w:rFonts w:ascii="Times New Roman" w:hAnsi="Times New Roman"/>
                <w:sz w:val="20"/>
                <w:szCs w:val="20"/>
              </w:rPr>
            </w:pPr>
          </w:p>
        </w:tc>
        <w:tc>
          <w:tcPr>
            <w:tcW w:w="50" w:type="pct"/>
            <w:shd w:val="clear" w:color="auto" w:fill="auto"/>
            <w:vAlign w:val="center"/>
          </w:tcPr>
          <w:p w14:paraId="606F825B" w14:textId="77777777" w:rsidR="00FB67F9" w:rsidRDefault="00FB67F9">
            <w:pPr>
              <w:rPr>
                <w:rFonts w:ascii="Times New Roman" w:hAnsi="Times New Roman"/>
                <w:sz w:val="20"/>
                <w:szCs w:val="20"/>
              </w:rPr>
            </w:pPr>
          </w:p>
        </w:tc>
        <w:tc>
          <w:tcPr>
            <w:tcW w:w="50" w:type="pct"/>
            <w:shd w:val="clear" w:color="auto" w:fill="auto"/>
            <w:vAlign w:val="center"/>
          </w:tcPr>
          <w:p w14:paraId="606F825C" w14:textId="77777777" w:rsidR="00FB67F9" w:rsidRDefault="00FB67F9">
            <w:pPr>
              <w:rPr>
                <w:rFonts w:ascii="Times New Roman" w:hAnsi="Times New Roman"/>
                <w:sz w:val="20"/>
                <w:szCs w:val="20"/>
              </w:rPr>
            </w:pPr>
          </w:p>
        </w:tc>
        <w:tc>
          <w:tcPr>
            <w:tcW w:w="50" w:type="pct"/>
            <w:shd w:val="clear" w:color="auto" w:fill="auto"/>
            <w:vAlign w:val="center"/>
          </w:tcPr>
          <w:p w14:paraId="606F825D" w14:textId="77777777" w:rsidR="00FB67F9" w:rsidRDefault="00FB67F9">
            <w:pPr>
              <w:rPr>
                <w:rFonts w:ascii="Times New Roman" w:hAnsi="Times New Roman"/>
                <w:sz w:val="20"/>
                <w:szCs w:val="20"/>
              </w:rPr>
            </w:pPr>
          </w:p>
        </w:tc>
        <w:tc>
          <w:tcPr>
            <w:tcW w:w="400" w:type="pct"/>
            <w:shd w:val="clear" w:color="auto" w:fill="auto"/>
            <w:vAlign w:val="center"/>
          </w:tcPr>
          <w:p w14:paraId="606F825E" w14:textId="77777777" w:rsidR="00FB67F9" w:rsidRDefault="00FB67F9">
            <w:pPr>
              <w:rPr>
                <w:rFonts w:ascii="Times New Roman" w:hAnsi="Times New Roman"/>
                <w:sz w:val="20"/>
                <w:szCs w:val="20"/>
              </w:rPr>
            </w:pPr>
          </w:p>
        </w:tc>
        <w:tc>
          <w:tcPr>
            <w:tcW w:w="50" w:type="pct"/>
            <w:shd w:val="clear" w:color="auto" w:fill="auto"/>
            <w:vAlign w:val="center"/>
          </w:tcPr>
          <w:p w14:paraId="606F825F" w14:textId="77777777" w:rsidR="00FB67F9" w:rsidRDefault="00FB67F9">
            <w:pPr>
              <w:rPr>
                <w:rFonts w:ascii="Times New Roman" w:hAnsi="Times New Roman"/>
                <w:sz w:val="20"/>
                <w:szCs w:val="20"/>
              </w:rPr>
            </w:pPr>
          </w:p>
        </w:tc>
        <w:tc>
          <w:tcPr>
            <w:tcW w:w="50" w:type="pct"/>
            <w:shd w:val="clear" w:color="auto" w:fill="auto"/>
            <w:vAlign w:val="center"/>
          </w:tcPr>
          <w:p w14:paraId="606F8260" w14:textId="77777777" w:rsidR="00FB67F9" w:rsidRDefault="00FB67F9">
            <w:pPr>
              <w:rPr>
                <w:rFonts w:ascii="Times New Roman" w:hAnsi="Times New Roman"/>
                <w:sz w:val="20"/>
                <w:szCs w:val="20"/>
              </w:rPr>
            </w:pPr>
          </w:p>
        </w:tc>
        <w:tc>
          <w:tcPr>
            <w:tcW w:w="400" w:type="pct"/>
            <w:shd w:val="clear" w:color="auto" w:fill="auto"/>
            <w:vAlign w:val="center"/>
          </w:tcPr>
          <w:p w14:paraId="606F8261" w14:textId="77777777" w:rsidR="00FB67F9" w:rsidRDefault="00FB67F9">
            <w:pPr>
              <w:rPr>
                <w:rFonts w:ascii="Times New Roman" w:hAnsi="Times New Roman"/>
                <w:sz w:val="20"/>
                <w:szCs w:val="20"/>
              </w:rPr>
            </w:pPr>
          </w:p>
        </w:tc>
        <w:tc>
          <w:tcPr>
            <w:tcW w:w="50" w:type="pct"/>
            <w:shd w:val="clear" w:color="auto" w:fill="auto"/>
            <w:vAlign w:val="center"/>
          </w:tcPr>
          <w:p w14:paraId="606F8262" w14:textId="77777777" w:rsidR="00FB67F9" w:rsidRDefault="00FB67F9">
            <w:pPr>
              <w:rPr>
                <w:rFonts w:ascii="Times New Roman" w:hAnsi="Times New Roman"/>
                <w:sz w:val="20"/>
                <w:szCs w:val="20"/>
              </w:rPr>
            </w:pPr>
          </w:p>
        </w:tc>
        <w:tc>
          <w:tcPr>
            <w:tcW w:w="450" w:type="pct"/>
            <w:shd w:val="clear" w:color="auto" w:fill="auto"/>
            <w:vAlign w:val="center"/>
          </w:tcPr>
          <w:p w14:paraId="606F8263" w14:textId="77777777" w:rsidR="00FB67F9" w:rsidRDefault="00FB67F9">
            <w:pPr>
              <w:rPr>
                <w:rFonts w:ascii="Times New Roman" w:hAnsi="Times New Roman"/>
                <w:sz w:val="20"/>
                <w:szCs w:val="20"/>
              </w:rPr>
            </w:pPr>
          </w:p>
        </w:tc>
        <w:tc>
          <w:tcPr>
            <w:tcW w:w="50" w:type="pct"/>
            <w:shd w:val="clear" w:color="auto" w:fill="auto"/>
            <w:vAlign w:val="center"/>
          </w:tcPr>
          <w:p w14:paraId="606F8264" w14:textId="77777777" w:rsidR="00FB67F9" w:rsidRDefault="00FB67F9">
            <w:pPr>
              <w:rPr>
                <w:rFonts w:ascii="Times New Roman" w:hAnsi="Times New Roman"/>
                <w:sz w:val="20"/>
                <w:szCs w:val="20"/>
              </w:rPr>
            </w:pPr>
          </w:p>
        </w:tc>
      </w:tr>
      <w:tr w:rsidR="00FB67F9" w14:paraId="606F826A" w14:textId="77777777">
        <w:tc>
          <w:tcPr>
            <w:tcW w:w="0" w:type="auto"/>
            <w:shd w:val="clear" w:color="auto" w:fill="auto"/>
            <w:tcMar>
              <w:top w:w="40" w:type="dxa"/>
              <w:left w:w="40" w:type="dxa"/>
              <w:bottom w:w="40" w:type="dxa"/>
              <w:right w:w="40" w:type="dxa"/>
            </w:tcMar>
            <w:vAlign w:val="bottom"/>
          </w:tcPr>
          <w:p w14:paraId="606F826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26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26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26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275" w14:textId="77777777">
        <w:tc>
          <w:tcPr>
            <w:tcW w:w="0" w:type="auto"/>
            <w:shd w:val="clear" w:color="auto" w:fill="auto"/>
            <w:tcMar>
              <w:top w:w="40" w:type="dxa"/>
              <w:left w:w="40" w:type="dxa"/>
              <w:bottom w:w="40" w:type="dxa"/>
              <w:right w:w="40" w:type="dxa"/>
            </w:tcMar>
            <w:vAlign w:val="bottom"/>
          </w:tcPr>
          <w:p w14:paraId="606F826B"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26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26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shd w:val="clear" w:color="auto" w:fill="auto"/>
            <w:tcMar>
              <w:top w:w="40" w:type="dxa"/>
              <w:left w:w="40" w:type="dxa"/>
              <w:bottom w:w="40" w:type="dxa"/>
            </w:tcMar>
            <w:vAlign w:val="bottom"/>
          </w:tcPr>
          <w:p w14:paraId="606F826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shd w:val="clear" w:color="auto" w:fill="auto"/>
            <w:vAlign w:val="bottom"/>
          </w:tcPr>
          <w:p w14:paraId="606F826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27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27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27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shd w:val="clear" w:color="auto" w:fill="auto"/>
            <w:tcMar>
              <w:top w:w="40" w:type="dxa"/>
              <w:left w:w="40" w:type="dxa"/>
              <w:bottom w:w="40" w:type="dxa"/>
            </w:tcMar>
            <w:vAlign w:val="bottom"/>
          </w:tcPr>
          <w:p w14:paraId="606F827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shd w:val="clear" w:color="auto" w:fill="auto"/>
            <w:vAlign w:val="bottom"/>
          </w:tcPr>
          <w:p w14:paraId="606F8274" w14:textId="77777777" w:rsidR="00FB67F9" w:rsidRDefault="00FB67F9">
            <w:pPr>
              <w:textAlignment w:val="bottom"/>
              <w:rPr>
                <w:rFonts w:ascii="Times New Roman" w:hAnsi="Times New Roman"/>
                <w:sz w:val="20"/>
                <w:szCs w:val="20"/>
              </w:rPr>
            </w:pPr>
          </w:p>
        </w:tc>
      </w:tr>
      <w:tr w:rsidR="00FB67F9" w14:paraId="606F8288"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276"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E87722"/>
            </w:tcBorders>
            <w:shd w:val="clear" w:color="auto" w:fill="FFF1E7"/>
            <w:tcMar>
              <w:top w:w="40" w:type="dxa"/>
              <w:left w:w="40" w:type="dxa"/>
              <w:bottom w:w="40" w:type="dxa"/>
            </w:tcMar>
            <w:vAlign w:val="center"/>
          </w:tcPr>
          <w:p w14:paraId="606F8277"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center"/>
          </w:tcPr>
          <w:p w14:paraId="606F8278"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10,326</w:t>
            </w:r>
          </w:p>
        </w:tc>
        <w:tc>
          <w:tcPr>
            <w:tcW w:w="0" w:type="auto"/>
            <w:tcBorders>
              <w:top w:val="single" w:sz="8" w:space="0" w:color="E87722"/>
            </w:tcBorders>
            <w:shd w:val="clear" w:color="auto" w:fill="FFF1E7"/>
            <w:vAlign w:val="bottom"/>
          </w:tcPr>
          <w:p w14:paraId="606F8279"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27A"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center"/>
          </w:tcPr>
          <w:p w14:paraId="606F827B"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9,374</w:t>
            </w:r>
          </w:p>
        </w:tc>
        <w:tc>
          <w:tcPr>
            <w:tcW w:w="0" w:type="auto"/>
            <w:tcBorders>
              <w:top w:val="single" w:sz="8" w:space="0" w:color="E87722"/>
            </w:tcBorders>
            <w:shd w:val="clear" w:color="auto" w:fill="auto"/>
            <w:vAlign w:val="bottom"/>
          </w:tcPr>
          <w:p w14:paraId="606F827C"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27D"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10</w:t>
            </w:r>
          </w:p>
        </w:tc>
        <w:tc>
          <w:tcPr>
            <w:tcW w:w="0" w:type="auto"/>
            <w:tcBorders>
              <w:top w:val="single" w:sz="8" w:space="0" w:color="E87722"/>
            </w:tcBorders>
            <w:shd w:val="clear" w:color="auto" w:fill="auto"/>
            <w:tcMar>
              <w:top w:w="40" w:type="dxa"/>
              <w:bottom w:w="40" w:type="dxa"/>
              <w:right w:w="40" w:type="dxa"/>
            </w:tcMar>
            <w:vAlign w:val="center"/>
          </w:tcPr>
          <w:p w14:paraId="606F827E"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2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FFF1E7"/>
            <w:tcMar>
              <w:top w:w="40" w:type="dxa"/>
              <w:left w:w="40" w:type="dxa"/>
              <w:bottom w:w="40" w:type="dxa"/>
            </w:tcMar>
            <w:vAlign w:val="center"/>
          </w:tcPr>
          <w:p w14:paraId="606F8280"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center"/>
          </w:tcPr>
          <w:p w14:paraId="606F8281"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20,986</w:t>
            </w:r>
          </w:p>
        </w:tc>
        <w:tc>
          <w:tcPr>
            <w:tcW w:w="0" w:type="auto"/>
            <w:tcBorders>
              <w:top w:val="single" w:sz="8" w:space="0" w:color="E87722"/>
            </w:tcBorders>
            <w:shd w:val="clear" w:color="auto" w:fill="FFF1E7"/>
            <w:vAlign w:val="bottom"/>
          </w:tcPr>
          <w:p w14:paraId="606F8282"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283"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center"/>
          </w:tcPr>
          <w:p w14:paraId="606F8284"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19,322</w:t>
            </w:r>
          </w:p>
        </w:tc>
        <w:tc>
          <w:tcPr>
            <w:tcW w:w="0" w:type="auto"/>
            <w:tcBorders>
              <w:top w:val="single" w:sz="8" w:space="0" w:color="E87722"/>
            </w:tcBorders>
            <w:shd w:val="clear" w:color="auto" w:fill="auto"/>
            <w:vAlign w:val="bottom"/>
          </w:tcPr>
          <w:p w14:paraId="606F8285"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286"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9</w:t>
            </w:r>
          </w:p>
        </w:tc>
        <w:tc>
          <w:tcPr>
            <w:tcW w:w="0" w:type="auto"/>
            <w:tcBorders>
              <w:top w:val="single" w:sz="8" w:space="0" w:color="E87722"/>
            </w:tcBorders>
            <w:shd w:val="clear" w:color="auto" w:fill="auto"/>
            <w:tcMar>
              <w:top w:w="40" w:type="dxa"/>
              <w:bottom w:w="40" w:type="dxa"/>
              <w:right w:w="40" w:type="dxa"/>
            </w:tcMar>
            <w:vAlign w:val="center"/>
          </w:tcPr>
          <w:p w14:paraId="606F8287"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297"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289" w14:textId="77777777" w:rsidR="00FB67F9" w:rsidRDefault="00E839DF">
            <w:pPr>
              <w:textAlignment w:val="bottom"/>
              <w:rPr>
                <w:rFonts w:ascii="Times New Roman" w:hAnsi="Times New Roman"/>
                <w:sz w:val="17"/>
                <w:szCs w:val="17"/>
              </w:rPr>
            </w:pPr>
            <w:r>
              <w:rPr>
                <w:rFonts w:ascii="Arial" w:eastAsia="宋体" w:hAnsi="Arial" w:cs="Arial"/>
                <w:sz w:val="17"/>
                <w:szCs w:val="17"/>
              </w:rPr>
              <w:t>Cost of sales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center"/>
          </w:tcPr>
          <w:p w14:paraId="606F828A"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5,782</w:t>
            </w:r>
          </w:p>
        </w:tc>
        <w:tc>
          <w:tcPr>
            <w:tcW w:w="0" w:type="auto"/>
            <w:tcBorders>
              <w:top w:val="single" w:sz="8" w:space="0" w:color="808080"/>
              <w:bottom w:val="single" w:sz="8" w:space="0" w:color="E87722"/>
            </w:tcBorders>
            <w:shd w:val="clear" w:color="auto" w:fill="FFF1E7"/>
            <w:vAlign w:val="bottom"/>
          </w:tcPr>
          <w:p w14:paraId="606F828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center"/>
          </w:tcPr>
          <w:p w14:paraId="606F828C"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5,269</w:t>
            </w:r>
          </w:p>
        </w:tc>
        <w:tc>
          <w:tcPr>
            <w:tcW w:w="0" w:type="auto"/>
            <w:tcBorders>
              <w:top w:val="single" w:sz="8" w:space="0" w:color="808080"/>
              <w:bottom w:val="single" w:sz="8" w:space="0" w:color="E87722"/>
            </w:tcBorders>
            <w:shd w:val="clear" w:color="auto" w:fill="auto"/>
            <w:vAlign w:val="bottom"/>
          </w:tcPr>
          <w:p w14:paraId="606F828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center"/>
          </w:tcPr>
          <w:p w14:paraId="606F828E"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E87722"/>
            </w:tcBorders>
            <w:shd w:val="clear" w:color="auto" w:fill="auto"/>
            <w:tcMar>
              <w:top w:w="40" w:type="dxa"/>
              <w:bottom w:w="40" w:type="dxa"/>
              <w:right w:w="40" w:type="dxa"/>
            </w:tcMar>
            <w:vAlign w:val="center"/>
          </w:tcPr>
          <w:p w14:paraId="606F828F"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29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center"/>
          </w:tcPr>
          <w:p w14:paraId="606F8291"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11,571</w:t>
            </w:r>
          </w:p>
        </w:tc>
        <w:tc>
          <w:tcPr>
            <w:tcW w:w="0" w:type="auto"/>
            <w:tcBorders>
              <w:top w:val="single" w:sz="8" w:space="0" w:color="808080"/>
              <w:bottom w:val="single" w:sz="8" w:space="0" w:color="E87722"/>
            </w:tcBorders>
            <w:shd w:val="clear" w:color="auto" w:fill="FFF1E7"/>
            <w:vAlign w:val="bottom"/>
          </w:tcPr>
          <w:p w14:paraId="606F829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center"/>
          </w:tcPr>
          <w:p w14:paraId="606F8293"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10,820</w:t>
            </w:r>
          </w:p>
        </w:tc>
        <w:tc>
          <w:tcPr>
            <w:tcW w:w="0" w:type="auto"/>
            <w:tcBorders>
              <w:top w:val="single" w:sz="8" w:space="0" w:color="808080"/>
              <w:bottom w:val="single" w:sz="8" w:space="0" w:color="E87722"/>
            </w:tcBorders>
            <w:shd w:val="clear" w:color="auto" w:fill="auto"/>
            <w:vAlign w:val="bottom"/>
          </w:tcPr>
          <w:p w14:paraId="606F829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center"/>
          </w:tcPr>
          <w:p w14:paraId="606F8295"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E87722"/>
            </w:tcBorders>
            <w:shd w:val="clear" w:color="auto" w:fill="auto"/>
            <w:tcMar>
              <w:top w:w="40" w:type="dxa"/>
              <w:bottom w:w="40" w:type="dxa"/>
              <w:right w:w="40" w:type="dxa"/>
            </w:tcMar>
            <w:vAlign w:val="center"/>
          </w:tcPr>
          <w:p w14:paraId="606F8296"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2A6" w14:textId="77777777">
        <w:tc>
          <w:tcPr>
            <w:tcW w:w="0" w:type="auto"/>
            <w:tcBorders>
              <w:bottom w:val="single" w:sz="8" w:space="0" w:color="808080"/>
            </w:tcBorders>
            <w:shd w:val="clear" w:color="auto" w:fill="auto"/>
            <w:tcMar>
              <w:top w:w="40" w:type="dxa"/>
              <w:left w:w="240" w:type="dxa"/>
              <w:bottom w:w="40" w:type="dxa"/>
              <w:right w:w="40" w:type="dxa"/>
            </w:tcMar>
            <w:vAlign w:val="bottom"/>
          </w:tcPr>
          <w:p w14:paraId="606F8298" w14:textId="77777777" w:rsidR="00FB67F9" w:rsidRDefault="00E839DF">
            <w:pPr>
              <w:textAlignment w:val="bottom"/>
              <w:rPr>
                <w:rFonts w:ascii="Times New Roman" w:hAnsi="Times New Roman"/>
                <w:sz w:val="17"/>
                <w:szCs w:val="17"/>
              </w:rPr>
            </w:pPr>
            <w:r>
              <w:rPr>
                <w:rFonts w:ascii="Arial" w:eastAsia="宋体" w:hAnsi="Arial" w:cs="Arial"/>
                <w:sz w:val="17"/>
                <w:szCs w:val="17"/>
              </w:rPr>
              <w:t>Gross profit</w:t>
            </w:r>
          </w:p>
        </w:tc>
        <w:tc>
          <w:tcPr>
            <w:tcW w:w="0" w:type="auto"/>
            <w:gridSpan w:val="2"/>
            <w:tcBorders>
              <w:bottom w:val="single" w:sz="8" w:space="0" w:color="808080"/>
            </w:tcBorders>
            <w:shd w:val="clear" w:color="auto" w:fill="FFF1E7"/>
            <w:tcMar>
              <w:top w:w="40" w:type="dxa"/>
              <w:left w:w="40" w:type="dxa"/>
              <w:bottom w:w="40" w:type="dxa"/>
            </w:tcMar>
            <w:vAlign w:val="center"/>
          </w:tcPr>
          <w:p w14:paraId="606F8299"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4,544</w:t>
            </w:r>
          </w:p>
        </w:tc>
        <w:tc>
          <w:tcPr>
            <w:tcW w:w="0" w:type="auto"/>
            <w:tcBorders>
              <w:bottom w:val="single" w:sz="8" w:space="0" w:color="808080"/>
            </w:tcBorders>
            <w:shd w:val="clear" w:color="auto" w:fill="FFF1E7"/>
            <w:vAlign w:val="bottom"/>
          </w:tcPr>
          <w:p w14:paraId="606F829A" w14:textId="77777777" w:rsidR="00FB67F9" w:rsidRDefault="00FB67F9">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center"/>
          </w:tcPr>
          <w:p w14:paraId="606F829B"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4,105</w:t>
            </w:r>
          </w:p>
        </w:tc>
        <w:tc>
          <w:tcPr>
            <w:tcW w:w="0" w:type="auto"/>
            <w:tcBorders>
              <w:bottom w:val="single" w:sz="8" w:space="0" w:color="808080"/>
            </w:tcBorders>
            <w:shd w:val="clear" w:color="auto" w:fill="auto"/>
            <w:vAlign w:val="bottom"/>
          </w:tcPr>
          <w:p w14:paraId="606F829C"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tcMar>
            <w:vAlign w:val="center"/>
          </w:tcPr>
          <w:p w14:paraId="606F829D"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11</w:t>
            </w:r>
          </w:p>
        </w:tc>
        <w:tc>
          <w:tcPr>
            <w:tcW w:w="0" w:type="auto"/>
            <w:tcBorders>
              <w:bottom w:val="single" w:sz="8" w:space="0" w:color="808080"/>
            </w:tcBorders>
            <w:shd w:val="clear" w:color="auto" w:fill="auto"/>
            <w:tcMar>
              <w:top w:w="40" w:type="dxa"/>
              <w:bottom w:w="40" w:type="dxa"/>
              <w:right w:w="40" w:type="dxa"/>
            </w:tcMar>
            <w:vAlign w:val="center"/>
          </w:tcPr>
          <w:p w14:paraId="606F829E"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bottom w:val="single" w:sz="8" w:space="0" w:color="808080"/>
            </w:tcBorders>
            <w:shd w:val="clear" w:color="auto" w:fill="auto"/>
            <w:tcMar>
              <w:top w:w="40" w:type="dxa"/>
              <w:left w:w="40" w:type="dxa"/>
              <w:bottom w:w="40" w:type="dxa"/>
              <w:right w:w="40" w:type="dxa"/>
            </w:tcMar>
            <w:vAlign w:val="bottom"/>
          </w:tcPr>
          <w:p w14:paraId="606F829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808080"/>
            </w:tcBorders>
            <w:shd w:val="clear" w:color="auto" w:fill="FFF1E7"/>
            <w:tcMar>
              <w:top w:w="40" w:type="dxa"/>
              <w:left w:w="40" w:type="dxa"/>
              <w:bottom w:w="40" w:type="dxa"/>
            </w:tcMar>
            <w:vAlign w:val="center"/>
          </w:tcPr>
          <w:p w14:paraId="606F82A0"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9,415</w:t>
            </w:r>
          </w:p>
        </w:tc>
        <w:tc>
          <w:tcPr>
            <w:tcW w:w="0" w:type="auto"/>
            <w:tcBorders>
              <w:bottom w:val="single" w:sz="8" w:space="0" w:color="808080"/>
            </w:tcBorders>
            <w:shd w:val="clear" w:color="auto" w:fill="FFF1E7"/>
            <w:vAlign w:val="bottom"/>
          </w:tcPr>
          <w:p w14:paraId="606F82A1" w14:textId="77777777" w:rsidR="00FB67F9" w:rsidRDefault="00FB67F9">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center"/>
          </w:tcPr>
          <w:p w14:paraId="606F82A2"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8,502</w:t>
            </w:r>
          </w:p>
        </w:tc>
        <w:tc>
          <w:tcPr>
            <w:tcW w:w="0" w:type="auto"/>
            <w:tcBorders>
              <w:bottom w:val="single" w:sz="8" w:space="0" w:color="808080"/>
            </w:tcBorders>
            <w:shd w:val="clear" w:color="auto" w:fill="auto"/>
            <w:vAlign w:val="bottom"/>
          </w:tcPr>
          <w:p w14:paraId="606F82A3"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tcMar>
            <w:vAlign w:val="center"/>
          </w:tcPr>
          <w:p w14:paraId="606F82A4"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11</w:t>
            </w:r>
          </w:p>
        </w:tc>
        <w:tc>
          <w:tcPr>
            <w:tcW w:w="0" w:type="auto"/>
            <w:tcBorders>
              <w:bottom w:val="single" w:sz="8" w:space="0" w:color="808080"/>
            </w:tcBorders>
            <w:shd w:val="clear" w:color="auto" w:fill="auto"/>
            <w:tcMar>
              <w:top w:w="40" w:type="dxa"/>
              <w:bottom w:w="40" w:type="dxa"/>
              <w:right w:w="40" w:type="dxa"/>
            </w:tcMar>
            <w:vAlign w:val="center"/>
          </w:tcPr>
          <w:p w14:paraId="606F82A5"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2B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2A7" w14:textId="77777777" w:rsidR="00FB67F9" w:rsidRDefault="00E839DF">
            <w:pPr>
              <w:textAlignment w:val="bottom"/>
              <w:rPr>
                <w:rFonts w:ascii="Times New Roman" w:hAnsi="Times New Roman"/>
                <w:sz w:val="17"/>
                <w:szCs w:val="17"/>
              </w:rPr>
            </w:pPr>
            <w:r>
              <w:rPr>
                <w:rFonts w:ascii="Arial" w:eastAsia="宋体" w:hAnsi="Arial" w:cs="Arial"/>
                <w:i/>
                <w:iCs/>
                <w:sz w:val="17"/>
                <w:szCs w:val="17"/>
              </w:rPr>
              <w:t>Gross margin</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A8"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44.0</w:t>
            </w:r>
          </w:p>
        </w:tc>
        <w:tc>
          <w:tcPr>
            <w:tcW w:w="0" w:type="auto"/>
            <w:tcBorders>
              <w:top w:val="single" w:sz="8" w:space="0" w:color="808080"/>
              <w:bottom w:val="single" w:sz="8" w:space="0" w:color="808080"/>
            </w:tcBorders>
            <w:shd w:val="clear" w:color="auto" w:fill="FFF1E7"/>
            <w:tcMar>
              <w:top w:w="40" w:type="dxa"/>
              <w:bottom w:w="40" w:type="dxa"/>
              <w:right w:w="40" w:type="dxa"/>
            </w:tcMar>
            <w:vAlign w:val="center"/>
          </w:tcPr>
          <w:p w14:paraId="606F82A9"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AA"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43.8</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606F82AB"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center"/>
          </w:tcPr>
          <w:p w14:paraId="606F82AC" w14:textId="77777777" w:rsidR="00FB67F9" w:rsidRDefault="00FB67F9">
            <w:pPr>
              <w:textAlignment w:val="center"/>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2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AE"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44.9</w:t>
            </w:r>
          </w:p>
        </w:tc>
        <w:tc>
          <w:tcPr>
            <w:tcW w:w="0" w:type="auto"/>
            <w:tcBorders>
              <w:top w:val="single" w:sz="8" w:space="0" w:color="808080"/>
              <w:bottom w:val="single" w:sz="8" w:space="0" w:color="808080"/>
            </w:tcBorders>
            <w:shd w:val="clear" w:color="auto" w:fill="FFF1E7"/>
            <w:tcMar>
              <w:top w:w="40" w:type="dxa"/>
              <w:bottom w:w="40" w:type="dxa"/>
              <w:right w:w="40" w:type="dxa"/>
            </w:tcMar>
            <w:vAlign w:val="center"/>
          </w:tcPr>
          <w:p w14:paraId="606F82AF"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B0"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44.0</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606F82B1"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2B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2C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2B4" w14:textId="77777777" w:rsidR="00FB67F9" w:rsidRDefault="00E839DF">
            <w:pPr>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B5"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881</w:t>
            </w:r>
          </w:p>
        </w:tc>
        <w:tc>
          <w:tcPr>
            <w:tcW w:w="0" w:type="auto"/>
            <w:tcBorders>
              <w:top w:val="single" w:sz="8" w:space="0" w:color="808080"/>
              <w:bottom w:val="single" w:sz="8" w:space="0" w:color="808080"/>
            </w:tcBorders>
            <w:shd w:val="clear" w:color="auto" w:fill="FFF1E7"/>
            <w:vAlign w:val="bottom"/>
          </w:tcPr>
          <w:p w14:paraId="606F82B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B7"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910</w:t>
            </w:r>
          </w:p>
        </w:tc>
        <w:tc>
          <w:tcPr>
            <w:tcW w:w="0" w:type="auto"/>
            <w:tcBorders>
              <w:top w:val="single" w:sz="8" w:space="0" w:color="808080"/>
              <w:bottom w:val="single" w:sz="8" w:space="0" w:color="808080"/>
            </w:tcBorders>
            <w:shd w:val="clear" w:color="auto" w:fill="auto"/>
            <w:vAlign w:val="bottom"/>
          </w:tcPr>
          <w:p w14:paraId="606F82B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606F82B9"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606F82BA"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2B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BC"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1,899</w:t>
            </w:r>
          </w:p>
        </w:tc>
        <w:tc>
          <w:tcPr>
            <w:tcW w:w="0" w:type="auto"/>
            <w:tcBorders>
              <w:top w:val="single" w:sz="8" w:space="0" w:color="808080"/>
              <w:bottom w:val="single" w:sz="8" w:space="0" w:color="808080"/>
            </w:tcBorders>
            <w:shd w:val="clear" w:color="auto" w:fill="FFF1E7"/>
            <w:vAlign w:val="bottom"/>
          </w:tcPr>
          <w:p w14:paraId="606F82B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BE"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1,874</w:t>
            </w:r>
          </w:p>
        </w:tc>
        <w:tc>
          <w:tcPr>
            <w:tcW w:w="0" w:type="auto"/>
            <w:tcBorders>
              <w:top w:val="single" w:sz="8" w:space="0" w:color="808080"/>
              <w:bottom w:val="single" w:sz="8" w:space="0" w:color="808080"/>
            </w:tcBorders>
            <w:shd w:val="clear" w:color="auto" w:fill="auto"/>
            <w:vAlign w:val="bottom"/>
          </w:tcPr>
          <w:p w14:paraId="606F82B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606F82C0"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606F82C1"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2D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2C3" w14:textId="77777777" w:rsidR="00FB67F9" w:rsidRDefault="00E839DF">
            <w:pPr>
              <w:textAlignment w:val="bottom"/>
              <w:rPr>
                <w:rFonts w:ascii="Times New Roman" w:hAnsi="Times New Roman"/>
                <w:sz w:val="17"/>
                <w:szCs w:val="17"/>
              </w:rPr>
            </w:pPr>
            <w:r>
              <w:rPr>
                <w:rFonts w:ascii="Arial" w:eastAsia="宋体" w:hAnsi="Arial" w:cs="Arial"/>
                <w:sz w:val="17"/>
                <w:szCs w:val="17"/>
              </w:rPr>
              <w:t>Operating overhead expense</w:t>
            </w:r>
          </w:p>
        </w:tc>
        <w:tc>
          <w:tcPr>
            <w:tcW w:w="0" w:type="auto"/>
            <w:gridSpan w:val="2"/>
            <w:tcBorders>
              <w:bottom w:val="single" w:sz="8" w:space="0" w:color="E87722"/>
            </w:tcBorders>
            <w:shd w:val="clear" w:color="auto" w:fill="FFF1E7"/>
            <w:tcMar>
              <w:top w:w="40" w:type="dxa"/>
              <w:left w:w="40" w:type="dxa"/>
              <w:bottom w:w="40" w:type="dxa"/>
            </w:tcMar>
            <w:vAlign w:val="center"/>
          </w:tcPr>
          <w:p w14:paraId="606F82C4"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2,443</w:t>
            </w:r>
          </w:p>
        </w:tc>
        <w:tc>
          <w:tcPr>
            <w:tcW w:w="0" w:type="auto"/>
            <w:tcBorders>
              <w:bottom w:val="single" w:sz="8" w:space="0" w:color="E87722"/>
            </w:tcBorders>
            <w:shd w:val="clear" w:color="auto" w:fill="FFF1E7"/>
            <w:vAlign w:val="bottom"/>
          </w:tcPr>
          <w:p w14:paraId="606F82C5"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center"/>
          </w:tcPr>
          <w:p w14:paraId="606F82C6"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2,232</w:t>
            </w:r>
          </w:p>
        </w:tc>
        <w:tc>
          <w:tcPr>
            <w:tcW w:w="0" w:type="auto"/>
            <w:tcBorders>
              <w:bottom w:val="single" w:sz="8" w:space="0" w:color="E87722"/>
            </w:tcBorders>
            <w:shd w:val="clear" w:color="auto" w:fill="auto"/>
            <w:vAlign w:val="bottom"/>
          </w:tcPr>
          <w:p w14:paraId="606F82C7"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center"/>
          </w:tcPr>
          <w:p w14:paraId="606F82C8"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9</w:t>
            </w:r>
          </w:p>
        </w:tc>
        <w:tc>
          <w:tcPr>
            <w:tcW w:w="0" w:type="auto"/>
            <w:tcBorders>
              <w:bottom w:val="single" w:sz="8" w:space="0" w:color="E87722"/>
            </w:tcBorders>
            <w:shd w:val="clear" w:color="auto" w:fill="auto"/>
            <w:tcMar>
              <w:top w:w="40" w:type="dxa"/>
              <w:bottom w:w="40" w:type="dxa"/>
              <w:right w:w="40" w:type="dxa"/>
            </w:tcMar>
            <w:vAlign w:val="center"/>
          </w:tcPr>
          <w:p w14:paraId="606F82C9"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2C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center"/>
          </w:tcPr>
          <w:p w14:paraId="606F82CB"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4,753</w:t>
            </w:r>
          </w:p>
        </w:tc>
        <w:tc>
          <w:tcPr>
            <w:tcW w:w="0" w:type="auto"/>
            <w:tcBorders>
              <w:bottom w:val="single" w:sz="8" w:space="0" w:color="E87722"/>
            </w:tcBorders>
            <w:shd w:val="clear" w:color="auto" w:fill="FFF1E7"/>
            <w:vAlign w:val="bottom"/>
          </w:tcPr>
          <w:p w14:paraId="606F82CC"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center"/>
          </w:tcPr>
          <w:p w14:paraId="606F82CD"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4,331</w:t>
            </w:r>
          </w:p>
        </w:tc>
        <w:tc>
          <w:tcPr>
            <w:tcW w:w="0" w:type="auto"/>
            <w:tcBorders>
              <w:bottom w:val="single" w:sz="8" w:space="0" w:color="E87722"/>
            </w:tcBorders>
            <w:shd w:val="clear" w:color="auto" w:fill="auto"/>
            <w:vAlign w:val="bottom"/>
          </w:tcPr>
          <w:p w14:paraId="606F82CE"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center"/>
          </w:tcPr>
          <w:p w14:paraId="606F82CF"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10</w:t>
            </w:r>
          </w:p>
        </w:tc>
        <w:tc>
          <w:tcPr>
            <w:tcW w:w="0" w:type="auto"/>
            <w:tcBorders>
              <w:bottom w:val="single" w:sz="8" w:space="0" w:color="E87722"/>
            </w:tcBorders>
            <w:shd w:val="clear" w:color="auto" w:fill="auto"/>
            <w:tcMar>
              <w:top w:w="40" w:type="dxa"/>
              <w:bottom w:w="40" w:type="dxa"/>
              <w:right w:w="40" w:type="dxa"/>
            </w:tcMar>
            <w:vAlign w:val="center"/>
          </w:tcPr>
          <w:p w14:paraId="606F82D0"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2E0" w14:textId="77777777">
        <w:tc>
          <w:tcPr>
            <w:tcW w:w="0" w:type="auto"/>
            <w:shd w:val="clear" w:color="auto" w:fill="auto"/>
            <w:tcMar>
              <w:top w:w="40" w:type="dxa"/>
              <w:left w:w="240" w:type="dxa"/>
              <w:bottom w:w="40" w:type="dxa"/>
              <w:right w:w="40" w:type="dxa"/>
            </w:tcMar>
            <w:vAlign w:val="bottom"/>
          </w:tcPr>
          <w:p w14:paraId="606F82D2"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selling and administrative expense</w:t>
            </w:r>
          </w:p>
        </w:tc>
        <w:tc>
          <w:tcPr>
            <w:tcW w:w="0" w:type="auto"/>
            <w:gridSpan w:val="2"/>
            <w:shd w:val="clear" w:color="auto" w:fill="FFF1E7"/>
            <w:tcMar>
              <w:top w:w="40" w:type="dxa"/>
              <w:left w:w="40" w:type="dxa"/>
              <w:bottom w:w="40" w:type="dxa"/>
            </w:tcMar>
            <w:vAlign w:val="center"/>
          </w:tcPr>
          <w:p w14:paraId="606F82D3"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3,324</w:t>
            </w:r>
          </w:p>
        </w:tc>
        <w:tc>
          <w:tcPr>
            <w:tcW w:w="0" w:type="auto"/>
            <w:shd w:val="clear" w:color="auto" w:fill="FFF1E7"/>
            <w:vAlign w:val="bottom"/>
          </w:tcPr>
          <w:p w14:paraId="606F82D4"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606F82D5"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3,142</w:t>
            </w:r>
          </w:p>
        </w:tc>
        <w:tc>
          <w:tcPr>
            <w:tcW w:w="0" w:type="auto"/>
            <w:shd w:val="clear" w:color="auto" w:fill="auto"/>
            <w:vAlign w:val="bottom"/>
          </w:tcPr>
          <w:p w14:paraId="606F82D6"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606F82D7"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center"/>
          </w:tcPr>
          <w:p w14:paraId="606F82D8"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606F82D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center"/>
          </w:tcPr>
          <w:p w14:paraId="606F82DA"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6,652</w:t>
            </w:r>
          </w:p>
        </w:tc>
        <w:tc>
          <w:tcPr>
            <w:tcW w:w="0" w:type="auto"/>
            <w:shd w:val="clear" w:color="auto" w:fill="FFF1E7"/>
            <w:vAlign w:val="bottom"/>
          </w:tcPr>
          <w:p w14:paraId="606F82D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606F82DC"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6,205</w:t>
            </w:r>
          </w:p>
        </w:tc>
        <w:tc>
          <w:tcPr>
            <w:tcW w:w="0" w:type="auto"/>
            <w:shd w:val="clear" w:color="auto" w:fill="auto"/>
            <w:vAlign w:val="bottom"/>
          </w:tcPr>
          <w:p w14:paraId="606F82D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606F82DE"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center"/>
          </w:tcPr>
          <w:p w14:paraId="606F82DF"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2E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2E1" w14:textId="77777777" w:rsidR="00FB67F9" w:rsidRDefault="00E839DF">
            <w:pPr>
              <w:textAlignment w:val="bottom"/>
              <w:rPr>
                <w:rFonts w:ascii="Times New Roman" w:hAnsi="Times New Roman"/>
                <w:sz w:val="17"/>
                <w:szCs w:val="17"/>
              </w:rPr>
            </w:pPr>
            <w:r>
              <w:rPr>
                <w:rFonts w:ascii="Arial" w:eastAsia="宋体" w:hAnsi="Arial" w:cs="Arial"/>
                <w:i/>
                <w:iCs/>
                <w:sz w:val="17"/>
                <w:szCs w:val="17"/>
              </w:rPr>
              <w:t>% of revenues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E2"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32.2</w:t>
            </w:r>
          </w:p>
        </w:tc>
        <w:tc>
          <w:tcPr>
            <w:tcW w:w="0" w:type="auto"/>
            <w:tcBorders>
              <w:top w:val="single" w:sz="8" w:space="0" w:color="808080"/>
              <w:bottom w:val="single" w:sz="8" w:space="0" w:color="808080"/>
            </w:tcBorders>
            <w:shd w:val="clear" w:color="auto" w:fill="FFF1E7"/>
            <w:tcMar>
              <w:top w:w="40" w:type="dxa"/>
              <w:bottom w:w="40" w:type="dxa"/>
              <w:right w:w="40" w:type="dxa"/>
            </w:tcMar>
            <w:vAlign w:val="center"/>
          </w:tcPr>
          <w:p w14:paraId="606F82E3"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E4"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33.5</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606F82E5"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center"/>
          </w:tcPr>
          <w:p w14:paraId="606F82E6" w14:textId="77777777" w:rsidR="00FB67F9" w:rsidRDefault="00FB67F9">
            <w:pPr>
              <w:textAlignment w:val="center"/>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2E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E8"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31.7</w:t>
            </w:r>
          </w:p>
        </w:tc>
        <w:tc>
          <w:tcPr>
            <w:tcW w:w="0" w:type="auto"/>
            <w:tcBorders>
              <w:top w:val="single" w:sz="8" w:space="0" w:color="808080"/>
              <w:bottom w:val="single" w:sz="8" w:space="0" w:color="808080"/>
            </w:tcBorders>
            <w:shd w:val="clear" w:color="auto" w:fill="FFF1E7"/>
            <w:tcMar>
              <w:top w:w="40" w:type="dxa"/>
              <w:bottom w:w="40" w:type="dxa"/>
              <w:right w:w="40" w:type="dxa"/>
            </w:tcMar>
            <w:vAlign w:val="center"/>
          </w:tcPr>
          <w:p w14:paraId="606F82E9"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EA"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32.1</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606F82EB"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2E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2FC"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2EE"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EF"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FFF1E7"/>
            <w:vAlign w:val="bottom"/>
          </w:tcPr>
          <w:p w14:paraId="606F82F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F1"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vAlign w:val="bottom"/>
          </w:tcPr>
          <w:p w14:paraId="606F82F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606F82F3"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82F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2F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606F82F6"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27</w:t>
            </w:r>
          </w:p>
        </w:tc>
        <w:tc>
          <w:tcPr>
            <w:tcW w:w="0" w:type="auto"/>
            <w:tcBorders>
              <w:top w:val="single" w:sz="8" w:space="0" w:color="808080"/>
              <w:bottom w:val="single" w:sz="8" w:space="0" w:color="808080"/>
            </w:tcBorders>
            <w:shd w:val="clear" w:color="auto" w:fill="FFF1E7"/>
            <w:vAlign w:val="bottom"/>
          </w:tcPr>
          <w:p w14:paraId="606F82F7"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606F82F8"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auto"/>
            <w:vAlign w:val="bottom"/>
          </w:tcPr>
          <w:p w14:paraId="606F82F9"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606F82FA"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606F82FB" w14:textId="77777777" w:rsidR="00FB67F9" w:rsidRDefault="00FB67F9">
            <w:pPr>
              <w:textAlignment w:val="bottom"/>
              <w:rPr>
                <w:rFonts w:ascii="Times New Roman" w:hAnsi="Times New Roman"/>
                <w:sz w:val="20"/>
                <w:szCs w:val="20"/>
              </w:rPr>
            </w:pPr>
          </w:p>
        </w:tc>
      </w:tr>
      <w:tr w:rsidR="00FB67F9" w14:paraId="606F830B" w14:textId="77777777">
        <w:tc>
          <w:tcPr>
            <w:tcW w:w="0" w:type="auto"/>
            <w:shd w:val="clear" w:color="auto" w:fill="auto"/>
            <w:tcMar>
              <w:top w:w="40" w:type="dxa"/>
              <w:left w:w="40" w:type="dxa"/>
              <w:bottom w:w="40" w:type="dxa"/>
              <w:right w:w="40" w:type="dxa"/>
            </w:tcMar>
            <w:vAlign w:val="bottom"/>
          </w:tcPr>
          <w:p w14:paraId="606F82FD"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gridSpan w:val="2"/>
            <w:shd w:val="clear" w:color="auto" w:fill="FFF1E7"/>
            <w:tcMar>
              <w:top w:w="40" w:type="dxa"/>
              <w:left w:w="40" w:type="dxa"/>
              <w:bottom w:w="40" w:type="dxa"/>
            </w:tcMar>
            <w:vAlign w:val="center"/>
          </w:tcPr>
          <w:p w14:paraId="606F82FE"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(41</w:t>
            </w:r>
          </w:p>
        </w:tc>
        <w:tc>
          <w:tcPr>
            <w:tcW w:w="0" w:type="auto"/>
            <w:shd w:val="clear" w:color="auto" w:fill="FFF1E7"/>
            <w:tcMar>
              <w:top w:w="40" w:type="dxa"/>
              <w:bottom w:w="40" w:type="dxa"/>
              <w:right w:w="40" w:type="dxa"/>
            </w:tcMar>
            <w:vAlign w:val="center"/>
          </w:tcPr>
          <w:p w14:paraId="606F82FF"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center"/>
          </w:tcPr>
          <w:p w14:paraId="606F8300"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(48</w:t>
            </w:r>
          </w:p>
        </w:tc>
        <w:tc>
          <w:tcPr>
            <w:tcW w:w="0" w:type="auto"/>
            <w:shd w:val="clear" w:color="auto" w:fill="auto"/>
            <w:tcMar>
              <w:top w:w="40" w:type="dxa"/>
              <w:bottom w:w="40" w:type="dxa"/>
              <w:right w:w="40" w:type="dxa"/>
            </w:tcMar>
            <w:vAlign w:val="center"/>
          </w:tcPr>
          <w:p w14:paraId="606F8301"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tcMar>
            <w:vAlign w:val="center"/>
          </w:tcPr>
          <w:p w14:paraId="606F8302"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606F8303"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30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center"/>
          </w:tcPr>
          <w:p w14:paraId="606F8305"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(74</w:t>
            </w:r>
          </w:p>
        </w:tc>
        <w:tc>
          <w:tcPr>
            <w:tcW w:w="0" w:type="auto"/>
            <w:shd w:val="clear" w:color="auto" w:fill="FFF1E7"/>
            <w:tcMar>
              <w:top w:w="40" w:type="dxa"/>
              <w:bottom w:w="40" w:type="dxa"/>
              <w:right w:w="40" w:type="dxa"/>
            </w:tcMar>
            <w:vAlign w:val="center"/>
          </w:tcPr>
          <w:p w14:paraId="606F8306"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center"/>
          </w:tcPr>
          <w:p w14:paraId="606F8307"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5</w:t>
            </w:r>
          </w:p>
        </w:tc>
        <w:tc>
          <w:tcPr>
            <w:tcW w:w="0" w:type="auto"/>
            <w:shd w:val="clear" w:color="auto" w:fill="auto"/>
            <w:vAlign w:val="bottom"/>
          </w:tcPr>
          <w:p w14:paraId="606F8308"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center"/>
          </w:tcPr>
          <w:p w14:paraId="606F8309"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606F830A" w14:textId="77777777" w:rsidR="00FB67F9" w:rsidRDefault="00FB67F9">
            <w:pPr>
              <w:textAlignment w:val="bottom"/>
              <w:rPr>
                <w:rFonts w:ascii="Times New Roman" w:hAnsi="Times New Roman"/>
                <w:sz w:val="20"/>
                <w:szCs w:val="20"/>
              </w:rPr>
            </w:pPr>
          </w:p>
        </w:tc>
      </w:tr>
      <w:tr w:rsidR="00FB67F9" w14:paraId="606F831A"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30C" w14:textId="77777777" w:rsidR="00FB67F9" w:rsidRDefault="00E839DF">
            <w:pPr>
              <w:textAlignment w:val="bottom"/>
              <w:rPr>
                <w:rFonts w:ascii="Times New Roman" w:hAnsi="Times New Roman"/>
                <w:sz w:val="17"/>
                <w:szCs w:val="17"/>
              </w:rPr>
            </w:pPr>
            <w:r>
              <w:rPr>
                <w:rFonts w:ascii="Arial" w:eastAsia="宋体" w:hAnsi="Arial" w:cs="Arial"/>
                <w:sz w:val="17"/>
                <w:szCs w:val="17"/>
              </w:rPr>
              <w:t>Income before income taxes</w:t>
            </w:r>
          </w:p>
        </w:tc>
        <w:tc>
          <w:tcPr>
            <w:tcW w:w="0" w:type="auto"/>
            <w:gridSpan w:val="2"/>
            <w:tcBorders>
              <w:top w:val="single" w:sz="8" w:space="0" w:color="E87722"/>
              <w:bottom w:val="single" w:sz="8" w:space="0" w:color="808080"/>
            </w:tcBorders>
            <w:shd w:val="clear" w:color="auto" w:fill="FFF1E7"/>
            <w:tcMar>
              <w:top w:w="40" w:type="dxa"/>
              <w:left w:w="40" w:type="dxa"/>
              <w:bottom w:w="40" w:type="dxa"/>
            </w:tcMar>
            <w:vAlign w:val="center"/>
          </w:tcPr>
          <w:p w14:paraId="606F830D"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1,249</w:t>
            </w:r>
          </w:p>
        </w:tc>
        <w:tc>
          <w:tcPr>
            <w:tcW w:w="0" w:type="auto"/>
            <w:tcBorders>
              <w:top w:val="single" w:sz="8" w:space="0" w:color="E87722"/>
              <w:bottom w:val="single" w:sz="8" w:space="0" w:color="808080"/>
            </w:tcBorders>
            <w:shd w:val="clear" w:color="auto" w:fill="FFF1E7"/>
            <w:vAlign w:val="bottom"/>
          </w:tcPr>
          <w:p w14:paraId="606F830E"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center"/>
          </w:tcPr>
          <w:p w14:paraId="606F830F"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997</w:t>
            </w:r>
          </w:p>
        </w:tc>
        <w:tc>
          <w:tcPr>
            <w:tcW w:w="0" w:type="auto"/>
            <w:tcBorders>
              <w:top w:val="single" w:sz="8" w:space="0" w:color="E87722"/>
            </w:tcBorders>
            <w:shd w:val="clear" w:color="auto" w:fill="auto"/>
            <w:vAlign w:val="bottom"/>
          </w:tcPr>
          <w:p w14:paraId="606F8310"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311"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25</w:t>
            </w:r>
          </w:p>
        </w:tc>
        <w:tc>
          <w:tcPr>
            <w:tcW w:w="0" w:type="auto"/>
            <w:tcBorders>
              <w:top w:val="single" w:sz="8" w:space="0" w:color="E87722"/>
            </w:tcBorders>
            <w:shd w:val="clear" w:color="auto" w:fill="auto"/>
            <w:tcMar>
              <w:top w:w="40" w:type="dxa"/>
              <w:bottom w:w="40" w:type="dxa"/>
              <w:right w:w="40" w:type="dxa"/>
            </w:tcMar>
            <w:vAlign w:val="center"/>
          </w:tcPr>
          <w:p w14:paraId="606F8312"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31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center"/>
          </w:tcPr>
          <w:p w14:paraId="606F8314"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2,810</w:t>
            </w:r>
          </w:p>
        </w:tc>
        <w:tc>
          <w:tcPr>
            <w:tcW w:w="0" w:type="auto"/>
            <w:tcBorders>
              <w:top w:val="single" w:sz="8" w:space="0" w:color="E87722"/>
            </w:tcBorders>
            <w:shd w:val="clear" w:color="auto" w:fill="FFF1E7"/>
            <w:vAlign w:val="bottom"/>
          </w:tcPr>
          <w:p w14:paraId="606F8315"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center"/>
          </w:tcPr>
          <w:p w14:paraId="606F8316"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2,267</w:t>
            </w:r>
          </w:p>
        </w:tc>
        <w:tc>
          <w:tcPr>
            <w:tcW w:w="0" w:type="auto"/>
            <w:tcBorders>
              <w:top w:val="single" w:sz="8" w:space="0" w:color="E87722"/>
            </w:tcBorders>
            <w:shd w:val="clear" w:color="auto" w:fill="auto"/>
            <w:vAlign w:val="bottom"/>
          </w:tcPr>
          <w:p w14:paraId="606F8317"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318"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24</w:t>
            </w:r>
          </w:p>
        </w:tc>
        <w:tc>
          <w:tcPr>
            <w:tcW w:w="0" w:type="auto"/>
            <w:tcBorders>
              <w:top w:val="single" w:sz="8" w:space="0" w:color="E87722"/>
            </w:tcBorders>
            <w:shd w:val="clear" w:color="auto" w:fill="auto"/>
            <w:tcMar>
              <w:top w:w="40" w:type="dxa"/>
              <w:bottom w:w="40" w:type="dxa"/>
              <w:right w:w="40" w:type="dxa"/>
            </w:tcMar>
            <w:vAlign w:val="center"/>
          </w:tcPr>
          <w:p w14:paraId="606F8319"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32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31B" w14:textId="77777777" w:rsidR="00FB67F9" w:rsidRDefault="00E839DF">
            <w:pPr>
              <w:textAlignment w:val="bottom"/>
              <w:rPr>
                <w:rFonts w:ascii="Times New Roman" w:hAnsi="Times New Roman"/>
                <w:sz w:val="17"/>
                <w:szCs w:val="17"/>
              </w:rPr>
            </w:pPr>
            <w:r>
              <w:rPr>
                <w:rFonts w:ascii="Arial" w:eastAsia="宋体" w:hAnsi="Arial" w:cs="Arial"/>
                <w:sz w:val="17"/>
                <w:szCs w:val="17"/>
              </w:rPr>
              <w:t>Income tax expense</w:t>
            </w:r>
          </w:p>
        </w:tc>
        <w:tc>
          <w:tcPr>
            <w:tcW w:w="0" w:type="auto"/>
            <w:gridSpan w:val="2"/>
            <w:tcBorders>
              <w:top w:val="single" w:sz="8" w:space="0" w:color="808080"/>
            </w:tcBorders>
            <w:shd w:val="clear" w:color="auto" w:fill="FFF1E7"/>
            <w:tcMar>
              <w:top w:w="40" w:type="dxa"/>
              <w:left w:w="40" w:type="dxa"/>
              <w:bottom w:w="40" w:type="dxa"/>
            </w:tcMar>
            <w:vAlign w:val="center"/>
          </w:tcPr>
          <w:p w14:paraId="606F831C"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134</w:t>
            </w:r>
          </w:p>
        </w:tc>
        <w:tc>
          <w:tcPr>
            <w:tcW w:w="0" w:type="auto"/>
            <w:tcBorders>
              <w:top w:val="single" w:sz="8" w:space="0" w:color="808080"/>
            </w:tcBorders>
            <w:shd w:val="clear" w:color="auto" w:fill="FFF1E7"/>
            <w:vAlign w:val="bottom"/>
          </w:tcPr>
          <w:p w14:paraId="606F831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606F831E"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150</w:t>
            </w:r>
          </w:p>
        </w:tc>
        <w:tc>
          <w:tcPr>
            <w:tcW w:w="0" w:type="auto"/>
            <w:tcBorders>
              <w:top w:val="single" w:sz="8" w:space="0" w:color="808080"/>
            </w:tcBorders>
            <w:shd w:val="clear" w:color="auto" w:fill="auto"/>
            <w:vAlign w:val="bottom"/>
          </w:tcPr>
          <w:p w14:paraId="606F831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center"/>
          </w:tcPr>
          <w:p w14:paraId="606F8320"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tcMar>
              <w:top w:w="40" w:type="dxa"/>
              <w:bottom w:w="40" w:type="dxa"/>
              <w:right w:w="40" w:type="dxa"/>
            </w:tcMar>
            <w:vAlign w:val="center"/>
          </w:tcPr>
          <w:p w14:paraId="606F8321"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32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606F8323"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328</w:t>
            </w:r>
          </w:p>
        </w:tc>
        <w:tc>
          <w:tcPr>
            <w:tcW w:w="0" w:type="auto"/>
            <w:tcBorders>
              <w:top w:val="single" w:sz="8" w:space="0" w:color="808080"/>
            </w:tcBorders>
            <w:shd w:val="clear" w:color="auto" w:fill="FFF1E7"/>
            <w:vAlign w:val="bottom"/>
          </w:tcPr>
          <w:p w14:paraId="606F832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606F8325"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328</w:t>
            </w:r>
          </w:p>
        </w:tc>
        <w:tc>
          <w:tcPr>
            <w:tcW w:w="0" w:type="auto"/>
            <w:tcBorders>
              <w:top w:val="single" w:sz="8" w:space="0" w:color="808080"/>
            </w:tcBorders>
            <w:shd w:val="clear" w:color="auto" w:fill="auto"/>
            <w:vAlign w:val="bottom"/>
          </w:tcPr>
          <w:p w14:paraId="606F832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center"/>
          </w:tcPr>
          <w:p w14:paraId="606F8327"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0</w:t>
            </w:r>
          </w:p>
        </w:tc>
        <w:tc>
          <w:tcPr>
            <w:tcW w:w="0" w:type="auto"/>
            <w:tcBorders>
              <w:top w:val="single" w:sz="8" w:space="0" w:color="808080"/>
            </w:tcBorders>
            <w:shd w:val="clear" w:color="auto" w:fill="auto"/>
            <w:tcMar>
              <w:top w:w="40" w:type="dxa"/>
              <w:bottom w:w="40" w:type="dxa"/>
              <w:right w:w="40" w:type="dxa"/>
            </w:tcMar>
            <w:vAlign w:val="center"/>
          </w:tcPr>
          <w:p w14:paraId="606F8328"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r w:rsidR="00FB67F9" w14:paraId="606F8336"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32A" w14:textId="77777777" w:rsidR="00FB67F9" w:rsidRDefault="00E839DF">
            <w:pPr>
              <w:textAlignment w:val="bottom"/>
              <w:rPr>
                <w:rFonts w:ascii="Times New Roman" w:hAnsi="Times New Roman"/>
                <w:sz w:val="17"/>
                <w:szCs w:val="17"/>
              </w:rPr>
            </w:pPr>
            <w:r>
              <w:rPr>
                <w:rFonts w:ascii="Arial" w:eastAsia="宋体" w:hAnsi="Arial" w:cs="Arial"/>
                <w:i/>
                <w:iCs/>
                <w:sz w:val="17"/>
                <w:szCs w:val="17"/>
              </w:rPr>
              <w:t>Effective tax rate</w:t>
            </w:r>
          </w:p>
        </w:tc>
        <w:tc>
          <w:tcPr>
            <w:tcW w:w="0" w:type="auto"/>
            <w:gridSpan w:val="2"/>
            <w:tcBorders>
              <w:top w:val="single" w:sz="8" w:space="0" w:color="808080"/>
            </w:tcBorders>
            <w:shd w:val="clear" w:color="auto" w:fill="FFF1E7"/>
            <w:tcMar>
              <w:top w:w="40" w:type="dxa"/>
              <w:left w:w="40" w:type="dxa"/>
              <w:bottom w:w="40" w:type="dxa"/>
            </w:tcMar>
            <w:vAlign w:val="center"/>
          </w:tcPr>
          <w:p w14:paraId="606F832B"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10.7</w:t>
            </w:r>
          </w:p>
        </w:tc>
        <w:tc>
          <w:tcPr>
            <w:tcW w:w="0" w:type="auto"/>
            <w:tcBorders>
              <w:top w:val="single" w:sz="8" w:space="0" w:color="808080"/>
            </w:tcBorders>
            <w:shd w:val="clear" w:color="auto" w:fill="FFF1E7"/>
            <w:tcMar>
              <w:top w:w="40" w:type="dxa"/>
              <w:bottom w:w="40" w:type="dxa"/>
              <w:right w:w="40" w:type="dxa"/>
            </w:tcMar>
            <w:vAlign w:val="center"/>
          </w:tcPr>
          <w:p w14:paraId="606F832C"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606F832D"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15.0</w:t>
            </w:r>
          </w:p>
        </w:tc>
        <w:tc>
          <w:tcPr>
            <w:tcW w:w="0" w:type="auto"/>
            <w:tcBorders>
              <w:top w:val="single" w:sz="8" w:space="0" w:color="808080"/>
            </w:tcBorders>
            <w:shd w:val="clear" w:color="auto" w:fill="auto"/>
            <w:tcMar>
              <w:top w:w="40" w:type="dxa"/>
              <w:bottom w:w="40" w:type="dxa"/>
              <w:right w:w="40" w:type="dxa"/>
            </w:tcMar>
            <w:vAlign w:val="center"/>
          </w:tcPr>
          <w:p w14:paraId="606F832E"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center"/>
          </w:tcPr>
          <w:p w14:paraId="606F832F" w14:textId="77777777" w:rsidR="00FB67F9" w:rsidRDefault="00FB67F9">
            <w:pPr>
              <w:textAlignment w:val="center"/>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33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606F8331"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11.7</w:t>
            </w:r>
          </w:p>
        </w:tc>
        <w:tc>
          <w:tcPr>
            <w:tcW w:w="0" w:type="auto"/>
            <w:tcBorders>
              <w:top w:val="single" w:sz="8" w:space="0" w:color="808080"/>
            </w:tcBorders>
            <w:shd w:val="clear" w:color="auto" w:fill="FFF1E7"/>
            <w:tcMar>
              <w:top w:w="40" w:type="dxa"/>
              <w:bottom w:w="40" w:type="dxa"/>
              <w:right w:w="40" w:type="dxa"/>
            </w:tcMar>
            <w:vAlign w:val="center"/>
          </w:tcPr>
          <w:p w14:paraId="606F8332"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606F8333" w14:textId="77777777" w:rsidR="00FB67F9" w:rsidRDefault="00E839DF">
            <w:pPr>
              <w:jc w:val="right"/>
              <w:textAlignment w:val="center"/>
              <w:rPr>
                <w:rFonts w:ascii="Times New Roman" w:hAnsi="Times New Roman"/>
                <w:sz w:val="17"/>
                <w:szCs w:val="17"/>
              </w:rPr>
            </w:pPr>
            <w:r>
              <w:rPr>
                <w:rFonts w:ascii="Arial" w:eastAsia="宋体" w:hAnsi="Arial" w:cs="Arial"/>
                <w:i/>
                <w:iCs/>
                <w:sz w:val="17"/>
                <w:szCs w:val="17"/>
              </w:rPr>
              <w:t>14.5</w:t>
            </w:r>
          </w:p>
        </w:tc>
        <w:tc>
          <w:tcPr>
            <w:tcW w:w="0" w:type="auto"/>
            <w:tcBorders>
              <w:top w:val="single" w:sz="8" w:space="0" w:color="808080"/>
            </w:tcBorders>
            <w:shd w:val="clear" w:color="auto" w:fill="auto"/>
            <w:tcMar>
              <w:top w:w="40" w:type="dxa"/>
              <w:bottom w:w="40" w:type="dxa"/>
              <w:right w:w="40" w:type="dxa"/>
            </w:tcMar>
            <w:vAlign w:val="center"/>
          </w:tcPr>
          <w:p w14:paraId="606F8334" w14:textId="77777777" w:rsidR="00FB67F9" w:rsidRDefault="00E839DF">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33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349"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33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NET INCOME</w:t>
            </w:r>
          </w:p>
        </w:tc>
        <w:tc>
          <w:tcPr>
            <w:tcW w:w="0" w:type="auto"/>
            <w:tcBorders>
              <w:top w:val="single" w:sz="8" w:space="0" w:color="E87722"/>
              <w:bottom w:val="single" w:sz="8" w:space="0" w:color="E87722"/>
            </w:tcBorders>
            <w:shd w:val="clear" w:color="auto" w:fill="FFF1E7"/>
            <w:tcMar>
              <w:top w:w="40" w:type="dxa"/>
              <w:left w:w="40" w:type="dxa"/>
              <w:bottom w:w="40" w:type="dxa"/>
            </w:tcMar>
            <w:vAlign w:val="center"/>
          </w:tcPr>
          <w:p w14:paraId="606F8338" w14:textId="77777777" w:rsidR="00FB67F9" w:rsidRDefault="00E839DF">
            <w:pPr>
              <w:textAlignment w:val="center"/>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center"/>
          </w:tcPr>
          <w:p w14:paraId="606F8339" w14:textId="77777777" w:rsidR="00FB67F9" w:rsidRDefault="00E839DF">
            <w:pPr>
              <w:jc w:val="right"/>
              <w:textAlignment w:val="center"/>
              <w:rPr>
                <w:rFonts w:ascii="Times New Roman" w:hAnsi="Times New Roman"/>
                <w:sz w:val="17"/>
                <w:szCs w:val="17"/>
              </w:rPr>
            </w:pPr>
            <w:r>
              <w:rPr>
                <w:rFonts w:ascii="Arial" w:eastAsia="宋体" w:hAnsi="Arial" w:cs="Arial"/>
                <w:b/>
                <w:bCs/>
                <w:sz w:val="17"/>
                <w:szCs w:val="17"/>
              </w:rPr>
              <w:t>1,115</w:t>
            </w:r>
          </w:p>
        </w:tc>
        <w:tc>
          <w:tcPr>
            <w:tcW w:w="0" w:type="auto"/>
            <w:tcBorders>
              <w:top w:val="single" w:sz="8" w:space="0" w:color="E87722"/>
              <w:bottom w:val="single" w:sz="8" w:space="0" w:color="E87722"/>
            </w:tcBorders>
            <w:shd w:val="clear" w:color="auto" w:fill="FFF1E7"/>
            <w:vAlign w:val="bottom"/>
          </w:tcPr>
          <w:p w14:paraId="606F833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606F833B" w14:textId="77777777" w:rsidR="00FB67F9" w:rsidRDefault="00E839DF">
            <w:pPr>
              <w:textAlignment w:val="center"/>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606F833C" w14:textId="77777777" w:rsidR="00FB67F9" w:rsidRDefault="00E839DF">
            <w:pPr>
              <w:jc w:val="right"/>
              <w:textAlignment w:val="center"/>
              <w:rPr>
                <w:rFonts w:ascii="Times New Roman" w:hAnsi="Times New Roman"/>
                <w:sz w:val="17"/>
                <w:szCs w:val="17"/>
              </w:rPr>
            </w:pPr>
            <w:r>
              <w:rPr>
                <w:rFonts w:ascii="Arial" w:eastAsia="宋体" w:hAnsi="Arial" w:cs="Arial"/>
                <w:b/>
                <w:bCs/>
                <w:sz w:val="17"/>
                <w:szCs w:val="17"/>
              </w:rPr>
              <w:t>847</w:t>
            </w:r>
          </w:p>
        </w:tc>
        <w:tc>
          <w:tcPr>
            <w:tcW w:w="0" w:type="auto"/>
            <w:tcBorders>
              <w:top w:val="single" w:sz="8" w:space="0" w:color="E87722"/>
              <w:bottom w:val="single" w:sz="8" w:space="0" w:color="E87722"/>
            </w:tcBorders>
            <w:shd w:val="clear" w:color="auto" w:fill="auto"/>
            <w:vAlign w:val="bottom"/>
          </w:tcPr>
          <w:p w14:paraId="606F833D"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33E" w14:textId="77777777" w:rsidR="00FB67F9" w:rsidRDefault="00E839DF">
            <w:pPr>
              <w:jc w:val="right"/>
              <w:textAlignment w:val="center"/>
              <w:rPr>
                <w:rFonts w:ascii="Times New Roman" w:hAnsi="Times New Roman"/>
                <w:sz w:val="17"/>
                <w:szCs w:val="17"/>
              </w:rPr>
            </w:pPr>
            <w:r>
              <w:rPr>
                <w:rFonts w:ascii="Arial" w:eastAsia="宋体" w:hAnsi="Arial" w:cs="Arial"/>
                <w:b/>
                <w:bCs/>
                <w:sz w:val="17"/>
                <w:szCs w:val="17"/>
              </w:rPr>
              <w:t>32</w:t>
            </w:r>
          </w:p>
        </w:tc>
        <w:tc>
          <w:tcPr>
            <w:tcW w:w="0" w:type="auto"/>
            <w:tcBorders>
              <w:top w:val="single" w:sz="8" w:space="0" w:color="E87722"/>
            </w:tcBorders>
            <w:shd w:val="clear" w:color="auto" w:fill="auto"/>
            <w:tcMar>
              <w:top w:w="40" w:type="dxa"/>
              <w:bottom w:w="40" w:type="dxa"/>
              <w:right w:w="40" w:type="dxa"/>
            </w:tcMar>
            <w:vAlign w:val="center"/>
          </w:tcPr>
          <w:p w14:paraId="606F833F" w14:textId="77777777" w:rsidR="00FB67F9" w:rsidRDefault="00E839DF">
            <w:pPr>
              <w:textAlignment w:val="center"/>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3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center"/>
          </w:tcPr>
          <w:p w14:paraId="606F8341" w14:textId="77777777" w:rsidR="00FB67F9" w:rsidRDefault="00E839DF">
            <w:pPr>
              <w:textAlignment w:val="center"/>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center"/>
          </w:tcPr>
          <w:p w14:paraId="606F8342" w14:textId="77777777" w:rsidR="00FB67F9" w:rsidRDefault="00E839DF">
            <w:pPr>
              <w:jc w:val="right"/>
              <w:textAlignment w:val="center"/>
              <w:rPr>
                <w:rFonts w:ascii="Times New Roman" w:hAnsi="Times New Roman"/>
                <w:sz w:val="17"/>
                <w:szCs w:val="17"/>
              </w:rPr>
            </w:pPr>
            <w:r>
              <w:rPr>
                <w:rFonts w:ascii="Arial" w:eastAsia="宋体" w:hAnsi="Arial" w:cs="Arial"/>
                <w:b/>
                <w:bCs/>
                <w:sz w:val="17"/>
                <w:szCs w:val="17"/>
              </w:rPr>
              <w:t>2,482</w:t>
            </w:r>
          </w:p>
        </w:tc>
        <w:tc>
          <w:tcPr>
            <w:tcW w:w="0" w:type="auto"/>
            <w:tcBorders>
              <w:top w:val="single" w:sz="8" w:space="0" w:color="E87722"/>
              <w:bottom w:val="single" w:sz="8" w:space="0" w:color="E87722"/>
            </w:tcBorders>
            <w:shd w:val="clear" w:color="auto" w:fill="FFF1E7"/>
            <w:vAlign w:val="bottom"/>
          </w:tcPr>
          <w:p w14:paraId="606F834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606F8344" w14:textId="77777777" w:rsidR="00FB67F9" w:rsidRDefault="00E839DF">
            <w:pPr>
              <w:textAlignment w:val="center"/>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606F8345" w14:textId="77777777" w:rsidR="00FB67F9" w:rsidRDefault="00E839DF">
            <w:pPr>
              <w:jc w:val="right"/>
              <w:textAlignment w:val="center"/>
              <w:rPr>
                <w:rFonts w:ascii="Times New Roman" w:hAnsi="Times New Roman"/>
                <w:sz w:val="17"/>
                <w:szCs w:val="17"/>
              </w:rPr>
            </w:pPr>
            <w:r>
              <w:rPr>
                <w:rFonts w:ascii="Arial" w:eastAsia="宋体" w:hAnsi="Arial" w:cs="Arial"/>
                <w:b/>
                <w:bCs/>
                <w:sz w:val="17"/>
                <w:szCs w:val="17"/>
              </w:rPr>
              <w:t>1,939</w:t>
            </w:r>
          </w:p>
        </w:tc>
        <w:tc>
          <w:tcPr>
            <w:tcW w:w="0" w:type="auto"/>
            <w:tcBorders>
              <w:top w:val="single" w:sz="8" w:space="0" w:color="E87722"/>
              <w:bottom w:val="single" w:sz="8" w:space="0" w:color="E87722"/>
            </w:tcBorders>
            <w:shd w:val="clear" w:color="auto" w:fill="auto"/>
            <w:vAlign w:val="bottom"/>
          </w:tcPr>
          <w:p w14:paraId="606F8346"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606F8347" w14:textId="77777777" w:rsidR="00FB67F9" w:rsidRDefault="00E839DF">
            <w:pPr>
              <w:jc w:val="right"/>
              <w:textAlignment w:val="center"/>
              <w:rPr>
                <w:rFonts w:ascii="Times New Roman" w:hAnsi="Times New Roman"/>
                <w:sz w:val="17"/>
                <w:szCs w:val="17"/>
              </w:rPr>
            </w:pPr>
            <w:r>
              <w:rPr>
                <w:rFonts w:ascii="Arial" w:eastAsia="宋体" w:hAnsi="Arial" w:cs="Arial"/>
                <w:b/>
                <w:bCs/>
                <w:sz w:val="17"/>
                <w:szCs w:val="17"/>
              </w:rPr>
              <w:t>28</w:t>
            </w:r>
          </w:p>
        </w:tc>
        <w:tc>
          <w:tcPr>
            <w:tcW w:w="0" w:type="auto"/>
            <w:tcBorders>
              <w:top w:val="single" w:sz="8" w:space="0" w:color="E87722"/>
            </w:tcBorders>
            <w:shd w:val="clear" w:color="auto" w:fill="auto"/>
            <w:tcMar>
              <w:top w:w="40" w:type="dxa"/>
              <w:bottom w:w="40" w:type="dxa"/>
              <w:right w:w="40" w:type="dxa"/>
            </w:tcMar>
            <w:vAlign w:val="center"/>
          </w:tcPr>
          <w:p w14:paraId="606F8348" w14:textId="77777777" w:rsidR="00FB67F9" w:rsidRDefault="00E839DF">
            <w:pPr>
              <w:textAlignment w:val="center"/>
              <w:rPr>
                <w:rFonts w:ascii="Times New Roman" w:hAnsi="Times New Roman"/>
                <w:sz w:val="17"/>
                <w:szCs w:val="17"/>
              </w:rPr>
            </w:pPr>
            <w:r>
              <w:rPr>
                <w:rFonts w:ascii="Arial" w:eastAsia="宋体" w:hAnsi="Arial" w:cs="Arial"/>
                <w:b/>
                <w:bCs/>
                <w:sz w:val="17"/>
                <w:szCs w:val="17"/>
              </w:rPr>
              <w:t>%</w:t>
            </w:r>
          </w:p>
        </w:tc>
      </w:tr>
      <w:tr w:rsidR="00FB67F9" w14:paraId="606F835C"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34A" w14:textId="77777777" w:rsidR="00FB67F9" w:rsidRDefault="00E839DF">
            <w:pPr>
              <w:textAlignment w:val="bottom"/>
              <w:rPr>
                <w:rFonts w:ascii="Times New Roman" w:hAnsi="Times New Roman"/>
                <w:sz w:val="17"/>
                <w:szCs w:val="17"/>
              </w:rPr>
            </w:pPr>
            <w:r>
              <w:rPr>
                <w:rFonts w:ascii="Arial" w:eastAsia="宋体" w:hAnsi="Arial" w:cs="Arial"/>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40" w:type="dxa"/>
              <w:bottom w:w="40" w:type="dxa"/>
            </w:tcMar>
            <w:vAlign w:val="center"/>
          </w:tcPr>
          <w:p w14:paraId="606F834B"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center"/>
          </w:tcPr>
          <w:p w14:paraId="606F834C"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0.70</w:t>
            </w:r>
          </w:p>
        </w:tc>
        <w:tc>
          <w:tcPr>
            <w:tcW w:w="0" w:type="auto"/>
            <w:tcBorders>
              <w:top w:val="single" w:sz="8" w:space="0" w:color="E87722"/>
              <w:bottom w:val="single" w:sz="8" w:space="0" w:color="E87722"/>
            </w:tcBorders>
            <w:shd w:val="clear" w:color="auto" w:fill="FFF1E7"/>
            <w:vAlign w:val="bottom"/>
          </w:tcPr>
          <w:p w14:paraId="606F834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606F834E"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606F834F"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0.52</w:t>
            </w:r>
          </w:p>
        </w:tc>
        <w:tc>
          <w:tcPr>
            <w:tcW w:w="0" w:type="auto"/>
            <w:tcBorders>
              <w:top w:val="single" w:sz="8" w:space="0" w:color="E87722"/>
              <w:bottom w:val="single" w:sz="8" w:space="0" w:color="E87722"/>
            </w:tcBorders>
            <w:shd w:val="clear" w:color="auto" w:fill="auto"/>
            <w:vAlign w:val="bottom"/>
          </w:tcPr>
          <w:p w14:paraId="606F835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606F8351"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35</w:t>
            </w:r>
          </w:p>
        </w:tc>
        <w:tc>
          <w:tcPr>
            <w:tcW w:w="0" w:type="auto"/>
            <w:tcBorders>
              <w:top w:val="single" w:sz="8" w:space="0" w:color="E87722"/>
              <w:bottom w:val="single" w:sz="8" w:space="0" w:color="E87722"/>
            </w:tcBorders>
            <w:shd w:val="clear" w:color="auto" w:fill="auto"/>
            <w:tcMar>
              <w:top w:w="40" w:type="dxa"/>
              <w:bottom w:w="40" w:type="dxa"/>
              <w:right w:w="40" w:type="dxa"/>
            </w:tcMar>
            <w:vAlign w:val="center"/>
          </w:tcPr>
          <w:p w14:paraId="606F8352" w14:textId="77777777" w:rsidR="00FB67F9" w:rsidRDefault="00E839DF">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35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center"/>
          </w:tcPr>
          <w:p w14:paraId="606F8354"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center"/>
          </w:tcPr>
          <w:p w14:paraId="606F8355"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1.56</w:t>
            </w:r>
          </w:p>
        </w:tc>
        <w:tc>
          <w:tcPr>
            <w:tcW w:w="0" w:type="auto"/>
            <w:tcBorders>
              <w:top w:val="single" w:sz="8" w:space="0" w:color="E87722"/>
              <w:bottom w:val="single" w:sz="8" w:space="0" w:color="E87722"/>
            </w:tcBorders>
            <w:shd w:val="clear" w:color="auto" w:fill="FFF1E7"/>
            <w:vAlign w:val="bottom"/>
          </w:tcPr>
          <w:p w14:paraId="606F835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606F8357"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606F8358"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1.19</w:t>
            </w:r>
          </w:p>
        </w:tc>
        <w:tc>
          <w:tcPr>
            <w:tcW w:w="0" w:type="auto"/>
            <w:tcBorders>
              <w:top w:val="single" w:sz="8" w:space="0" w:color="E87722"/>
              <w:bottom w:val="single" w:sz="8" w:space="0" w:color="E87722"/>
            </w:tcBorders>
            <w:shd w:val="clear" w:color="auto" w:fill="auto"/>
            <w:vAlign w:val="bottom"/>
          </w:tcPr>
          <w:p w14:paraId="606F835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606F835A" w14:textId="77777777" w:rsidR="00FB67F9" w:rsidRDefault="00E839DF">
            <w:pPr>
              <w:jc w:val="right"/>
              <w:textAlignment w:val="center"/>
              <w:rPr>
                <w:rFonts w:ascii="Times New Roman" w:hAnsi="Times New Roman"/>
                <w:sz w:val="17"/>
                <w:szCs w:val="17"/>
              </w:rPr>
            </w:pPr>
            <w:r>
              <w:rPr>
                <w:rFonts w:ascii="Arial" w:eastAsia="宋体" w:hAnsi="Arial" w:cs="Arial"/>
                <w:sz w:val="17"/>
                <w:szCs w:val="17"/>
              </w:rPr>
              <w:t>31</w:t>
            </w:r>
          </w:p>
        </w:tc>
        <w:tc>
          <w:tcPr>
            <w:tcW w:w="0" w:type="auto"/>
            <w:tcBorders>
              <w:top w:val="single" w:sz="8" w:space="0" w:color="E87722"/>
              <w:bottom w:val="single" w:sz="8" w:space="0" w:color="E87722"/>
            </w:tcBorders>
            <w:shd w:val="clear" w:color="auto" w:fill="auto"/>
            <w:tcMar>
              <w:top w:w="40" w:type="dxa"/>
              <w:bottom w:w="40" w:type="dxa"/>
              <w:right w:w="40" w:type="dxa"/>
            </w:tcMar>
            <w:vAlign w:val="center"/>
          </w:tcPr>
          <w:p w14:paraId="606F835B" w14:textId="77777777" w:rsidR="00FB67F9" w:rsidRDefault="00E839DF">
            <w:pPr>
              <w:textAlignment w:val="center"/>
              <w:rPr>
                <w:rFonts w:ascii="Times New Roman" w:hAnsi="Times New Roman"/>
                <w:sz w:val="17"/>
                <w:szCs w:val="17"/>
              </w:rPr>
            </w:pPr>
            <w:r>
              <w:rPr>
                <w:rFonts w:ascii="Arial" w:eastAsia="宋体" w:hAnsi="Arial" w:cs="Arial"/>
                <w:sz w:val="17"/>
                <w:szCs w:val="17"/>
              </w:rPr>
              <w:t>%</w:t>
            </w:r>
          </w:p>
        </w:tc>
      </w:tr>
    </w:tbl>
    <w:p w14:paraId="606F835D" w14:textId="77777777" w:rsidR="00FB67F9" w:rsidRDefault="00FB67F9">
      <w:pPr>
        <w:rPr>
          <w:rFonts w:ascii="Times New Roman" w:hAnsi="Times New Roman"/>
          <w:sz w:val="20"/>
          <w:szCs w:val="20"/>
        </w:rPr>
      </w:pPr>
    </w:p>
    <w:p w14:paraId="606F835E"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27</w:t>
      </w:r>
    </w:p>
    <w:p w14:paraId="606F835F" w14:textId="77777777" w:rsidR="00FB67F9" w:rsidRDefault="00E839DF">
      <w:r>
        <w:rPr>
          <w:rFonts w:ascii="Times New Roman" w:hAnsi="Times New Roman"/>
          <w:sz w:val="17"/>
          <w:szCs w:val="17"/>
        </w:rPr>
        <w:pict w14:anchorId="606F8F98">
          <v:rect id="_x0000_i1053" style="width:415.3pt;height:1.5pt" o:hralign="center" o:hrstd="t" o:hr="t" fillcolor="#a0a0a0" stroked="f"/>
        </w:pict>
      </w:r>
    </w:p>
    <w:p w14:paraId="606F8360" w14:textId="77777777" w:rsidR="00FB67F9" w:rsidRDefault="00FB67F9">
      <w:pPr>
        <w:rPr>
          <w:rFonts w:ascii="Times New Roman" w:hAnsi="Times New Roman"/>
          <w:sz w:val="17"/>
          <w:szCs w:val="17"/>
        </w:rPr>
      </w:pPr>
    </w:p>
    <w:p w14:paraId="606F8361" w14:textId="77777777" w:rsidR="00FB67F9" w:rsidRDefault="00E839DF">
      <w:pPr>
        <w:rPr>
          <w:rFonts w:ascii="Times New Roman" w:hAnsi="Times New Roman"/>
          <w:sz w:val="17"/>
          <w:szCs w:val="17"/>
        </w:rPr>
      </w:pPr>
      <w:hyperlink r:id="rId97" w:anchor="s42C493F7582652B69E70047AB812E6A5" w:history="1">
        <w:r>
          <w:rPr>
            <w:rStyle w:val="a5"/>
            <w:rFonts w:ascii="sans-serif" w:eastAsia="sans-serif" w:hAnsi="sans-serif" w:cs="sans-serif"/>
            <w:sz w:val="17"/>
            <w:szCs w:val="17"/>
          </w:rPr>
          <w:t>Table of Contents</w:t>
        </w:r>
      </w:hyperlink>
    </w:p>
    <w:p w14:paraId="606F8362" w14:textId="77777777" w:rsidR="00FB67F9" w:rsidRDefault="00FB67F9">
      <w:pPr>
        <w:rPr>
          <w:rFonts w:ascii="Times New Roman" w:hAnsi="Times New Roman"/>
          <w:sz w:val="17"/>
          <w:szCs w:val="17"/>
        </w:rPr>
      </w:pPr>
    </w:p>
    <w:p w14:paraId="606F8363" w14:textId="77777777" w:rsidR="00FB67F9" w:rsidRDefault="00FB67F9">
      <w:pPr>
        <w:rPr>
          <w:rFonts w:ascii="Times New Roman" w:hAnsi="Times New Roman"/>
          <w:sz w:val="20"/>
          <w:szCs w:val="20"/>
        </w:rPr>
      </w:pPr>
    </w:p>
    <w:p w14:paraId="606F8364"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CONSOLIDATED OPERATING RESULTS</w:t>
      </w:r>
    </w:p>
    <w:p w14:paraId="606F8365"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REVENUES</w:t>
      </w:r>
    </w:p>
    <w:tbl>
      <w:tblPr>
        <w:tblW w:w="5000" w:type="pct"/>
        <w:tblCellMar>
          <w:left w:w="0" w:type="dxa"/>
          <w:right w:w="0" w:type="dxa"/>
        </w:tblCellMar>
        <w:tblLook w:val="04A0" w:firstRow="1" w:lastRow="0" w:firstColumn="1" w:lastColumn="0" w:noHBand="0" w:noVBand="1"/>
      </w:tblPr>
      <w:tblGrid>
        <w:gridCol w:w="1688"/>
        <w:gridCol w:w="135"/>
        <w:gridCol w:w="520"/>
        <w:gridCol w:w="6"/>
        <w:gridCol w:w="135"/>
        <w:gridCol w:w="426"/>
        <w:gridCol w:w="6"/>
        <w:gridCol w:w="644"/>
        <w:gridCol w:w="192"/>
        <w:gridCol w:w="894"/>
        <w:gridCol w:w="192"/>
        <w:gridCol w:w="130"/>
        <w:gridCol w:w="135"/>
        <w:gridCol w:w="520"/>
        <w:gridCol w:w="6"/>
        <w:gridCol w:w="135"/>
        <w:gridCol w:w="520"/>
        <w:gridCol w:w="6"/>
        <w:gridCol w:w="644"/>
        <w:gridCol w:w="239"/>
        <w:gridCol w:w="894"/>
        <w:gridCol w:w="239"/>
      </w:tblGrid>
      <w:tr w:rsidR="00FB67F9" w14:paraId="606F8367" w14:textId="77777777">
        <w:tc>
          <w:tcPr>
            <w:tcW w:w="0" w:type="auto"/>
            <w:gridSpan w:val="22"/>
            <w:shd w:val="clear" w:color="auto" w:fill="auto"/>
            <w:vAlign w:val="center"/>
          </w:tcPr>
          <w:p w14:paraId="606F8366" w14:textId="77777777" w:rsidR="00FB67F9" w:rsidRDefault="00FB67F9">
            <w:pPr>
              <w:rPr>
                <w:rFonts w:ascii="Times New Roman" w:hAnsi="Times New Roman"/>
                <w:sz w:val="20"/>
                <w:szCs w:val="20"/>
              </w:rPr>
            </w:pPr>
          </w:p>
        </w:tc>
      </w:tr>
      <w:tr w:rsidR="00FB67F9" w14:paraId="606F837E" w14:textId="77777777">
        <w:tc>
          <w:tcPr>
            <w:tcW w:w="1350" w:type="pct"/>
            <w:shd w:val="clear" w:color="auto" w:fill="auto"/>
            <w:vAlign w:val="center"/>
          </w:tcPr>
          <w:p w14:paraId="606F8368" w14:textId="77777777" w:rsidR="00FB67F9" w:rsidRDefault="00FB67F9">
            <w:pPr>
              <w:rPr>
                <w:rFonts w:ascii="Times New Roman" w:hAnsi="Times New Roman"/>
                <w:sz w:val="20"/>
                <w:szCs w:val="20"/>
              </w:rPr>
            </w:pPr>
          </w:p>
        </w:tc>
        <w:tc>
          <w:tcPr>
            <w:tcW w:w="50" w:type="pct"/>
            <w:shd w:val="clear" w:color="auto" w:fill="auto"/>
            <w:vAlign w:val="center"/>
          </w:tcPr>
          <w:p w14:paraId="606F8369" w14:textId="77777777" w:rsidR="00FB67F9" w:rsidRDefault="00FB67F9">
            <w:pPr>
              <w:rPr>
                <w:rFonts w:ascii="Times New Roman" w:hAnsi="Times New Roman"/>
                <w:sz w:val="20"/>
                <w:szCs w:val="20"/>
              </w:rPr>
            </w:pPr>
          </w:p>
        </w:tc>
        <w:tc>
          <w:tcPr>
            <w:tcW w:w="350" w:type="pct"/>
            <w:shd w:val="clear" w:color="auto" w:fill="auto"/>
            <w:vAlign w:val="center"/>
          </w:tcPr>
          <w:p w14:paraId="606F836A" w14:textId="77777777" w:rsidR="00FB67F9" w:rsidRDefault="00FB67F9">
            <w:pPr>
              <w:rPr>
                <w:rFonts w:ascii="Times New Roman" w:hAnsi="Times New Roman"/>
                <w:sz w:val="20"/>
                <w:szCs w:val="20"/>
              </w:rPr>
            </w:pPr>
          </w:p>
        </w:tc>
        <w:tc>
          <w:tcPr>
            <w:tcW w:w="50" w:type="pct"/>
            <w:shd w:val="clear" w:color="auto" w:fill="auto"/>
            <w:vAlign w:val="center"/>
          </w:tcPr>
          <w:p w14:paraId="606F836B" w14:textId="77777777" w:rsidR="00FB67F9" w:rsidRDefault="00FB67F9">
            <w:pPr>
              <w:rPr>
                <w:rFonts w:ascii="Times New Roman" w:hAnsi="Times New Roman"/>
                <w:sz w:val="20"/>
                <w:szCs w:val="20"/>
              </w:rPr>
            </w:pPr>
          </w:p>
        </w:tc>
        <w:tc>
          <w:tcPr>
            <w:tcW w:w="50" w:type="pct"/>
            <w:shd w:val="clear" w:color="auto" w:fill="auto"/>
            <w:vAlign w:val="center"/>
          </w:tcPr>
          <w:p w14:paraId="606F836C" w14:textId="77777777" w:rsidR="00FB67F9" w:rsidRDefault="00FB67F9">
            <w:pPr>
              <w:rPr>
                <w:rFonts w:ascii="Times New Roman" w:hAnsi="Times New Roman"/>
                <w:sz w:val="20"/>
                <w:szCs w:val="20"/>
              </w:rPr>
            </w:pPr>
          </w:p>
        </w:tc>
        <w:tc>
          <w:tcPr>
            <w:tcW w:w="350" w:type="pct"/>
            <w:shd w:val="clear" w:color="auto" w:fill="auto"/>
            <w:vAlign w:val="center"/>
          </w:tcPr>
          <w:p w14:paraId="606F836D" w14:textId="77777777" w:rsidR="00FB67F9" w:rsidRDefault="00FB67F9">
            <w:pPr>
              <w:rPr>
                <w:rFonts w:ascii="Times New Roman" w:hAnsi="Times New Roman"/>
                <w:sz w:val="20"/>
                <w:szCs w:val="20"/>
              </w:rPr>
            </w:pPr>
          </w:p>
        </w:tc>
        <w:tc>
          <w:tcPr>
            <w:tcW w:w="50" w:type="pct"/>
            <w:shd w:val="clear" w:color="auto" w:fill="auto"/>
            <w:vAlign w:val="center"/>
          </w:tcPr>
          <w:p w14:paraId="606F836E" w14:textId="77777777" w:rsidR="00FB67F9" w:rsidRDefault="00FB67F9">
            <w:pPr>
              <w:rPr>
                <w:rFonts w:ascii="Times New Roman" w:hAnsi="Times New Roman"/>
                <w:sz w:val="20"/>
                <w:szCs w:val="20"/>
              </w:rPr>
            </w:pPr>
          </w:p>
        </w:tc>
        <w:tc>
          <w:tcPr>
            <w:tcW w:w="400" w:type="pct"/>
            <w:shd w:val="clear" w:color="auto" w:fill="auto"/>
            <w:vAlign w:val="center"/>
          </w:tcPr>
          <w:p w14:paraId="606F836F" w14:textId="77777777" w:rsidR="00FB67F9" w:rsidRDefault="00FB67F9">
            <w:pPr>
              <w:rPr>
                <w:rFonts w:ascii="Times New Roman" w:hAnsi="Times New Roman"/>
                <w:sz w:val="20"/>
                <w:szCs w:val="20"/>
              </w:rPr>
            </w:pPr>
          </w:p>
        </w:tc>
        <w:tc>
          <w:tcPr>
            <w:tcW w:w="50" w:type="pct"/>
            <w:shd w:val="clear" w:color="auto" w:fill="auto"/>
            <w:vAlign w:val="center"/>
          </w:tcPr>
          <w:p w14:paraId="606F8370" w14:textId="77777777" w:rsidR="00FB67F9" w:rsidRDefault="00FB67F9">
            <w:pPr>
              <w:rPr>
                <w:rFonts w:ascii="Times New Roman" w:hAnsi="Times New Roman"/>
                <w:sz w:val="20"/>
                <w:szCs w:val="20"/>
              </w:rPr>
            </w:pPr>
          </w:p>
        </w:tc>
        <w:tc>
          <w:tcPr>
            <w:tcW w:w="400" w:type="pct"/>
            <w:shd w:val="clear" w:color="auto" w:fill="auto"/>
            <w:vAlign w:val="center"/>
          </w:tcPr>
          <w:p w14:paraId="606F8371" w14:textId="77777777" w:rsidR="00FB67F9" w:rsidRDefault="00FB67F9">
            <w:pPr>
              <w:rPr>
                <w:rFonts w:ascii="Times New Roman" w:hAnsi="Times New Roman"/>
                <w:sz w:val="20"/>
                <w:szCs w:val="20"/>
              </w:rPr>
            </w:pPr>
          </w:p>
        </w:tc>
        <w:tc>
          <w:tcPr>
            <w:tcW w:w="50" w:type="pct"/>
            <w:shd w:val="clear" w:color="auto" w:fill="auto"/>
            <w:vAlign w:val="center"/>
          </w:tcPr>
          <w:p w14:paraId="606F8372" w14:textId="77777777" w:rsidR="00FB67F9" w:rsidRDefault="00FB67F9">
            <w:pPr>
              <w:rPr>
                <w:rFonts w:ascii="Times New Roman" w:hAnsi="Times New Roman"/>
                <w:sz w:val="20"/>
                <w:szCs w:val="20"/>
              </w:rPr>
            </w:pPr>
          </w:p>
        </w:tc>
        <w:tc>
          <w:tcPr>
            <w:tcW w:w="50" w:type="pct"/>
            <w:shd w:val="clear" w:color="auto" w:fill="auto"/>
            <w:vAlign w:val="center"/>
          </w:tcPr>
          <w:p w14:paraId="606F8373" w14:textId="77777777" w:rsidR="00FB67F9" w:rsidRDefault="00FB67F9">
            <w:pPr>
              <w:rPr>
                <w:rFonts w:ascii="Times New Roman" w:hAnsi="Times New Roman"/>
                <w:sz w:val="20"/>
                <w:szCs w:val="20"/>
              </w:rPr>
            </w:pPr>
          </w:p>
        </w:tc>
        <w:tc>
          <w:tcPr>
            <w:tcW w:w="50" w:type="pct"/>
            <w:shd w:val="clear" w:color="auto" w:fill="auto"/>
            <w:vAlign w:val="center"/>
          </w:tcPr>
          <w:p w14:paraId="606F8374" w14:textId="77777777" w:rsidR="00FB67F9" w:rsidRDefault="00FB67F9">
            <w:pPr>
              <w:rPr>
                <w:rFonts w:ascii="Times New Roman" w:hAnsi="Times New Roman"/>
                <w:sz w:val="20"/>
                <w:szCs w:val="20"/>
              </w:rPr>
            </w:pPr>
          </w:p>
        </w:tc>
        <w:tc>
          <w:tcPr>
            <w:tcW w:w="350" w:type="pct"/>
            <w:shd w:val="clear" w:color="auto" w:fill="auto"/>
            <w:vAlign w:val="center"/>
          </w:tcPr>
          <w:p w14:paraId="606F8375" w14:textId="77777777" w:rsidR="00FB67F9" w:rsidRDefault="00FB67F9">
            <w:pPr>
              <w:rPr>
                <w:rFonts w:ascii="Times New Roman" w:hAnsi="Times New Roman"/>
                <w:sz w:val="20"/>
                <w:szCs w:val="20"/>
              </w:rPr>
            </w:pPr>
          </w:p>
        </w:tc>
        <w:tc>
          <w:tcPr>
            <w:tcW w:w="50" w:type="pct"/>
            <w:shd w:val="clear" w:color="auto" w:fill="auto"/>
            <w:vAlign w:val="center"/>
          </w:tcPr>
          <w:p w14:paraId="606F8376" w14:textId="77777777" w:rsidR="00FB67F9" w:rsidRDefault="00FB67F9">
            <w:pPr>
              <w:rPr>
                <w:rFonts w:ascii="Times New Roman" w:hAnsi="Times New Roman"/>
                <w:sz w:val="20"/>
                <w:szCs w:val="20"/>
              </w:rPr>
            </w:pPr>
          </w:p>
        </w:tc>
        <w:tc>
          <w:tcPr>
            <w:tcW w:w="50" w:type="pct"/>
            <w:shd w:val="clear" w:color="auto" w:fill="auto"/>
            <w:vAlign w:val="center"/>
          </w:tcPr>
          <w:p w14:paraId="606F8377" w14:textId="77777777" w:rsidR="00FB67F9" w:rsidRDefault="00FB67F9">
            <w:pPr>
              <w:rPr>
                <w:rFonts w:ascii="Times New Roman" w:hAnsi="Times New Roman"/>
                <w:sz w:val="20"/>
                <w:szCs w:val="20"/>
              </w:rPr>
            </w:pPr>
          </w:p>
        </w:tc>
        <w:tc>
          <w:tcPr>
            <w:tcW w:w="350" w:type="pct"/>
            <w:shd w:val="clear" w:color="auto" w:fill="auto"/>
            <w:vAlign w:val="center"/>
          </w:tcPr>
          <w:p w14:paraId="606F8378" w14:textId="77777777" w:rsidR="00FB67F9" w:rsidRDefault="00FB67F9">
            <w:pPr>
              <w:rPr>
                <w:rFonts w:ascii="Times New Roman" w:hAnsi="Times New Roman"/>
                <w:sz w:val="20"/>
                <w:szCs w:val="20"/>
              </w:rPr>
            </w:pPr>
          </w:p>
        </w:tc>
        <w:tc>
          <w:tcPr>
            <w:tcW w:w="50" w:type="pct"/>
            <w:shd w:val="clear" w:color="auto" w:fill="auto"/>
            <w:vAlign w:val="center"/>
          </w:tcPr>
          <w:p w14:paraId="606F8379" w14:textId="77777777" w:rsidR="00FB67F9" w:rsidRDefault="00FB67F9">
            <w:pPr>
              <w:rPr>
                <w:rFonts w:ascii="Times New Roman" w:hAnsi="Times New Roman"/>
                <w:sz w:val="20"/>
                <w:szCs w:val="20"/>
              </w:rPr>
            </w:pPr>
          </w:p>
        </w:tc>
        <w:tc>
          <w:tcPr>
            <w:tcW w:w="400" w:type="pct"/>
            <w:shd w:val="clear" w:color="auto" w:fill="auto"/>
            <w:vAlign w:val="center"/>
          </w:tcPr>
          <w:p w14:paraId="606F837A" w14:textId="77777777" w:rsidR="00FB67F9" w:rsidRDefault="00FB67F9">
            <w:pPr>
              <w:rPr>
                <w:rFonts w:ascii="Times New Roman" w:hAnsi="Times New Roman"/>
                <w:sz w:val="20"/>
                <w:szCs w:val="20"/>
              </w:rPr>
            </w:pPr>
          </w:p>
        </w:tc>
        <w:tc>
          <w:tcPr>
            <w:tcW w:w="50" w:type="pct"/>
            <w:shd w:val="clear" w:color="auto" w:fill="auto"/>
            <w:vAlign w:val="center"/>
          </w:tcPr>
          <w:p w14:paraId="606F837B" w14:textId="77777777" w:rsidR="00FB67F9" w:rsidRDefault="00FB67F9">
            <w:pPr>
              <w:rPr>
                <w:rFonts w:ascii="Times New Roman" w:hAnsi="Times New Roman"/>
                <w:sz w:val="20"/>
                <w:szCs w:val="20"/>
              </w:rPr>
            </w:pPr>
          </w:p>
        </w:tc>
        <w:tc>
          <w:tcPr>
            <w:tcW w:w="400" w:type="pct"/>
            <w:shd w:val="clear" w:color="auto" w:fill="auto"/>
            <w:vAlign w:val="center"/>
          </w:tcPr>
          <w:p w14:paraId="606F837C" w14:textId="77777777" w:rsidR="00FB67F9" w:rsidRDefault="00FB67F9">
            <w:pPr>
              <w:rPr>
                <w:rFonts w:ascii="Times New Roman" w:hAnsi="Times New Roman"/>
                <w:sz w:val="20"/>
                <w:szCs w:val="20"/>
              </w:rPr>
            </w:pPr>
          </w:p>
        </w:tc>
        <w:tc>
          <w:tcPr>
            <w:tcW w:w="50" w:type="pct"/>
            <w:shd w:val="clear" w:color="auto" w:fill="auto"/>
            <w:vAlign w:val="center"/>
          </w:tcPr>
          <w:p w14:paraId="606F837D" w14:textId="77777777" w:rsidR="00FB67F9" w:rsidRDefault="00FB67F9">
            <w:pPr>
              <w:rPr>
                <w:rFonts w:ascii="Times New Roman" w:hAnsi="Times New Roman"/>
                <w:sz w:val="20"/>
                <w:szCs w:val="20"/>
              </w:rPr>
            </w:pPr>
          </w:p>
        </w:tc>
      </w:tr>
      <w:tr w:rsidR="00FB67F9" w14:paraId="606F8383" w14:textId="77777777">
        <w:tc>
          <w:tcPr>
            <w:tcW w:w="0" w:type="auto"/>
            <w:shd w:val="clear" w:color="auto" w:fill="auto"/>
            <w:tcMar>
              <w:top w:w="40" w:type="dxa"/>
              <w:left w:w="40" w:type="dxa"/>
              <w:bottom w:w="40" w:type="dxa"/>
              <w:right w:w="40" w:type="dxa"/>
            </w:tcMar>
            <w:vAlign w:val="bottom"/>
          </w:tcPr>
          <w:p w14:paraId="606F83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38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38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38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39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384"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38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38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38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388"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38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606F838A"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38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38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38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38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38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390"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606F8391" w14:textId="77777777" w:rsidR="00FB67F9" w:rsidRDefault="00FB67F9">
            <w:pPr>
              <w:textAlignment w:val="bottom"/>
              <w:rPr>
                <w:rFonts w:ascii="Times New Roman" w:hAnsi="Times New Roman"/>
                <w:sz w:val="20"/>
                <w:szCs w:val="20"/>
              </w:rPr>
            </w:pPr>
          </w:p>
        </w:tc>
      </w:tr>
      <w:tr w:rsidR="00FB67F9" w14:paraId="606F839D" w14:textId="77777777">
        <w:tc>
          <w:tcPr>
            <w:tcW w:w="0" w:type="auto"/>
            <w:shd w:val="clear" w:color="auto" w:fill="auto"/>
            <w:tcMar>
              <w:top w:w="40" w:type="dxa"/>
              <w:left w:w="40" w:type="dxa"/>
              <w:bottom w:w="40" w:type="dxa"/>
              <w:right w:w="40" w:type="dxa"/>
            </w:tcMar>
            <w:vAlign w:val="bottom"/>
          </w:tcPr>
          <w:p w14:paraId="606F8393" w14:textId="77777777" w:rsidR="00FB67F9" w:rsidRDefault="00E839DF">
            <w:pPr>
              <w:textAlignment w:val="bottom"/>
              <w:rPr>
                <w:rFonts w:ascii="Times New Roman" w:hAnsi="Times New Roman"/>
                <w:sz w:val="17"/>
                <w:szCs w:val="17"/>
              </w:rPr>
            </w:pPr>
            <w:r>
              <w:rPr>
                <w:rFonts w:ascii="Arial" w:eastAsia="宋体" w:hAnsi="Arial" w:cs="Arial"/>
                <w:b/>
                <w:bCs/>
                <w:i/>
                <w:iCs/>
                <w:sz w:val="17"/>
                <w:szCs w:val="17"/>
              </w:rPr>
              <w:t xml:space="preserve">NIKE, Inc. </w:t>
            </w:r>
            <w:r>
              <w:rPr>
                <w:rFonts w:ascii="Arial" w:eastAsia="宋体" w:hAnsi="Arial" w:cs="Arial"/>
                <w:b/>
                <w:bCs/>
                <w:i/>
                <w:iCs/>
                <w:sz w:val="17"/>
                <w:szCs w:val="17"/>
              </w:rPr>
              <w:t>Revenues:</w:t>
            </w:r>
          </w:p>
        </w:tc>
        <w:tc>
          <w:tcPr>
            <w:tcW w:w="0" w:type="auto"/>
            <w:gridSpan w:val="3"/>
            <w:shd w:val="clear" w:color="auto" w:fill="FFF1E7"/>
            <w:tcMar>
              <w:top w:w="40" w:type="dxa"/>
              <w:left w:w="40" w:type="dxa"/>
              <w:bottom w:w="40" w:type="dxa"/>
              <w:right w:w="40" w:type="dxa"/>
            </w:tcMar>
            <w:vAlign w:val="bottom"/>
          </w:tcPr>
          <w:p w14:paraId="606F839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39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39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39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39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39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39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39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39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3A8"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39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NIKE Brand Revenues by:</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839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83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3A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3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3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83A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83A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3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3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3B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3A9"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83A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3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6,206</w:t>
            </w:r>
          </w:p>
        </w:tc>
        <w:tc>
          <w:tcPr>
            <w:tcW w:w="0" w:type="auto"/>
            <w:tcBorders>
              <w:top w:val="single" w:sz="8" w:space="0" w:color="808080"/>
            </w:tcBorders>
            <w:shd w:val="clear" w:color="auto" w:fill="FFF1E7"/>
            <w:vAlign w:val="bottom"/>
          </w:tcPr>
          <w:p w14:paraId="606F83A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3A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3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5,565</w:t>
            </w:r>
          </w:p>
        </w:tc>
        <w:tc>
          <w:tcPr>
            <w:tcW w:w="0" w:type="auto"/>
            <w:tcBorders>
              <w:top w:val="single" w:sz="8" w:space="0" w:color="808080"/>
            </w:tcBorders>
            <w:shd w:val="clear" w:color="auto" w:fill="auto"/>
            <w:vAlign w:val="bottom"/>
          </w:tcPr>
          <w:p w14:paraId="606F83A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3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606F83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3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tcMar>
              <w:top w:w="40" w:type="dxa"/>
              <w:bottom w:w="40" w:type="dxa"/>
              <w:right w:w="40" w:type="dxa"/>
            </w:tcMar>
            <w:vAlign w:val="bottom"/>
          </w:tcPr>
          <w:p w14:paraId="606F83B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3B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83B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3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12,727</w:t>
            </w:r>
          </w:p>
        </w:tc>
        <w:tc>
          <w:tcPr>
            <w:tcW w:w="0" w:type="auto"/>
            <w:tcBorders>
              <w:top w:val="single" w:sz="8" w:space="0" w:color="808080"/>
            </w:tcBorders>
            <w:shd w:val="clear" w:color="auto" w:fill="FFF1E7"/>
            <w:vAlign w:val="bottom"/>
          </w:tcPr>
          <w:p w14:paraId="606F83B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3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3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11,601</w:t>
            </w:r>
          </w:p>
        </w:tc>
        <w:tc>
          <w:tcPr>
            <w:tcW w:w="0" w:type="auto"/>
            <w:tcBorders>
              <w:top w:val="single" w:sz="8" w:space="0" w:color="808080"/>
            </w:tcBorders>
            <w:shd w:val="clear" w:color="auto" w:fill="auto"/>
            <w:vAlign w:val="bottom"/>
          </w:tcPr>
          <w:p w14:paraId="606F83BA"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3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606F83BC"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3B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tcBorders>
            <w:shd w:val="clear" w:color="auto" w:fill="auto"/>
            <w:tcMar>
              <w:top w:w="40" w:type="dxa"/>
              <w:bottom w:w="40" w:type="dxa"/>
              <w:right w:w="40" w:type="dxa"/>
            </w:tcMar>
            <w:vAlign w:val="bottom"/>
          </w:tcPr>
          <w:p w14:paraId="606F83B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3D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3C0"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FFF1E7"/>
            <w:tcMar>
              <w:top w:w="40" w:type="dxa"/>
              <w:left w:w="40" w:type="dxa"/>
              <w:bottom w:w="40" w:type="dxa"/>
            </w:tcMar>
            <w:vAlign w:val="bottom"/>
          </w:tcPr>
          <w:p w14:paraId="606F83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3,287</w:t>
            </w:r>
          </w:p>
        </w:tc>
        <w:tc>
          <w:tcPr>
            <w:tcW w:w="0" w:type="auto"/>
            <w:tcBorders>
              <w:top w:val="single" w:sz="8" w:space="0" w:color="808080"/>
            </w:tcBorders>
            <w:shd w:val="clear" w:color="auto" w:fill="FFF1E7"/>
            <w:vAlign w:val="bottom"/>
          </w:tcPr>
          <w:p w14:paraId="606F83C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3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3,049</w:t>
            </w:r>
          </w:p>
        </w:tc>
        <w:tc>
          <w:tcPr>
            <w:tcW w:w="0" w:type="auto"/>
            <w:tcBorders>
              <w:top w:val="single" w:sz="8" w:space="0" w:color="808080"/>
            </w:tcBorders>
            <w:shd w:val="clear" w:color="auto" w:fill="auto"/>
            <w:vAlign w:val="bottom"/>
          </w:tcPr>
          <w:p w14:paraId="606F83C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3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606F83C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3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606F83C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3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3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6,408</w:t>
            </w:r>
          </w:p>
        </w:tc>
        <w:tc>
          <w:tcPr>
            <w:tcW w:w="0" w:type="auto"/>
            <w:tcBorders>
              <w:top w:val="single" w:sz="8" w:space="0" w:color="808080"/>
            </w:tcBorders>
            <w:shd w:val="clear" w:color="auto" w:fill="FFF1E7"/>
            <w:vAlign w:val="bottom"/>
          </w:tcPr>
          <w:p w14:paraId="606F83C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3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5,998</w:t>
            </w:r>
          </w:p>
        </w:tc>
        <w:tc>
          <w:tcPr>
            <w:tcW w:w="0" w:type="auto"/>
            <w:tcBorders>
              <w:top w:val="single" w:sz="8" w:space="0" w:color="808080"/>
            </w:tcBorders>
            <w:shd w:val="clear" w:color="auto" w:fill="auto"/>
            <w:vAlign w:val="bottom"/>
          </w:tcPr>
          <w:p w14:paraId="606F83C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3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606F83CF"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3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606F83D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3E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3D3" w14:textId="77777777" w:rsidR="00FB67F9" w:rsidRDefault="00E839DF">
            <w:pPr>
              <w:textAlignment w:val="bottom"/>
              <w:rPr>
                <w:rFonts w:ascii="Times New Roman" w:hAnsi="Times New Roman"/>
                <w:sz w:val="17"/>
                <w:szCs w:val="17"/>
              </w:rPr>
            </w:pPr>
            <w:r>
              <w:rPr>
                <w:rFonts w:ascii="Arial" w:eastAsia="宋体" w:hAnsi="Arial" w:cs="Arial"/>
                <w:sz w:val="17"/>
                <w:szCs w:val="17"/>
              </w:rPr>
              <w:t>Equi</w:t>
            </w:r>
            <w:r>
              <w:rPr>
                <w:rFonts w:ascii="Arial" w:eastAsia="宋体" w:hAnsi="Arial" w:cs="Arial"/>
                <w:sz w:val="17"/>
                <w:szCs w:val="17"/>
              </w:rPr>
              <w:t>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3D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341</w:t>
            </w:r>
          </w:p>
        </w:tc>
        <w:tc>
          <w:tcPr>
            <w:tcW w:w="0" w:type="auto"/>
            <w:tcBorders>
              <w:top w:val="single" w:sz="8" w:space="0" w:color="808080"/>
              <w:bottom w:val="single" w:sz="8" w:space="0" w:color="808080"/>
            </w:tcBorders>
            <w:shd w:val="clear" w:color="auto" w:fill="FFF1E7"/>
            <w:vAlign w:val="bottom"/>
          </w:tcPr>
          <w:p w14:paraId="606F83D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3D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323</w:t>
            </w:r>
          </w:p>
        </w:tc>
        <w:tc>
          <w:tcPr>
            <w:tcW w:w="0" w:type="auto"/>
            <w:tcBorders>
              <w:top w:val="single" w:sz="8" w:space="0" w:color="808080"/>
              <w:bottom w:val="single" w:sz="8" w:space="0" w:color="808080"/>
            </w:tcBorders>
            <w:shd w:val="clear" w:color="auto" w:fill="auto"/>
            <w:vAlign w:val="bottom"/>
          </w:tcPr>
          <w:p w14:paraId="606F83D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3D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3D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3D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3D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3D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3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789</w:t>
            </w:r>
          </w:p>
        </w:tc>
        <w:tc>
          <w:tcPr>
            <w:tcW w:w="0" w:type="auto"/>
            <w:tcBorders>
              <w:top w:val="single" w:sz="8" w:space="0" w:color="808080"/>
              <w:bottom w:val="single" w:sz="8" w:space="0" w:color="808080"/>
            </w:tcBorders>
            <w:shd w:val="clear" w:color="auto" w:fill="FFF1E7"/>
            <w:vAlign w:val="bottom"/>
          </w:tcPr>
          <w:p w14:paraId="606F83DE"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3D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739</w:t>
            </w:r>
          </w:p>
        </w:tc>
        <w:tc>
          <w:tcPr>
            <w:tcW w:w="0" w:type="auto"/>
            <w:tcBorders>
              <w:top w:val="single" w:sz="8" w:space="0" w:color="808080"/>
              <w:bottom w:val="single" w:sz="8" w:space="0" w:color="808080"/>
            </w:tcBorders>
            <w:shd w:val="clear" w:color="auto" w:fill="auto"/>
            <w:vAlign w:val="bottom"/>
          </w:tcPr>
          <w:p w14:paraId="606F83E0"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3E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3E2"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3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3E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3F8" w14:textId="77777777">
        <w:tc>
          <w:tcPr>
            <w:tcW w:w="0" w:type="auto"/>
            <w:shd w:val="clear" w:color="auto" w:fill="auto"/>
            <w:tcMar>
              <w:top w:w="40" w:type="dxa"/>
              <w:left w:w="240" w:type="dxa"/>
              <w:bottom w:w="40" w:type="dxa"/>
              <w:right w:w="40" w:type="dxa"/>
            </w:tcMar>
            <w:vAlign w:val="bottom"/>
          </w:tcPr>
          <w:p w14:paraId="606F83E6" w14:textId="77777777" w:rsidR="00FB67F9" w:rsidRDefault="00E839DF">
            <w:pPr>
              <w:textAlignment w:val="bottom"/>
              <w:rPr>
                <w:rFonts w:ascii="Times New Roman" w:hAnsi="Times New Roman"/>
                <w:sz w:val="17"/>
                <w:szCs w:val="17"/>
              </w:rPr>
            </w:pPr>
            <w:r>
              <w:rPr>
                <w:rFonts w:ascii="Arial" w:eastAsia="宋体" w:hAnsi="Arial" w:cs="Arial"/>
                <w:sz w:val="17"/>
                <w:szCs w:val="17"/>
              </w:rPr>
              <w:t>Glob</w:t>
            </w:r>
            <w:r>
              <w:rPr>
                <w:rFonts w:ascii="Arial" w:eastAsia="宋体" w:hAnsi="Arial" w:cs="Arial"/>
                <w:sz w:val="17"/>
                <w:szCs w:val="17"/>
              </w:rPr>
              <w:t>al Brand Divisions</w:t>
            </w:r>
            <w:r>
              <w:rPr>
                <w:rFonts w:ascii="Arial" w:eastAsia="宋体" w:hAnsi="Arial" w:cs="Arial"/>
                <w:sz w:val="15"/>
                <w:szCs w:val="15"/>
              </w:rPr>
              <w:t>(2)</w:t>
            </w:r>
          </w:p>
        </w:tc>
        <w:tc>
          <w:tcPr>
            <w:tcW w:w="0" w:type="auto"/>
            <w:gridSpan w:val="2"/>
            <w:shd w:val="clear" w:color="auto" w:fill="FFF1E7"/>
            <w:tcMar>
              <w:top w:w="40" w:type="dxa"/>
              <w:left w:w="40" w:type="dxa"/>
              <w:bottom w:w="40" w:type="dxa"/>
            </w:tcMar>
            <w:vAlign w:val="bottom"/>
          </w:tcPr>
          <w:p w14:paraId="606F83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83E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3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vAlign w:val="bottom"/>
          </w:tcPr>
          <w:p w14:paraId="606F83EA"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3E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3E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3E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3E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3E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3F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FFF1E7"/>
            <w:vAlign w:val="bottom"/>
          </w:tcPr>
          <w:p w14:paraId="606F83F1"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3F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vAlign w:val="bottom"/>
          </w:tcPr>
          <w:p w14:paraId="606F83F3"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3F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shd w:val="clear" w:color="auto" w:fill="auto"/>
            <w:tcMar>
              <w:top w:w="40" w:type="dxa"/>
              <w:bottom w:w="40" w:type="dxa"/>
              <w:right w:w="40" w:type="dxa"/>
            </w:tcMar>
            <w:vAlign w:val="bottom"/>
          </w:tcPr>
          <w:p w14:paraId="606F83F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3F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shd w:val="clear" w:color="auto" w:fill="auto"/>
            <w:tcMar>
              <w:top w:w="40" w:type="dxa"/>
              <w:bottom w:w="40" w:type="dxa"/>
              <w:right w:w="40" w:type="dxa"/>
            </w:tcMar>
            <w:vAlign w:val="bottom"/>
          </w:tcPr>
          <w:p w14:paraId="606F83F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40B"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3F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Brand Revenues</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3F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9,844</w:t>
            </w:r>
          </w:p>
        </w:tc>
        <w:tc>
          <w:tcPr>
            <w:tcW w:w="0" w:type="auto"/>
            <w:tcBorders>
              <w:top w:val="single" w:sz="8" w:space="0" w:color="E87722"/>
              <w:bottom w:val="single" w:sz="8" w:space="0" w:color="E87722"/>
            </w:tcBorders>
            <w:shd w:val="clear" w:color="auto" w:fill="FFF1E7"/>
            <w:vAlign w:val="bottom"/>
          </w:tcPr>
          <w:p w14:paraId="606F83FB"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3F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8,946</w:t>
            </w:r>
          </w:p>
        </w:tc>
        <w:tc>
          <w:tcPr>
            <w:tcW w:w="0" w:type="auto"/>
            <w:tcBorders>
              <w:top w:val="single" w:sz="8" w:space="0" w:color="E87722"/>
              <w:bottom w:val="single" w:sz="8" w:space="0" w:color="E87722"/>
            </w:tcBorders>
            <w:shd w:val="clear" w:color="auto" w:fill="auto"/>
            <w:vAlign w:val="bottom"/>
          </w:tcPr>
          <w:p w14:paraId="606F83FD"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3F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tcBorders>
            <w:shd w:val="clear" w:color="auto" w:fill="auto"/>
            <w:tcMar>
              <w:top w:w="40" w:type="dxa"/>
              <w:bottom w:w="40" w:type="dxa"/>
              <w:right w:w="40" w:type="dxa"/>
            </w:tcMar>
            <w:vAlign w:val="bottom"/>
          </w:tcPr>
          <w:p w14:paraId="606F83F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606F840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w:t>
            </w:r>
          </w:p>
        </w:tc>
        <w:tc>
          <w:tcPr>
            <w:tcW w:w="0" w:type="auto"/>
            <w:tcBorders>
              <w:top w:val="single" w:sz="8" w:space="0" w:color="E87722"/>
            </w:tcBorders>
            <w:shd w:val="clear" w:color="auto" w:fill="auto"/>
            <w:tcMar>
              <w:top w:w="40" w:type="dxa"/>
              <w:bottom w:w="40" w:type="dxa"/>
              <w:right w:w="40" w:type="dxa"/>
            </w:tcMar>
            <w:vAlign w:val="bottom"/>
          </w:tcPr>
          <w:p w14:paraId="606F840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40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40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19,940</w:t>
            </w:r>
          </w:p>
        </w:tc>
        <w:tc>
          <w:tcPr>
            <w:tcW w:w="0" w:type="auto"/>
            <w:tcBorders>
              <w:top w:val="single" w:sz="8" w:space="0" w:color="E87722"/>
              <w:bottom w:val="single" w:sz="8" w:space="0" w:color="E87722"/>
            </w:tcBorders>
            <w:shd w:val="clear" w:color="auto" w:fill="FFF1E7"/>
            <w:vAlign w:val="bottom"/>
          </w:tcPr>
          <w:p w14:paraId="606F8404"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40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18,363</w:t>
            </w:r>
          </w:p>
        </w:tc>
        <w:tc>
          <w:tcPr>
            <w:tcW w:w="0" w:type="auto"/>
            <w:tcBorders>
              <w:top w:val="single" w:sz="8" w:space="0" w:color="E87722"/>
              <w:bottom w:val="single" w:sz="8" w:space="0" w:color="E87722"/>
            </w:tcBorders>
            <w:shd w:val="clear" w:color="auto" w:fill="auto"/>
            <w:vAlign w:val="bottom"/>
          </w:tcPr>
          <w:p w14:paraId="606F8406"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40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tcBorders>
            <w:shd w:val="clear" w:color="auto" w:fill="auto"/>
            <w:tcMar>
              <w:top w:w="40" w:type="dxa"/>
              <w:bottom w:w="40" w:type="dxa"/>
              <w:right w:w="40" w:type="dxa"/>
            </w:tcMar>
            <w:vAlign w:val="bottom"/>
          </w:tcPr>
          <w:p w14:paraId="606F840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606F840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tcBorders>
            <w:shd w:val="clear" w:color="auto" w:fill="auto"/>
            <w:tcMar>
              <w:top w:w="40" w:type="dxa"/>
              <w:bottom w:w="40" w:type="dxa"/>
              <w:right w:w="40" w:type="dxa"/>
            </w:tcMar>
            <w:vAlign w:val="bottom"/>
          </w:tcPr>
          <w:p w14:paraId="606F840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r w:rsidR="00FB67F9" w14:paraId="606F841E" w14:textId="77777777">
        <w:tc>
          <w:tcPr>
            <w:tcW w:w="0" w:type="auto"/>
            <w:shd w:val="clear" w:color="auto" w:fill="auto"/>
            <w:tcMar>
              <w:top w:w="40" w:type="dxa"/>
              <w:left w:w="240" w:type="dxa"/>
              <w:bottom w:w="40" w:type="dxa"/>
              <w:right w:w="40" w:type="dxa"/>
            </w:tcMar>
            <w:vAlign w:val="bottom"/>
          </w:tcPr>
          <w:p w14:paraId="606F840C"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E87722"/>
            </w:tcBorders>
            <w:shd w:val="clear" w:color="auto" w:fill="FFF1E7"/>
            <w:tcMar>
              <w:top w:w="40" w:type="dxa"/>
              <w:left w:w="40" w:type="dxa"/>
              <w:bottom w:w="40" w:type="dxa"/>
            </w:tcMar>
            <w:vAlign w:val="bottom"/>
          </w:tcPr>
          <w:p w14:paraId="606F840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480</w:t>
            </w:r>
          </w:p>
        </w:tc>
        <w:tc>
          <w:tcPr>
            <w:tcW w:w="0" w:type="auto"/>
            <w:tcBorders>
              <w:top w:val="single" w:sz="8" w:space="0" w:color="E87722"/>
            </w:tcBorders>
            <w:shd w:val="clear" w:color="auto" w:fill="FFF1E7"/>
            <w:vAlign w:val="bottom"/>
          </w:tcPr>
          <w:p w14:paraId="606F840E"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840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425</w:t>
            </w:r>
          </w:p>
        </w:tc>
        <w:tc>
          <w:tcPr>
            <w:tcW w:w="0" w:type="auto"/>
            <w:tcBorders>
              <w:top w:val="single" w:sz="8" w:space="0" w:color="E87722"/>
            </w:tcBorders>
            <w:shd w:val="clear" w:color="auto" w:fill="auto"/>
            <w:vAlign w:val="bottom"/>
          </w:tcPr>
          <w:p w14:paraId="606F8410"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41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E87722"/>
            </w:tcBorders>
            <w:shd w:val="clear" w:color="auto" w:fill="auto"/>
            <w:tcMar>
              <w:top w:w="40" w:type="dxa"/>
              <w:bottom w:w="40" w:type="dxa"/>
              <w:right w:w="40" w:type="dxa"/>
            </w:tcMar>
            <w:vAlign w:val="bottom"/>
          </w:tcPr>
          <w:p w14:paraId="606F841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606F841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E87722"/>
            </w:tcBorders>
            <w:shd w:val="clear" w:color="auto" w:fill="auto"/>
            <w:tcMar>
              <w:top w:w="40" w:type="dxa"/>
              <w:bottom w:w="40" w:type="dxa"/>
              <w:right w:w="40" w:type="dxa"/>
            </w:tcMar>
            <w:vAlign w:val="bottom"/>
          </w:tcPr>
          <w:p w14:paraId="606F841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41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606F841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1,035</w:t>
            </w:r>
          </w:p>
        </w:tc>
        <w:tc>
          <w:tcPr>
            <w:tcW w:w="0" w:type="auto"/>
            <w:tcBorders>
              <w:top w:val="single" w:sz="8" w:space="0" w:color="E87722"/>
            </w:tcBorders>
            <w:shd w:val="clear" w:color="auto" w:fill="FFF1E7"/>
            <w:vAlign w:val="bottom"/>
          </w:tcPr>
          <w:p w14:paraId="606F8417"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841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952</w:t>
            </w:r>
          </w:p>
        </w:tc>
        <w:tc>
          <w:tcPr>
            <w:tcW w:w="0" w:type="auto"/>
            <w:tcBorders>
              <w:top w:val="single" w:sz="8" w:space="0" w:color="E87722"/>
            </w:tcBorders>
            <w:shd w:val="clear" w:color="auto" w:fill="auto"/>
            <w:vAlign w:val="bottom"/>
          </w:tcPr>
          <w:p w14:paraId="606F8419"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41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E87722"/>
            </w:tcBorders>
            <w:shd w:val="clear" w:color="auto" w:fill="auto"/>
            <w:tcMar>
              <w:top w:w="40" w:type="dxa"/>
              <w:bottom w:w="40" w:type="dxa"/>
              <w:right w:w="40" w:type="dxa"/>
            </w:tcMar>
            <w:vAlign w:val="bottom"/>
          </w:tcPr>
          <w:p w14:paraId="606F841B"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606F841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E87722"/>
            </w:tcBorders>
            <w:shd w:val="clear" w:color="auto" w:fill="auto"/>
            <w:tcMar>
              <w:top w:w="40" w:type="dxa"/>
              <w:bottom w:w="40" w:type="dxa"/>
              <w:right w:w="40" w:type="dxa"/>
            </w:tcMar>
            <w:vAlign w:val="bottom"/>
          </w:tcPr>
          <w:p w14:paraId="606F841D"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43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41F"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r>
              <w:rPr>
                <w:rFonts w:ascii="Arial" w:eastAsia="宋体" w:hAnsi="Arial" w:cs="Arial"/>
                <w:sz w:val="15"/>
                <w:szCs w:val="15"/>
              </w:rPr>
              <w:t>(3)</w:t>
            </w:r>
          </w:p>
        </w:tc>
        <w:tc>
          <w:tcPr>
            <w:tcW w:w="0" w:type="auto"/>
            <w:gridSpan w:val="2"/>
            <w:tcBorders>
              <w:top w:val="single" w:sz="8" w:space="0" w:color="808080"/>
            </w:tcBorders>
            <w:shd w:val="clear" w:color="auto" w:fill="FFF1E7"/>
            <w:tcMar>
              <w:top w:w="40" w:type="dxa"/>
              <w:left w:w="40" w:type="dxa"/>
              <w:bottom w:w="40" w:type="dxa"/>
            </w:tcMar>
            <w:vAlign w:val="bottom"/>
          </w:tcPr>
          <w:p w14:paraId="606F842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FFF1E7"/>
            <w:vAlign w:val="bottom"/>
          </w:tcPr>
          <w:p w14:paraId="606F842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42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606F842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2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842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2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8427"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42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42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FFF1E7"/>
            <w:vAlign w:val="bottom"/>
          </w:tcPr>
          <w:p w14:paraId="606F842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42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vAlign w:val="bottom"/>
          </w:tcPr>
          <w:p w14:paraId="606F842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2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842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2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8430" w14:textId="77777777" w:rsidR="00FB67F9" w:rsidRDefault="00FB67F9">
            <w:pPr>
              <w:textAlignment w:val="bottom"/>
              <w:rPr>
                <w:rFonts w:ascii="Times New Roman" w:hAnsi="Times New Roman"/>
                <w:sz w:val="20"/>
                <w:szCs w:val="20"/>
              </w:rPr>
            </w:pPr>
          </w:p>
        </w:tc>
      </w:tr>
      <w:tr w:rsidR="00FB67F9" w14:paraId="606F8448"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43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INC.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43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43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10,326</w:t>
            </w:r>
          </w:p>
        </w:tc>
        <w:tc>
          <w:tcPr>
            <w:tcW w:w="0" w:type="auto"/>
            <w:tcBorders>
              <w:top w:val="single" w:sz="8" w:space="0" w:color="E87722"/>
              <w:bottom w:val="single" w:sz="8" w:space="0" w:color="E87722"/>
            </w:tcBorders>
            <w:shd w:val="clear" w:color="auto" w:fill="FFF1E7"/>
            <w:vAlign w:val="bottom"/>
          </w:tcPr>
          <w:p w14:paraId="606F843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3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43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9,374</w:t>
            </w:r>
          </w:p>
        </w:tc>
        <w:tc>
          <w:tcPr>
            <w:tcW w:w="0" w:type="auto"/>
            <w:tcBorders>
              <w:top w:val="single" w:sz="8" w:space="0" w:color="E87722"/>
              <w:bottom w:val="single" w:sz="8" w:space="0" w:color="E87722"/>
            </w:tcBorders>
            <w:shd w:val="clear" w:color="auto" w:fill="auto"/>
            <w:vAlign w:val="bottom"/>
          </w:tcPr>
          <w:p w14:paraId="606F843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3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3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3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3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43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43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43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20,986</w:t>
            </w:r>
          </w:p>
        </w:tc>
        <w:tc>
          <w:tcPr>
            <w:tcW w:w="0" w:type="auto"/>
            <w:tcBorders>
              <w:top w:val="single" w:sz="8" w:space="0" w:color="E87722"/>
              <w:bottom w:val="single" w:sz="8" w:space="0" w:color="E87722"/>
            </w:tcBorders>
            <w:shd w:val="clear" w:color="auto" w:fill="FFF1E7"/>
            <w:vAlign w:val="bottom"/>
          </w:tcPr>
          <w:p w14:paraId="606F844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4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44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19,322</w:t>
            </w:r>
          </w:p>
        </w:tc>
        <w:tc>
          <w:tcPr>
            <w:tcW w:w="0" w:type="auto"/>
            <w:tcBorders>
              <w:top w:val="single" w:sz="8" w:space="0" w:color="E87722"/>
              <w:bottom w:val="single" w:sz="8" w:space="0" w:color="E87722"/>
            </w:tcBorders>
            <w:shd w:val="clear" w:color="auto" w:fill="auto"/>
            <w:vAlign w:val="bottom"/>
          </w:tcPr>
          <w:p w14:paraId="606F844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4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4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4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4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r w:rsidR="00FB67F9" w14:paraId="606F8453" w14:textId="77777777">
        <w:tc>
          <w:tcPr>
            <w:tcW w:w="0" w:type="auto"/>
            <w:shd w:val="clear" w:color="auto" w:fill="auto"/>
            <w:tcMar>
              <w:top w:w="40" w:type="dxa"/>
              <w:left w:w="40" w:type="dxa"/>
              <w:bottom w:w="40" w:type="dxa"/>
              <w:right w:w="40" w:type="dxa"/>
            </w:tcMar>
            <w:vAlign w:val="bottom"/>
          </w:tcPr>
          <w:p w14:paraId="606F8449" w14:textId="77777777" w:rsidR="00FB67F9" w:rsidRDefault="00E839DF">
            <w:pPr>
              <w:textAlignment w:val="bottom"/>
              <w:rPr>
                <w:rFonts w:ascii="Times New Roman" w:hAnsi="Times New Roman"/>
                <w:sz w:val="17"/>
                <w:szCs w:val="17"/>
              </w:rPr>
            </w:pPr>
            <w:r>
              <w:rPr>
                <w:rFonts w:ascii="Arial" w:eastAsia="宋体" w:hAnsi="Arial" w:cs="Arial"/>
                <w:b/>
                <w:bCs/>
                <w:i/>
                <w:iCs/>
                <w:sz w:val="17"/>
                <w:szCs w:val="17"/>
              </w:rPr>
              <w:t>Supplemental NIKE Brand Revenues Details:</w:t>
            </w:r>
          </w:p>
        </w:tc>
        <w:tc>
          <w:tcPr>
            <w:tcW w:w="0" w:type="auto"/>
            <w:gridSpan w:val="3"/>
            <w:shd w:val="clear" w:color="auto" w:fill="FFF1E7"/>
            <w:tcMar>
              <w:top w:w="40" w:type="dxa"/>
              <w:left w:w="40" w:type="dxa"/>
              <w:bottom w:w="40" w:type="dxa"/>
              <w:right w:w="40" w:type="dxa"/>
            </w:tcMar>
            <w:vAlign w:val="bottom"/>
          </w:tcPr>
          <w:p w14:paraId="606F844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44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44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44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44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44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45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45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45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45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45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NIKE Brand Revenues by:</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845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845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45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45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45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606F845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606F845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45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606F845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47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45F"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FFF1E7"/>
            <w:tcMar>
              <w:top w:w="40" w:type="dxa"/>
              <w:left w:w="40" w:type="dxa"/>
              <w:bottom w:w="40" w:type="dxa"/>
            </w:tcMar>
            <w:vAlign w:val="bottom"/>
          </w:tcPr>
          <w:p w14:paraId="606F846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46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6,578</w:t>
            </w:r>
          </w:p>
        </w:tc>
        <w:tc>
          <w:tcPr>
            <w:tcW w:w="0" w:type="auto"/>
            <w:tcBorders>
              <w:top w:val="single" w:sz="8" w:space="0" w:color="808080"/>
            </w:tcBorders>
            <w:shd w:val="clear" w:color="auto" w:fill="FFF1E7"/>
            <w:vAlign w:val="bottom"/>
          </w:tcPr>
          <w:p w14:paraId="606F846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6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4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6,106</w:t>
            </w:r>
          </w:p>
        </w:tc>
        <w:tc>
          <w:tcPr>
            <w:tcW w:w="0" w:type="auto"/>
            <w:tcBorders>
              <w:top w:val="single" w:sz="8" w:space="0" w:color="808080"/>
            </w:tcBorders>
            <w:shd w:val="clear" w:color="auto" w:fill="auto"/>
            <w:vAlign w:val="bottom"/>
          </w:tcPr>
          <w:p w14:paraId="606F846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606F846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4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606F846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46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846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46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13,420</w:t>
            </w:r>
          </w:p>
        </w:tc>
        <w:tc>
          <w:tcPr>
            <w:tcW w:w="0" w:type="auto"/>
            <w:tcBorders>
              <w:top w:val="single" w:sz="8" w:space="0" w:color="808080"/>
            </w:tcBorders>
            <w:shd w:val="clear" w:color="auto" w:fill="FFF1E7"/>
            <w:vAlign w:val="bottom"/>
          </w:tcPr>
          <w:p w14:paraId="606F846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6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46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12,656</w:t>
            </w:r>
          </w:p>
        </w:tc>
        <w:tc>
          <w:tcPr>
            <w:tcW w:w="0" w:type="auto"/>
            <w:tcBorders>
              <w:top w:val="single" w:sz="8" w:space="0" w:color="808080"/>
            </w:tcBorders>
            <w:shd w:val="clear" w:color="auto" w:fill="auto"/>
            <w:vAlign w:val="bottom"/>
          </w:tcPr>
          <w:p w14:paraId="606F847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47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606F8472"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47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606F847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488"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476"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47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3,256</w:t>
            </w:r>
          </w:p>
        </w:tc>
        <w:tc>
          <w:tcPr>
            <w:tcW w:w="0" w:type="auto"/>
            <w:tcBorders>
              <w:top w:val="single" w:sz="8" w:space="0" w:color="808080"/>
              <w:bottom w:val="single" w:sz="8" w:space="0" w:color="808080"/>
            </w:tcBorders>
            <w:shd w:val="clear" w:color="auto" w:fill="FFF1E7"/>
            <w:vAlign w:val="bottom"/>
          </w:tcPr>
          <w:p w14:paraId="606F847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47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2,831</w:t>
            </w:r>
          </w:p>
        </w:tc>
        <w:tc>
          <w:tcPr>
            <w:tcW w:w="0" w:type="auto"/>
            <w:tcBorders>
              <w:top w:val="single" w:sz="8" w:space="0" w:color="808080"/>
              <w:bottom w:val="single" w:sz="8" w:space="0" w:color="808080"/>
            </w:tcBorders>
            <w:shd w:val="clear" w:color="auto" w:fill="auto"/>
            <w:vAlign w:val="bottom"/>
          </w:tcPr>
          <w:p w14:paraId="606F847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47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47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47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47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4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4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6,504</w:t>
            </w:r>
          </w:p>
        </w:tc>
        <w:tc>
          <w:tcPr>
            <w:tcW w:w="0" w:type="auto"/>
            <w:tcBorders>
              <w:top w:val="single" w:sz="8" w:space="0" w:color="808080"/>
              <w:bottom w:val="single" w:sz="8" w:space="0" w:color="808080"/>
            </w:tcBorders>
            <w:shd w:val="clear" w:color="auto" w:fill="FFF1E7"/>
            <w:vAlign w:val="bottom"/>
          </w:tcPr>
          <w:p w14:paraId="606F848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4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5,682</w:t>
            </w:r>
          </w:p>
        </w:tc>
        <w:tc>
          <w:tcPr>
            <w:tcW w:w="0" w:type="auto"/>
            <w:tcBorders>
              <w:top w:val="single" w:sz="8" w:space="0" w:color="808080"/>
              <w:bottom w:val="single" w:sz="8" w:space="0" w:color="808080"/>
            </w:tcBorders>
            <w:shd w:val="clear" w:color="auto" w:fill="auto"/>
            <w:vAlign w:val="bottom"/>
          </w:tcPr>
          <w:p w14:paraId="606F8483"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4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48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48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48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49B" w14:textId="77777777">
        <w:tc>
          <w:tcPr>
            <w:tcW w:w="0" w:type="auto"/>
            <w:shd w:val="clear" w:color="auto" w:fill="auto"/>
            <w:tcMar>
              <w:top w:w="40" w:type="dxa"/>
              <w:left w:w="240" w:type="dxa"/>
              <w:bottom w:w="40" w:type="dxa"/>
              <w:right w:w="40" w:type="dxa"/>
            </w:tcMar>
            <w:vAlign w:val="bottom"/>
          </w:tcPr>
          <w:p w14:paraId="606F8489" w14:textId="77777777" w:rsidR="00FB67F9" w:rsidRDefault="00E839DF">
            <w:pPr>
              <w:textAlignment w:val="bottom"/>
              <w:rPr>
                <w:rFonts w:ascii="Times New Roman" w:hAnsi="Times New Roman"/>
                <w:sz w:val="17"/>
                <w:szCs w:val="17"/>
              </w:rPr>
            </w:pPr>
            <w:r>
              <w:rPr>
                <w:rFonts w:ascii="Arial" w:eastAsia="宋体" w:hAnsi="Arial" w:cs="Arial"/>
                <w:sz w:val="17"/>
                <w:szCs w:val="17"/>
              </w:rPr>
              <w:t>Glob</w:t>
            </w:r>
            <w:r>
              <w:rPr>
                <w:rFonts w:ascii="Arial" w:eastAsia="宋体" w:hAnsi="Arial" w:cs="Arial"/>
                <w:sz w:val="17"/>
                <w:szCs w:val="17"/>
              </w:rPr>
              <w:t>al Brand Divisions</w:t>
            </w:r>
            <w:r>
              <w:rPr>
                <w:rFonts w:ascii="Arial" w:eastAsia="宋体" w:hAnsi="Arial" w:cs="Arial"/>
                <w:sz w:val="15"/>
                <w:szCs w:val="15"/>
              </w:rPr>
              <w:t>(2)</w:t>
            </w:r>
          </w:p>
        </w:tc>
        <w:tc>
          <w:tcPr>
            <w:tcW w:w="0" w:type="auto"/>
            <w:gridSpan w:val="2"/>
            <w:shd w:val="clear" w:color="auto" w:fill="FFF1E7"/>
            <w:tcMar>
              <w:top w:w="40" w:type="dxa"/>
              <w:left w:w="40" w:type="dxa"/>
              <w:bottom w:w="40" w:type="dxa"/>
            </w:tcMar>
            <w:vAlign w:val="bottom"/>
          </w:tcPr>
          <w:p w14:paraId="606F848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848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48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vAlign w:val="bottom"/>
          </w:tcPr>
          <w:p w14:paraId="606F848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48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48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49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49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49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49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FFF1E7"/>
            <w:vAlign w:val="bottom"/>
          </w:tcPr>
          <w:p w14:paraId="606F8494"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49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vAlign w:val="bottom"/>
          </w:tcPr>
          <w:p w14:paraId="606F8496"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49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shd w:val="clear" w:color="auto" w:fill="auto"/>
            <w:tcMar>
              <w:top w:w="40" w:type="dxa"/>
              <w:bottom w:w="40" w:type="dxa"/>
              <w:right w:w="40" w:type="dxa"/>
            </w:tcMar>
            <w:vAlign w:val="bottom"/>
          </w:tcPr>
          <w:p w14:paraId="606F8498"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49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shd w:val="clear" w:color="auto" w:fill="auto"/>
            <w:tcMar>
              <w:top w:w="40" w:type="dxa"/>
              <w:bottom w:w="40" w:type="dxa"/>
              <w:right w:w="40" w:type="dxa"/>
            </w:tcMar>
            <w:vAlign w:val="bottom"/>
          </w:tcPr>
          <w:p w14:paraId="606F849A"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4B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49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49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49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9,844</w:t>
            </w:r>
          </w:p>
        </w:tc>
        <w:tc>
          <w:tcPr>
            <w:tcW w:w="0" w:type="auto"/>
            <w:tcBorders>
              <w:top w:val="single" w:sz="8" w:space="0" w:color="E87722"/>
              <w:bottom w:val="single" w:sz="8" w:space="0" w:color="E87722"/>
            </w:tcBorders>
            <w:shd w:val="clear" w:color="auto" w:fill="FFF1E7"/>
            <w:vAlign w:val="bottom"/>
          </w:tcPr>
          <w:p w14:paraId="606F849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A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4A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8,946</w:t>
            </w:r>
          </w:p>
        </w:tc>
        <w:tc>
          <w:tcPr>
            <w:tcW w:w="0" w:type="auto"/>
            <w:tcBorders>
              <w:top w:val="single" w:sz="8" w:space="0" w:color="E87722"/>
              <w:bottom w:val="single" w:sz="8" w:space="0" w:color="E87722"/>
            </w:tcBorders>
            <w:shd w:val="clear" w:color="auto" w:fill="auto"/>
            <w:vAlign w:val="bottom"/>
          </w:tcPr>
          <w:p w14:paraId="606F84A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A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A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A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A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4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4A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4A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19,940</w:t>
            </w:r>
          </w:p>
        </w:tc>
        <w:tc>
          <w:tcPr>
            <w:tcW w:w="0" w:type="auto"/>
            <w:tcBorders>
              <w:top w:val="single" w:sz="8" w:space="0" w:color="E87722"/>
              <w:bottom w:val="single" w:sz="8" w:space="0" w:color="E87722"/>
            </w:tcBorders>
            <w:shd w:val="clear" w:color="auto" w:fill="FFF1E7"/>
            <w:vAlign w:val="bottom"/>
          </w:tcPr>
          <w:p w14:paraId="606F84A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A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4A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18,363</w:t>
            </w:r>
          </w:p>
        </w:tc>
        <w:tc>
          <w:tcPr>
            <w:tcW w:w="0" w:type="auto"/>
            <w:tcBorders>
              <w:top w:val="single" w:sz="8" w:space="0" w:color="E87722"/>
              <w:bottom w:val="single" w:sz="8" w:space="0" w:color="E87722"/>
            </w:tcBorders>
            <w:shd w:val="clear" w:color="auto" w:fill="auto"/>
            <w:vAlign w:val="bottom"/>
          </w:tcPr>
          <w:p w14:paraId="606F84A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A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A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4B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4B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bl>
    <w:p w14:paraId="606F84B3"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4B6" w14:textId="77777777">
        <w:trPr>
          <w:tblCellSpacing w:w="0" w:type="dxa"/>
        </w:trPr>
        <w:tc>
          <w:tcPr>
            <w:tcW w:w="480" w:type="dxa"/>
            <w:shd w:val="clear" w:color="auto" w:fill="auto"/>
            <w:vAlign w:val="center"/>
          </w:tcPr>
          <w:p w14:paraId="606F84B4" w14:textId="77777777" w:rsidR="00FB67F9" w:rsidRDefault="00FB67F9">
            <w:pPr>
              <w:rPr>
                <w:rFonts w:ascii="Times New Roman" w:hAnsi="Times New Roman"/>
                <w:sz w:val="20"/>
                <w:szCs w:val="20"/>
              </w:rPr>
            </w:pPr>
          </w:p>
        </w:tc>
        <w:tc>
          <w:tcPr>
            <w:tcW w:w="0" w:type="auto"/>
            <w:shd w:val="clear" w:color="auto" w:fill="auto"/>
            <w:vAlign w:val="center"/>
          </w:tcPr>
          <w:p w14:paraId="606F84B5" w14:textId="77777777" w:rsidR="00FB67F9" w:rsidRDefault="00FB67F9">
            <w:pPr>
              <w:rPr>
                <w:rFonts w:ascii="Times New Roman" w:hAnsi="Times New Roman"/>
                <w:sz w:val="20"/>
                <w:szCs w:val="20"/>
              </w:rPr>
            </w:pPr>
          </w:p>
        </w:tc>
      </w:tr>
      <w:tr w:rsidR="00FB67F9" w14:paraId="606F84B9" w14:textId="77777777">
        <w:trPr>
          <w:tblCellSpacing w:w="0" w:type="dxa"/>
        </w:trPr>
        <w:tc>
          <w:tcPr>
            <w:tcW w:w="0" w:type="auto"/>
            <w:shd w:val="clear" w:color="auto" w:fill="auto"/>
          </w:tcPr>
          <w:p w14:paraId="606F84B7"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4B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The percent change excluding currency changes represents a non-GAAP financial measure. See "Use of Non-GAAP Financial Measures" for further information.</w:t>
            </w:r>
          </w:p>
        </w:tc>
      </w:tr>
    </w:tbl>
    <w:p w14:paraId="606F84BA"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4BD" w14:textId="77777777">
        <w:trPr>
          <w:tblCellSpacing w:w="0" w:type="dxa"/>
        </w:trPr>
        <w:tc>
          <w:tcPr>
            <w:tcW w:w="480" w:type="dxa"/>
            <w:shd w:val="clear" w:color="auto" w:fill="auto"/>
            <w:vAlign w:val="center"/>
          </w:tcPr>
          <w:p w14:paraId="606F84BB" w14:textId="77777777" w:rsidR="00FB67F9" w:rsidRDefault="00FB67F9">
            <w:pPr>
              <w:rPr>
                <w:rFonts w:ascii="Times New Roman" w:hAnsi="Times New Roman"/>
                <w:sz w:val="20"/>
                <w:szCs w:val="20"/>
              </w:rPr>
            </w:pPr>
          </w:p>
        </w:tc>
        <w:tc>
          <w:tcPr>
            <w:tcW w:w="0" w:type="auto"/>
            <w:shd w:val="clear" w:color="auto" w:fill="auto"/>
            <w:vAlign w:val="center"/>
          </w:tcPr>
          <w:p w14:paraId="606F84BC" w14:textId="77777777" w:rsidR="00FB67F9" w:rsidRDefault="00FB67F9">
            <w:pPr>
              <w:rPr>
                <w:rFonts w:ascii="Times New Roman" w:hAnsi="Times New Roman"/>
                <w:sz w:val="20"/>
                <w:szCs w:val="20"/>
              </w:rPr>
            </w:pPr>
          </w:p>
        </w:tc>
      </w:tr>
      <w:tr w:rsidR="00FB67F9" w14:paraId="606F84C0" w14:textId="77777777">
        <w:trPr>
          <w:tblCellSpacing w:w="0" w:type="dxa"/>
        </w:trPr>
        <w:tc>
          <w:tcPr>
            <w:tcW w:w="0" w:type="auto"/>
            <w:shd w:val="clear" w:color="auto" w:fill="auto"/>
          </w:tcPr>
          <w:p w14:paraId="606F84BE"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606F84BF"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Global Brand Divisions revenues are primarily attributable to NIKE Brand licensing businesses that are not part of a geographic operating segment. </w:t>
            </w:r>
          </w:p>
        </w:tc>
      </w:tr>
    </w:tbl>
    <w:p w14:paraId="606F84C1"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4C4" w14:textId="77777777">
        <w:trPr>
          <w:tblCellSpacing w:w="0" w:type="dxa"/>
        </w:trPr>
        <w:tc>
          <w:tcPr>
            <w:tcW w:w="480" w:type="dxa"/>
            <w:shd w:val="clear" w:color="auto" w:fill="auto"/>
            <w:vAlign w:val="center"/>
          </w:tcPr>
          <w:p w14:paraId="606F84C2" w14:textId="77777777" w:rsidR="00FB67F9" w:rsidRDefault="00FB67F9">
            <w:pPr>
              <w:rPr>
                <w:rFonts w:ascii="Times New Roman" w:hAnsi="Times New Roman"/>
                <w:sz w:val="20"/>
                <w:szCs w:val="20"/>
              </w:rPr>
            </w:pPr>
          </w:p>
        </w:tc>
        <w:tc>
          <w:tcPr>
            <w:tcW w:w="0" w:type="auto"/>
            <w:shd w:val="clear" w:color="auto" w:fill="auto"/>
            <w:vAlign w:val="center"/>
          </w:tcPr>
          <w:p w14:paraId="606F84C3" w14:textId="77777777" w:rsidR="00FB67F9" w:rsidRDefault="00FB67F9">
            <w:pPr>
              <w:rPr>
                <w:rFonts w:ascii="Times New Roman" w:hAnsi="Times New Roman"/>
                <w:sz w:val="20"/>
                <w:szCs w:val="20"/>
              </w:rPr>
            </w:pPr>
          </w:p>
        </w:tc>
      </w:tr>
      <w:tr w:rsidR="00FB67F9" w14:paraId="606F84C7" w14:textId="77777777">
        <w:trPr>
          <w:tblCellSpacing w:w="0" w:type="dxa"/>
        </w:trPr>
        <w:tc>
          <w:tcPr>
            <w:tcW w:w="0" w:type="auto"/>
            <w:shd w:val="clear" w:color="auto" w:fill="auto"/>
          </w:tcPr>
          <w:p w14:paraId="606F84C5"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606F84C6"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Corporate revenues primarily consist of foreign currency hedge gains and losses related to </w:t>
            </w:r>
            <w:r>
              <w:rPr>
                <w:rFonts w:ascii="Arial" w:eastAsia="宋体" w:hAnsi="Arial" w:cs="Arial"/>
                <w:i/>
                <w:iCs/>
                <w:color w:val="000000"/>
                <w:sz w:val="14"/>
                <w:szCs w:val="14"/>
              </w:rPr>
              <w:t>revenues generated by entities within the NIKE Brand geographic operating segments and Converse, but managed through our central foreign exchange risk management program.</w:t>
            </w:r>
          </w:p>
        </w:tc>
      </w:tr>
    </w:tbl>
    <w:p w14:paraId="606F84C8"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4C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w:t>
      </w:r>
      <w:r>
        <w:rPr>
          <w:rFonts w:ascii="Arial" w:eastAsia="宋体" w:hAnsi="Arial" w:cs="Arial"/>
          <w:sz w:val="17"/>
          <w:szCs w:val="17"/>
        </w:rPr>
        <w:t xml:space="preserve">y-neutral basis, NIKE, Inc. </w:t>
      </w:r>
      <w:r>
        <w:rPr>
          <w:rFonts w:ascii="Arial" w:eastAsia="宋体" w:hAnsi="Arial" w:cs="Arial"/>
          <w:i/>
          <w:iCs/>
          <w:sz w:val="17"/>
          <w:szCs w:val="17"/>
        </w:rPr>
        <w:t>Revenues</w:t>
      </w:r>
      <w:r>
        <w:rPr>
          <w:rFonts w:ascii="Arial" w:eastAsia="宋体" w:hAnsi="Arial" w:cs="Arial"/>
          <w:sz w:val="17"/>
          <w:szCs w:val="17"/>
        </w:rPr>
        <w:t xml:space="preserve"> grew 13% for the second quarter of fiscal 2020, driven by broad-based growth across all NIKE Brand geographies and Converse. Higher revenues in Greater China contributed approximately 4 percentage points of growth to NI</w:t>
      </w:r>
      <w:r>
        <w:rPr>
          <w:rFonts w:ascii="Arial" w:eastAsia="宋体" w:hAnsi="Arial" w:cs="Arial"/>
          <w:sz w:val="17"/>
          <w:szCs w:val="17"/>
        </w:rPr>
        <w:t>KE, Inc.</w:t>
      </w:r>
      <w:r>
        <w:rPr>
          <w:rFonts w:ascii="Arial" w:eastAsia="宋体" w:hAnsi="Arial" w:cs="Arial"/>
          <w:i/>
          <w:iCs/>
          <w:sz w:val="17"/>
          <w:szCs w:val="17"/>
        </w:rPr>
        <w:t xml:space="preserve"> Revenues</w:t>
      </w:r>
      <w:r>
        <w:rPr>
          <w:rFonts w:ascii="Arial" w:eastAsia="宋体" w:hAnsi="Arial" w:cs="Arial"/>
          <w:sz w:val="17"/>
          <w:szCs w:val="17"/>
        </w:rPr>
        <w:t xml:space="preserve">; Europe, Middle East &amp; Africa (EMEA) and Asia Pacific &amp; Latin America (APLA) each contributed approximately 3 percentage points and North America contributed approximately 2 percentage points of growth. Converse contributed approximately </w:t>
      </w:r>
      <w:r>
        <w:rPr>
          <w:rFonts w:ascii="Arial" w:eastAsia="宋体" w:hAnsi="Arial" w:cs="Arial"/>
          <w:sz w:val="17"/>
          <w:szCs w:val="17"/>
        </w:rPr>
        <w:t xml:space="preserve">1 percentage point of growth. </w:t>
      </w:r>
    </w:p>
    <w:p w14:paraId="606F84C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NIKE Brand footwear revenues increased 14%, driven by growth in most key categories, led by Sportswear and the Jordan Brand. Unit sales of footwear increased 8% and higher average selling price (A</w:t>
      </w:r>
      <w:r>
        <w:rPr>
          <w:rFonts w:ascii="Arial" w:eastAsia="宋体" w:hAnsi="Arial" w:cs="Arial"/>
          <w:sz w:val="17"/>
          <w:szCs w:val="17"/>
        </w:rPr>
        <w:t xml:space="preserve">SP) per pair contributed approximately 6 percentage points of footwear revenue growth, primarily due to higher full-price ASP, on a wholesale equivalent basis, as well as higher NIKE Direct ASP. </w:t>
      </w:r>
    </w:p>
    <w:p w14:paraId="606F84C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NIKE Brand apparel revenues grew 10%, fuele</w:t>
      </w:r>
      <w:r>
        <w:rPr>
          <w:rFonts w:ascii="Arial" w:eastAsia="宋体" w:hAnsi="Arial" w:cs="Arial"/>
          <w:sz w:val="17"/>
          <w:szCs w:val="17"/>
        </w:rPr>
        <w:t>d by growth in nearly all key categories, most notably Sportswear and, to a lesser extent, the Jordan Brand. Unit sales of apparel increased 7% and higher ASP per unit contributed approximately 3 percentage points of apparel revenue growth, primarily due t</w:t>
      </w:r>
      <w:r>
        <w:rPr>
          <w:rFonts w:ascii="Arial" w:eastAsia="宋体" w:hAnsi="Arial" w:cs="Arial"/>
          <w:sz w:val="17"/>
          <w:szCs w:val="17"/>
        </w:rPr>
        <w:t>o higher full-price and NIKE Direct ASPs, as well as the favorable impact of growth in our NIKE Direct business.</w:t>
      </w:r>
    </w:p>
    <w:p w14:paraId="606F84C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On a reported basis, NIKE Direct revenues represented approximately 33% of our total NIKE Brand revenues for the second quarter of fiscal </w:t>
      </w:r>
      <w:r>
        <w:rPr>
          <w:rFonts w:ascii="Arial" w:eastAsia="宋体" w:hAnsi="Arial" w:cs="Arial"/>
          <w:sz w:val="17"/>
          <w:szCs w:val="17"/>
        </w:rPr>
        <w:t>2020 compared to 32% for the second quarter of fiscal 2019. Digital commerce sales were $1.3 billion for the second quarter of fiscal 2020 compared to $977 million for the second quarter of fiscal 2019. On a currency-neutral basis, NIKE Direct revenues inc</w:t>
      </w:r>
      <w:r>
        <w:rPr>
          <w:rFonts w:ascii="Arial" w:eastAsia="宋体" w:hAnsi="Arial" w:cs="Arial"/>
          <w:sz w:val="17"/>
          <w:szCs w:val="17"/>
        </w:rPr>
        <w:t>reased 17%, driven by digital commerce sales growth of 38%, comparable store sales growth of 6% and the addition of new stores. Comparable store sales, which exclude digital commerce sales, comprises revenue from NIKE-owned in-line and factory stores for w</w:t>
      </w:r>
      <w:r>
        <w:rPr>
          <w:rFonts w:ascii="Arial" w:eastAsia="宋体" w:hAnsi="Arial" w:cs="Arial"/>
          <w:sz w:val="17"/>
          <w:szCs w:val="17"/>
        </w:rPr>
        <w:t>hich all three of the following requirements have been met: (1) the store has been open at least one year, (2) square footage has not changed by more than 15% within the past year and (3) the store has not been permanently repositioned within the past year</w:t>
      </w:r>
      <w:r>
        <w:rPr>
          <w:rFonts w:ascii="Arial" w:eastAsia="宋体" w:hAnsi="Arial" w:cs="Arial"/>
          <w:sz w:val="17"/>
          <w:szCs w:val="17"/>
        </w:rPr>
        <w:t>.</w:t>
      </w:r>
    </w:p>
    <w:p w14:paraId="606F84CD" w14:textId="77777777" w:rsidR="00FB67F9" w:rsidRDefault="00FB67F9">
      <w:pPr>
        <w:rPr>
          <w:rFonts w:ascii="Times New Roman" w:hAnsi="Times New Roman"/>
          <w:sz w:val="20"/>
          <w:szCs w:val="20"/>
        </w:rPr>
      </w:pPr>
    </w:p>
    <w:p w14:paraId="606F84CE"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28</w:t>
      </w:r>
      <w:r>
        <w:rPr>
          <w:rFonts w:ascii="sans-serif" w:eastAsia="sans-serif" w:hAnsi="sans-serif" w:cs="sans-serif"/>
          <w:sz w:val="17"/>
          <w:szCs w:val="17"/>
        </w:rPr>
        <w:t xml:space="preserve"> </w:t>
      </w:r>
    </w:p>
    <w:p w14:paraId="606F84CF" w14:textId="77777777" w:rsidR="00FB67F9" w:rsidRDefault="00E839DF">
      <w:r>
        <w:rPr>
          <w:rFonts w:ascii="Times New Roman" w:hAnsi="Times New Roman"/>
          <w:sz w:val="17"/>
          <w:szCs w:val="17"/>
        </w:rPr>
        <w:pict w14:anchorId="606F8F99">
          <v:rect id="_x0000_i1054" style="width:415.3pt;height:1.5pt" o:hralign="center" o:hrstd="t" o:hr="t" fillcolor="#a0a0a0" stroked="f"/>
        </w:pict>
      </w:r>
    </w:p>
    <w:p w14:paraId="606F84D0" w14:textId="77777777" w:rsidR="00FB67F9" w:rsidRDefault="00FB67F9">
      <w:pPr>
        <w:rPr>
          <w:rFonts w:ascii="Times New Roman" w:hAnsi="Times New Roman"/>
          <w:sz w:val="17"/>
          <w:szCs w:val="17"/>
        </w:rPr>
      </w:pPr>
    </w:p>
    <w:p w14:paraId="606F84D1" w14:textId="77777777" w:rsidR="00FB67F9" w:rsidRDefault="00E839DF">
      <w:pPr>
        <w:rPr>
          <w:rFonts w:ascii="Times New Roman" w:hAnsi="Times New Roman"/>
          <w:sz w:val="17"/>
          <w:szCs w:val="17"/>
        </w:rPr>
      </w:pPr>
      <w:hyperlink r:id="rId98" w:anchor="s42C493F7582652B69E70047AB812E6A5" w:history="1">
        <w:r>
          <w:rPr>
            <w:rStyle w:val="a5"/>
            <w:rFonts w:ascii="sans-serif" w:eastAsia="sans-serif" w:hAnsi="sans-serif" w:cs="sans-serif"/>
            <w:sz w:val="17"/>
            <w:szCs w:val="17"/>
          </w:rPr>
          <w:t>Table of Contents</w:t>
        </w:r>
      </w:hyperlink>
    </w:p>
    <w:p w14:paraId="606F84D2" w14:textId="77777777" w:rsidR="00FB67F9" w:rsidRDefault="00FB67F9">
      <w:pPr>
        <w:rPr>
          <w:rFonts w:ascii="Times New Roman" w:hAnsi="Times New Roman"/>
          <w:sz w:val="17"/>
          <w:szCs w:val="17"/>
        </w:rPr>
      </w:pPr>
    </w:p>
    <w:p w14:paraId="606F84D3" w14:textId="77777777" w:rsidR="00FB67F9" w:rsidRDefault="00FB67F9">
      <w:pPr>
        <w:rPr>
          <w:rFonts w:ascii="Times New Roman" w:hAnsi="Times New Roman"/>
          <w:sz w:val="20"/>
          <w:szCs w:val="20"/>
        </w:rPr>
      </w:pPr>
    </w:p>
    <w:p w14:paraId="606F84D4"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FIRST SIX MONTHS OF FISCAL 2020 COMPARED TO FIRST SIX MONTHS OF FISCAL 2019</w:t>
      </w:r>
    </w:p>
    <w:p w14:paraId="606F84D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w:t>
      </w:r>
      <w:r>
        <w:rPr>
          <w:rFonts w:ascii="Arial" w:eastAsia="宋体" w:hAnsi="Arial" w:cs="Arial"/>
          <w:sz w:val="17"/>
          <w:szCs w:val="17"/>
        </w:rPr>
        <w:t xml:space="preserve">rrency-neutral basis, NIKE, Inc. </w:t>
      </w:r>
      <w:r>
        <w:rPr>
          <w:rFonts w:ascii="Arial" w:eastAsia="宋体" w:hAnsi="Arial" w:cs="Arial"/>
          <w:i/>
          <w:iCs/>
          <w:sz w:val="17"/>
          <w:szCs w:val="17"/>
        </w:rPr>
        <w:t>Revenues</w:t>
      </w:r>
      <w:r>
        <w:rPr>
          <w:rFonts w:ascii="Arial" w:eastAsia="宋体" w:hAnsi="Arial" w:cs="Arial"/>
          <w:sz w:val="17"/>
          <w:szCs w:val="17"/>
        </w:rPr>
        <w:t xml:space="preserve"> grew 11% for the first six months of fiscal 2020, driven by broad-based growth across all NIKE Brand geographies and Converse. Higher revenues in Greater China and EMEA contributed approximately 4 and 3 percentage </w:t>
      </w:r>
      <w:r>
        <w:rPr>
          <w:rFonts w:ascii="Arial" w:eastAsia="宋体" w:hAnsi="Arial" w:cs="Arial"/>
          <w:sz w:val="17"/>
          <w:szCs w:val="17"/>
        </w:rPr>
        <w:t>points of growth to NIKE, Inc.</w:t>
      </w:r>
      <w:r>
        <w:rPr>
          <w:rFonts w:ascii="Arial" w:eastAsia="宋体" w:hAnsi="Arial" w:cs="Arial"/>
          <w:i/>
          <w:iCs/>
          <w:sz w:val="17"/>
          <w:szCs w:val="17"/>
        </w:rPr>
        <w:t xml:space="preserve"> Revenues</w:t>
      </w:r>
      <w:r>
        <w:rPr>
          <w:rFonts w:ascii="Arial" w:eastAsia="宋体" w:hAnsi="Arial" w:cs="Arial"/>
          <w:sz w:val="17"/>
          <w:szCs w:val="17"/>
        </w:rPr>
        <w:t>, respectively, while APLA and North America each contributed approximately 2 percentage points of growth.</w:t>
      </w:r>
    </w:p>
    <w:p w14:paraId="606F84D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On a currency-neutral basis, NIKE Brand footwear revenues increased 13%, driven by growth in several key </w:t>
      </w:r>
      <w:r>
        <w:rPr>
          <w:rFonts w:ascii="Arial" w:eastAsia="宋体" w:hAnsi="Arial" w:cs="Arial"/>
          <w:sz w:val="17"/>
          <w:szCs w:val="17"/>
        </w:rPr>
        <w:t>categories, led by Sportswear and the Jordan Brand. Unit sales of footwear increased 5% and higher ASP per pair contributed approximately 8 percentage points of footwear revenue growth, primarily due to higher full-price and NIKE Direct ASPs.</w:t>
      </w:r>
    </w:p>
    <w:p w14:paraId="606F84D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w:t>
      </w:r>
      <w:r>
        <w:rPr>
          <w:rFonts w:ascii="Arial" w:eastAsia="宋体" w:hAnsi="Arial" w:cs="Arial"/>
          <w:sz w:val="17"/>
          <w:szCs w:val="17"/>
        </w:rPr>
        <w:t>ral NIKE Brand apparel revenues grew 9%, fueled by growth in most key categories, primarily Sportswear and to a lesser extent the Jordan Brand. Unit sales of apparel increased 6% and higher ASP per unit contributed approximately 3 percentage points of appa</w:t>
      </w:r>
      <w:r>
        <w:rPr>
          <w:rFonts w:ascii="Arial" w:eastAsia="宋体" w:hAnsi="Arial" w:cs="Arial"/>
          <w:sz w:val="17"/>
          <w:szCs w:val="17"/>
        </w:rPr>
        <w:t>rel revenue growth, primarily due to higher full-price ASP, in part reflecting lower discounts, as well as higher NIKE Direct ASP.</w:t>
      </w:r>
    </w:p>
    <w:p w14:paraId="606F84D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reported basis, NIKE Direct revenues represented approximately 33% of our total NIKE Brand revenues for the first six mo</w:t>
      </w:r>
      <w:r>
        <w:rPr>
          <w:rFonts w:ascii="Arial" w:eastAsia="宋体" w:hAnsi="Arial" w:cs="Arial"/>
          <w:sz w:val="17"/>
          <w:szCs w:val="17"/>
        </w:rPr>
        <w:t>nths of fiscal 2020 compared to 31% for the first six months of fiscal 2019. Digital commerce sales were $2.4 billion for the first six months of fiscal 2020 compared to $1.7 billion for the first six months of fiscal 2019. On a currency-neutral basis, NIK</w:t>
      </w:r>
      <w:r>
        <w:rPr>
          <w:rFonts w:ascii="Arial" w:eastAsia="宋体" w:hAnsi="Arial" w:cs="Arial"/>
          <w:sz w:val="17"/>
          <w:szCs w:val="17"/>
        </w:rPr>
        <w:t>E Direct revenues increased 17% for the first six months of fiscal 2020, driven by digital commerce sales growth of 39%, comparable store sales growth of 7% and the addition of new stores.</w:t>
      </w:r>
    </w:p>
    <w:p w14:paraId="606F84D9"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GROSS MARGIN</w:t>
      </w:r>
    </w:p>
    <w:tbl>
      <w:tblPr>
        <w:tblW w:w="5000" w:type="pct"/>
        <w:jc w:val="center"/>
        <w:tblCellMar>
          <w:left w:w="0" w:type="dxa"/>
          <w:right w:w="0" w:type="dxa"/>
        </w:tblCellMar>
        <w:tblLook w:val="04A0" w:firstRow="1" w:lastRow="0" w:firstColumn="1" w:lastColumn="0" w:noHBand="0" w:noVBand="1"/>
      </w:tblPr>
      <w:tblGrid>
        <w:gridCol w:w="3041"/>
        <w:gridCol w:w="135"/>
        <w:gridCol w:w="467"/>
        <w:gridCol w:w="192"/>
        <w:gridCol w:w="135"/>
        <w:gridCol w:w="468"/>
        <w:gridCol w:w="192"/>
        <w:gridCol w:w="644"/>
        <w:gridCol w:w="362"/>
        <w:gridCol w:w="130"/>
        <w:gridCol w:w="135"/>
        <w:gridCol w:w="426"/>
        <w:gridCol w:w="192"/>
        <w:gridCol w:w="135"/>
        <w:gridCol w:w="454"/>
        <w:gridCol w:w="192"/>
        <w:gridCol w:w="644"/>
        <w:gridCol w:w="362"/>
      </w:tblGrid>
      <w:tr w:rsidR="00FB67F9" w14:paraId="606F84DB" w14:textId="77777777">
        <w:trPr>
          <w:jc w:val="center"/>
        </w:trPr>
        <w:tc>
          <w:tcPr>
            <w:tcW w:w="0" w:type="auto"/>
            <w:gridSpan w:val="18"/>
            <w:shd w:val="clear" w:color="auto" w:fill="auto"/>
            <w:vAlign w:val="center"/>
          </w:tcPr>
          <w:p w14:paraId="606F84DA" w14:textId="77777777" w:rsidR="00FB67F9" w:rsidRDefault="00FB67F9">
            <w:pPr>
              <w:rPr>
                <w:rFonts w:ascii="Times New Roman" w:hAnsi="Times New Roman"/>
                <w:sz w:val="20"/>
                <w:szCs w:val="20"/>
              </w:rPr>
            </w:pPr>
          </w:p>
        </w:tc>
      </w:tr>
      <w:tr w:rsidR="00FB67F9" w14:paraId="606F84EE" w14:textId="77777777">
        <w:trPr>
          <w:jc w:val="center"/>
        </w:trPr>
        <w:tc>
          <w:tcPr>
            <w:tcW w:w="1950" w:type="pct"/>
            <w:shd w:val="clear" w:color="auto" w:fill="auto"/>
            <w:vAlign w:val="center"/>
          </w:tcPr>
          <w:p w14:paraId="606F84DC" w14:textId="77777777" w:rsidR="00FB67F9" w:rsidRDefault="00FB67F9">
            <w:pPr>
              <w:rPr>
                <w:rFonts w:ascii="Times New Roman" w:hAnsi="Times New Roman"/>
                <w:sz w:val="20"/>
                <w:szCs w:val="20"/>
              </w:rPr>
            </w:pPr>
          </w:p>
        </w:tc>
        <w:tc>
          <w:tcPr>
            <w:tcW w:w="50" w:type="pct"/>
            <w:shd w:val="clear" w:color="auto" w:fill="auto"/>
            <w:vAlign w:val="center"/>
          </w:tcPr>
          <w:p w14:paraId="606F84DD" w14:textId="77777777" w:rsidR="00FB67F9" w:rsidRDefault="00FB67F9">
            <w:pPr>
              <w:rPr>
                <w:rFonts w:ascii="Times New Roman" w:hAnsi="Times New Roman"/>
                <w:sz w:val="20"/>
                <w:szCs w:val="20"/>
              </w:rPr>
            </w:pPr>
          </w:p>
        </w:tc>
        <w:tc>
          <w:tcPr>
            <w:tcW w:w="400" w:type="pct"/>
            <w:shd w:val="clear" w:color="auto" w:fill="auto"/>
            <w:vAlign w:val="center"/>
          </w:tcPr>
          <w:p w14:paraId="606F84DE" w14:textId="77777777" w:rsidR="00FB67F9" w:rsidRDefault="00FB67F9">
            <w:pPr>
              <w:rPr>
                <w:rFonts w:ascii="Times New Roman" w:hAnsi="Times New Roman"/>
                <w:sz w:val="20"/>
                <w:szCs w:val="20"/>
              </w:rPr>
            </w:pPr>
          </w:p>
        </w:tc>
        <w:tc>
          <w:tcPr>
            <w:tcW w:w="50" w:type="pct"/>
            <w:shd w:val="clear" w:color="auto" w:fill="auto"/>
            <w:vAlign w:val="center"/>
          </w:tcPr>
          <w:p w14:paraId="606F84DF" w14:textId="77777777" w:rsidR="00FB67F9" w:rsidRDefault="00FB67F9">
            <w:pPr>
              <w:rPr>
                <w:rFonts w:ascii="Times New Roman" w:hAnsi="Times New Roman"/>
                <w:sz w:val="20"/>
                <w:szCs w:val="20"/>
              </w:rPr>
            </w:pPr>
          </w:p>
        </w:tc>
        <w:tc>
          <w:tcPr>
            <w:tcW w:w="50" w:type="pct"/>
            <w:shd w:val="clear" w:color="auto" w:fill="auto"/>
            <w:vAlign w:val="center"/>
          </w:tcPr>
          <w:p w14:paraId="606F84E0" w14:textId="77777777" w:rsidR="00FB67F9" w:rsidRDefault="00FB67F9">
            <w:pPr>
              <w:rPr>
                <w:rFonts w:ascii="Times New Roman" w:hAnsi="Times New Roman"/>
                <w:sz w:val="20"/>
                <w:szCs w:val="20"/>
              </w:rPr>
            </w:pPr>
          </w:p>
        </w:tc>
        <w:tc>
          <w:tcPr>
            <w:tcW w:w="400" w:type="pct"/>
            <w:shd w:val="clear" w:color="auto" w:fill="auto"/>
            <w:vAlign w:val="center"/>
          </w:tcPr>
          <w:p w14:paraId="606F84E1" w14:textId="77777777" w:rsidR="00FB67F9" w:rsidRDefault="00FB67F9">
            <w:pPr>
              <w:rPr>
                <w:rFonts w:ascii="Times New Roman" w:hAnsi="Times New Roman"/>
                <w:sz w:val="20"/>
                <w:szCs w:val="20"/>
              </w:rPr>
            </w:pPr>
          </w:p>
        </w:tc>
        <w:tc>
          <w:tcPr>
            <w:tcW w:w="50" w:type="pct"/>
            <w:shd w:val="clear" w:color="auto" w:fill="auto"/>
            <w:vAlign w:val="center"/>
          </w:tcPr>
          <w:p w14:paraId="606F84E2" w14:textId="77777777" w:rsidR="00FB67F9" w:rsidRDefault="00FB67F9">
            <w:pPr>
              <w:rPr>
                <w:rFonts w:ascii="Times New Roman" w:hAnsi="Times New Roman"/>
                <w:sz w:val="20"/>
                <w:szCs w:val="20"/>
              </w:rPr>
            </w:pPr>
          </w:p>
        </w:tc>
        <w:tc>
          <w:tcPr>
            <w:tcW w:w="450" w:type="pct"/>
            <w:shd w:val="clear" w:color="auto" w:fill="auto"/>
            <w:vAlign w:val="center"/>
          </w:tcPr>
          <w:p w14:paraId="606F84E3" w14:textId="77777777" w:rsidR="00FB67F9" w:rsidRDefault="00FB67F9">
            <w:pPr>
              <w:rPr>
                <w:rFonts w:ascii="Times New Roman" w:hAnsi="Times New Roman"/>
                <w:sz w:val="20"/>
                <w:szCs w:val="20"/>
              </w:rPr>
            </w:pPr>
          </w:p>
        </w:tc>
        <w:tc>
          <w:tcPr>
            <w:tcW w:w="50" w:type="pct"/>
            <w:shd w:val="clear" w:color="auto" w:fill="auto"/>
            <w:vAlign w:val="center"/>
          </w:tcPr>
          <w:p w14:paraId="606F84E4" w14:textId="77777777" w:rsidR="00FB67F9" w:rsidRDefault="00FB67F9">
            <w:pPr>
              <w:rPr>
                <w:rFonts w:ascii="Times New Roman" w:hAnsi="Times New Roman"/>
                <w:sz w:val="20"/>
                <w:szCs w:val="20"/>
              </w:rPr>
            </w:pPr>
          </w:p>
        </w:tc>
        <w:tc>
          <w:tcPr>
            <w:tcW w:w="50" w:type="pct"/>
            <w:shd w:val="clear" w:color="auto" w:fill="auto"/>
            <w:vAlign w:val="center"/>
          </w:tcPr>
          <w:p w14:paraId="606F84E5" w14:textId="77777777" w:rsidR="00FB67F9" w:rsidRDefault="00FB67F9">
            <w:pPr>
              <w:rPr>
                <w:rFonts w:ascii="Times New Roman" w:hAnsi="Times New Roman"/>
                <w:sz w:val="20"/>
                <w:szCs w:val="20"/>
              </w:rPr>
            </w:pPr>
          </w:p>
        </w:tc>
        <w:tc>
          <w:tcPr>
            <w:tcW w:w="50" w:type="pct"/>
            <w:shd w:val="clear" w:color="auto" w:fill="auto"/>
            <w:vAlign w:val="center"/>
          </w:tcPr>
          <w:p w14:paraId="606F84E6" w14:textId="77777777" w:rsidR="00FB67F9" w:rsidRDefault="00FB67F9">
            <w:pPr>
              <w:rPr>
                <w:rFonts w:ascii="Times New Roman" w:hAnsi="Times New Roman"/>
                <w:sz w:val="20"/>
                <w:szCs w:val="20"/>
              </w:rPr>
            </w:pPr>
          </w:p>
        </w:tc>
        <w:tc>
          <w:tcPr>
            <w:tcW w:w="400" w:type="pct"/>
            <w:shd w:val="clear" w:color="auto" w:fill="auto"/>
            <w:vAlign w:val="center"/>
          </w:tcPr>
          <w:p w14:paraId="606F84E7" w14:textId="77777777" w:rsidR="00FB67F9" w:rsidRDefault="00FB67F9">
            <w:pPr>
              <w:rPr>
                <w:rFonts w:ascii="Times New Roman" w:hAnsi="Times New Roman"/>
                <w:sz w:val="20"/>
                <w:szCs w:val="20"/>
              </w:rPr>
            </w:pPr>
          </w:p>
        </w:tc>
        <w:tc>
          <w:tcPr>
            <w:tcW w:w="50" w:type="pct"/>
            <w:shd w:val="clear" w:color="auto" w:fill="auto"/>
            <w:vAlign w:val="center"/>
          </w:tcPr>
          <w:p w14:paraId="606F84E8" w14:textId="77777777" w:rsidR="00FB67F9" w:rsidRDefault="00FB67F9">
            <w:pPr>
              <w:rPr>
                <w:rFonts w:ascii="Times New Roman" w:hAnsi="Times New Roman"/>
                <w:sz w:val="20"/>
                <w:szCs w:val="20"/>
              </w:rPr>
            </w:pPr>
          </w:p>
        </w:tc>
        <w:tc>
          <w:tcPr>
            <w:tcW w:w="50" w:type="pct"/>
            <w:shd w:val="clear" w:color="auto" w:fill="auto"/>
            <w:vAlign w:val="center"/>
          </w:tcPr>
          <w:p w14:paraId="606F84E9" w14:textId="77777777" w:rsidR="00FB67F9" w:rsidRDefault="00FB67F9">
            <w:pPr>
              <w:rPr>
                <w:rFonts w:ascii="Times New Roman" w:hAnsi="Times New Roman"/>
                <w:sz w:val="20"/>
                <w:szCs w:val="20"/>
              </w:rPr>
            </w:pPr>
          </w:p>
        </w:tc>
        <w:tc>
          <w:tcPr>
            <w:tcW w:w="400" w:type="pct"/>
            <w:shd w:val="clear" w:color="auto" w:fill="auto"/>
            <w:vAlign w:val="center"/>
          </w:tcPr>
          <w:p w14:paraId="606F84EA" w14:textId="77777777" w:rsidR="00FB67F9" w:rsidRDefault="00FB67F9">
            <w:pPr>
              <w:rPr>
                <w:rFonts w:ascii="Times New Roman" w:hAnsi="Times New Roman"/>
                <w:sz w:val="20"/>
                <w:szCs w:val="20"/>
              </w:rPr>
            </w:pPr>
          </w:p>
        </w:tc>
        <w:tc>
          <w:tcPr>
            <w:tcW w:w="50" w:type="pct"/>
            <w:shd w:val="clear" w:color="auto" w:fill="auto"/>
            <w:vAlign w:val="center"/>
          </w:tcPr>
          <w:p w14:paraId="606F84EB" w14:textId="77777777" w:rsidR="00FB67F9" w:rsidRDefault="00FB67F9">
            <w:pPr>
              <w:rPr>
                <w:rFonts w:ascii="Times New Roman" w:hAnsi="Times New Roman"/>
                <w:sz w:val="20"/>
                <w:szCs w:val="20"/>
              </w:rPr>
            </w:pPr>
          </w:p>
        </w:tc>
        <w:tc>
          <w:tcPr>
            <w:tcW w:w="450" w:type="pct"/>
            <w:shd w:val="clear" w:color="auto" w:fill="auto"/>
            <w:vAlign w:val="center"/>
          </w:tcPr>
          <w:p w14:paraId="606F84EC" w14:textId="77777777" w:rsidR="00FB67F9" w:rsidRDefault="00FB67F9">
            <w:pPr>
              <w:rPr>
                <w:rFonts w:ascii="Times New Roman" w:hAnsi="Times New Roman"/>
                <w:sz w:val="20"/>
                <w:szCs w:val="20"/>
              </w:rPr>
            </w:pPr>
          </w:p>
        </w:tc>
        <w:tc>
          <w:tcPr>
            <w:tcW w:w="50" w:type="pct"/>
            <w:shd w:val="clear" w:color="auto" w:fill="auto"/>
            <w:vAlign w:val="center"/>
          </w:tcPr>
          <w:p w14:paraId="606F84ED" w14:textId="77777777" w:rsidR="00FB67F9" w:rsidRDefault="00FB67F9">
            <w:pPr>
              <w:rPr>
                <w:rFonts w:ascii="Times New Roman" w:hAnsi="Times New Roman"/>
                <w:sz w:val="20"/>
                <w:szCs w:val="20"/>
              </w:rPr>
            </w:pPr>
          </w:p>
        </w:tc>
      </w:tr>
      <w:tr w:rsidR="00FB67F9" w14:paraId="606F84F3" w14:textId="77777777">
        <w:trPr>
          <w:jc w:val="center"/>
        </w:trPr>
        <w:tc>
          <w:tcPr>
            <w:tcW w:w="0" w:type="auto"/>
            <w:shd w:val="clear" w:color="auto" w:fill="auto"/>
            <w:tcMar>
              <w:top w:w="40" w:type="dxa"/>
              <w:left w:w="40" w:type="dxa"/>
              <w:bottom w:w="40" w:type="dxa"/>
              <w:right w:w="40" w:type="dxa"/>
            </w:tcMar>
            <w:vAlign w:val="bottom"/>
          </w:tcPr>
          <w:p w14:paraId="606F84E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4F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THREE MONTHS ENDED </w:t>
            </w:r>
            <w:r>
              <w:rPr>
                <w:rFonts w:ascii="sans-serif" w:eastAsia="sans-serif" w:hAnsi="sans-serif" w:cs="sans-serif"/>
                <w:b/>
                <w:bCs/>
                <w:color w:val="000000"/>
                <w:sz w:val="17"/>
                <w:szCs w:val="17"/>
              </w:rPr>
              <w:t>NOVEMBER 30,</w:t>
            </w:r>
          </w:p>
        </w:tc>
        <w:tc>
          <w:tcPr>
            <w:tcW w:w="0" w:type="auto"/>
            <w:shd w:val="clear" w:color="auto" w:fill="auto"/>
            <w:tcMar>
              <w:top w:w="40" w:type="dxa"/>
              <w:left w:w="40" w:type="dxa"/>
              <w:bottom w:w="40" w:type="dxa"/>
              <w:right w:w="40" w:type="dxa"/>
            </w:tcMar>
            <w:vAlign w:val="bottom"/>
          </w:tcPr>
          <w:p w14:paraId="606F84F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4F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4FE"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606F84F4"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4F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4F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top w:val="single" w:sz="8" w:space="0" w:color="E87722"/>
            </w:tcBorders>
            <w:shd w:val="clear" w:color="auto" w:fill="auto"/>
            <w:tcMar>
              <w:top w:w="40" w:type="dxa"/>
              <w:left w:w="40" w:type="dxa"/>
              <w:bottom w:w="40" w:type="dxa"/>
            </w:tcMar>
            <w:vAlign w:val="bottom"/>
          </w:tcPr>
          <w:p w14:paraId="606F84F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top w:val="single" w:sz="8" w:space="0" w:color="E87722"/>
            </w:tcBorders>
            <w:shd w:val="clear" w:color="auto" w:fill="auto"/>
            <w:vAlign w:val="bottom"/>
          </w:tcPr>
          <w:p w14:paraId="606F84F8"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4F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4F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4F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top w:val="single" w:sz="8" w:space="0" w:color="E87722"/>
            </w:tcBorders>
            <w:shd w:val="clear" w:color="auto" w:fill="auto"/>
            <w:tcMar>
              <w:top w:w="40" w:type="dxa"/>
              <w:left w:w="40" w:type="dxa"/>
              <w:bottom w:w="40" w:type="dxa"/>
            </w:tcMar>
            <w:vAlign w:val="bottom"/>
          </w:tcPr>
          <w:p w14:paraId="606F84F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top w:val="single" w:sz="8" w:space="0" w:color="E87722"/>
            </w:tcBorders>
            <w:shd w:val="clear" w:color="auto" w:fill="auto"/>
            <w:vAlign w:val="bottom"/>
          </w:tcPr>
          <w:p w14:paraId="606F84FD" w14:textId="77777777" w:rsidR="00FB67F9" w:rsidRDefault="00FB67F9">
            <w:pPr>
              <w:textAlignment w:val="bottom"/>
              <w:rPr>
                <w:rFonts w:ascii="Times New Roman" w:hAnsi="Times New Roman"/>
                <w:sz w:val="20"/>
                <w:szCs w:val="20"/>
              </w:rPr>
            </w:pPr>
          </w:p>
        </w:tc>
      </w:tr>
      <w:tr w:rsidR="00FB67F9" w14:paraId="606F8511" w14:textId="77777777">
        <w:trPr>
          <w:jc w:val="center"/>
        </w:trPr>
        <w:tc>
          <w:tcPr>
            <w:tcW w:w="0" w:type="auto"/>
            <w:shd w:val="clear" w:color="auto" w:fill="auto"/>
            <w:tcMar>
              <w:top w:w="40" w:type="dxa"/>
              <w:left w:w="40" w:type="dxa"/>
              <w:bottom w:w="40" w:type="dxa"/>
              <w:right w:w="40" w:type="dxa"/>
            </w:tcMar>
            <w:vAlign w:val="bottom"/>
          </w:tcPr>
          <w:p w14:paraId="606F84FF" w14:textId="77777777" w:rsidR="00FB67F9" w:rsidRDefault="00E839DF">
            <w:pPr>
              <w:textAlignment w:val="bottom"/>
              <w:rPr>
                <w:rFonts w:ascii="Times New Roman" w:hAnsi="Times New Roman"/>
                <w:sz w:val="17"/>
                <w:szCs w:val="17"/>
              </w:rPr>
            </w:pPr>
            <w:r>
              <w:rPr>
                <w:rFonts w:ascii="Arial" w:eastAsia="宋体" w:hAnsi="Arial" w:cs="Arial"/>
                <w:sz w:val="17"/>
                <w:szCs w:val="17"/>
              </w:rPr>
              <w:t>Gross Profit</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850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850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4,544</w:t>
            </w:r>
          </w:p>
        </w:tc>
        <w:tc>
          <w:tcPr>
            <w:tcW w:w="0" w:type="auto"/>
            <w:tcBorders>
              <w:top w:val="single" w:sz="8" w:space="0" w:color="E87722"/>
              <w:bottom w:val="single" w:sz="8" w:space="0" w:color="808080"/>
            </w:tcBorders>
            <w:shd w:val="clear" w:color="auto" w:fill="FFF1E7"/>
            <w:vAlign w:val="bottom"/>
          </w:tcPr>
          <w:p w14:paraId="606F850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50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850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4,105</w:t>
            </w:r>
          </w:p>
        </w:tc>
        <w:tc>
          <w:tcPr>
            <w:tcW w:w="0" w:type="auto"/>
            <w:tcBorders>
              <w:top w:val="single" w:sz="8" w:space="0" w:color="E87722"/>
              <w:bottom w:val="single" w:sz="8" w:space="0" w:color="808080"/>
            </w:tcBorders>
            <w:shd w:val="clear" w:color="auto" w:fill="auto"/>
            <w:vAlign w:val="bottom"/>
          </w:tcPr>
          <w:p w14:paraId="606F850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50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50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850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850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850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9,415</w:t>
            </w:r>
          </w:p>
        </w:tc>
        <w:tc>
          <w:tcPr>
            <w:tcW w:w="0" w:type="auto"/>
            <w:tcBorders>
              <w:top w:val="single" w:sz="8" w:space="0" w:color="E87722"/>
              <w:bottom w:val="single" w:sz="8" w:space="0" w:color="808080"/>
            </w:tcBorders>
            <w:shd w:val="clear" w:color="auto" w:fill="FFF1E7"/>
            <w:vAlign w:val="bottom"/>
          </w:tcPr>
          <w:p w14:paraId="606F850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50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850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8,502</w:t>
            </w:r>
          </w:p>
        </w:tc>
        <w:tc>
          <w:tcPr>
            <w:tcW w:w="0" w:type="auto"/>
            <w:tcBorders>
              <w:top w:val="single" w:sz="8" w:space="0" w:color="E87722"/>
              <w:bottom w:val="single" w:sz="8" w:space="0" w:color="808080"/>
            </w:tcBorders>
            <w:shd w:val="clear" w:color="auto" w:fill="auto"/>
            <w:vAlign w:val="bottom"/>
          </w:tcPr>
          <w:p w14:paraId="606F850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50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51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520" w14:textId="77777777">
        <w:trPr>
          <w:jc w:val="center"/>
        </w:trPr>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512" w14:textId="77777777" w:rsidR="00FB67F9" w:rsidRDefault="00E839DF">
            <w:pPr>
              <w:textAlignment w:val="bottom"/>
              <w:rPr>
                <w:rFonts w:ascii="Times New Roman" w:hAnsi="Times New Roman"/>
                <w:sz w:val="17"/>
                <w:szCs w:val="17"/>
              </w:rPr>
            </w:pPr>
            <w:r>
              <w:rPr>
                <w:rFonts w:ascii="Arial" w:eastAsia="宋体" w:hAnsi="Arial" w:cs="Arial"/>
                <w:sz w:val="17"/>
                <w:szCs w:val="17"/>
              </w:rPr>
              <w:t>Gross Margin</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51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44.0</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51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51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43.8</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1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51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18" w14:textId="77777777" w:rsidR="00FB67F9" w:rsidRDefault="00E839DF">
            <w:pPr>
              <w:textAlignment w:val="bottom"/>
              <w:rPr>
                <w:rFonts w:ascii="Times New Roman" w:hAnsi="Times New Roman"/>
                <w:sz w:val="17"/>
                <w:szCs w:val="17"/>
              </w:rPr>
            </w:pPr>
            <w:r>
              <w:rPr>
                <w:rFonts w:ascii="Arial" w:eastAsia="宋体" w:hAnsi="Arial" w:cs="Arial"/>
                <w:sz w:val="17"/>
                <w:szCs w:val="17"/>
              </w:rPr>
              <w:t> bps</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51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51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44.9</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51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51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1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51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1F" w14:textId="77777777" w:rsidR="00FB67F9" w:rsidRDefault="00E839DF">
            <w:pPr>
              <w:textAlignment w:val="bottom"/>
              <w:rPr>
                <w:rFonts w:ascii="Times New Roman" w:hAnsi="Times New Roman"/>
                <w:sz w:val="17"/>
                <w:szCs w:val="17"/>
              </w:rPr>
            </w:pPr>
            <w:r>
              <w:rPr>
                <w:rFonts w:ascii="Arial" w:eastAsia="宋体" w:hAnsi="Arial" w:cs="Arial"/>
                <w:sz w:val="17"/>
                <w:szCs w:val="17"/>
              </w:rPr>
              <w:t> bps</w:t>
            </w:r>
          </w:p>
        </w:tc>
      </w:tr>
    </w:tbl>
    <w:p w14:paraId="606F852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For the second quarter and first six months of fiscal 2020, our consolidated gross margin was 20 and 90 basis points higher than the respective prior year periods, primarily reflecting the </w:t>
      </w:r>
      <w:r>
        <w:rPr>
          <w:rFonts w:ascii="Arial" w:eastAsia="宋体" w:hAnsi="Arial" w:cs="Arial"/>
          <w:sz w:val="17"/>
          <w:szCs w:val="17"/>
        </w:rPr>
        <w:t>following factors:</w:t>
      </w: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524" w14:textId="77777777">
        <w:trPr>
          <w:tblCellSpacing w:w="0" w:type="dxa"/>
        </w:trPr>
        <w:tc>
          <w:tcPr>
            <w:tcW w:w="480" w:type="dxa"/>
            <w:shd w:val="clear" w:color="auto" w:fill="auto"/>
            <w:vAlign w:val="center"/>
          </w:tcPr>
          <w:p w14:paraId="606F8522" w14:textId="77777777" w:rsidR="00FB67F9" w:rsidRDefault="00FB67F9">
            <w:pPr>
              <w:rPr>
                <w:rFonts w:ascii="Times New Roman" w:hAnsi="Times New Roman"/>
                <w:sz w:val="20"/>
                <w:szCs w:val="20"/>
              </w:rPr>
            </w:pPr>
          </w:p>
        </w:tc>
        <w:tc>
          <w:tcPr>
            <w:tcW w:w="0" w:type="auto"/>
            <w:shd w:val="clear" w:color="auto" w:fill="auto"/>
            <w:vAlign w:val="center"/>
          </w:tcPr>
          <w:p w14:paraId="606F8523" w14:textId="77777777" w:rsidR="00FB67F9" w:rsidRDefault="00FB67F9">
            <w:pPr>
              <w:rPr>
                <w:rFonts w:ascii="Times New Roman" w:hAnsi="Times New Roman"/>
                <w:sz w:val="20"/>
                <w:szCs w:val="20"/>
              </w:rPr>
            </w:pPr>
          </w:p>
        </w:tc>
      </w:tr>
      <w:tr w:rsidR="00FB67F9" w14:paraId="606F8527" w14:textId="77777777">
        <w:trPr>
          <w:tblCellSpacing w:w="0" w:type="dxa"/>
        </w:trPr>
        <w:tc>
          <w:tcPr>
            <w:tcW w:w="0" w:type="auto"/>
            <w:shd w:val="clear" w:color="auto" w:fill="auto"/>
          </w:tcPr>
          <w:p w14:paraId="606F8525"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526"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Higher NIKE Brand full-price ASP, net of discounts, on a wholesale equivalent basis, (increasing gross margin approximately 110 basis points for the second quarter and 140 basis points for the first six months);</w:t>
            </w:r>
          </w:p>
        </w:tc>
      </w:tr>
    </w:tbl>
    <w:p w14:paraId="606F8528"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52B" w14:textId="77777777">
        <w:trPr>
          <w:tblCellSpacing w:w="0" w:type="dxa"/>
        </w:trPr>
        <w:tc>
          <w:tcPr>
            <w:tcW w:w="480" w:type="dxa"/>
            <w:shd w:val="clear" w:color="auto" w:fill="auto"/>
            <w:vAlign w:val="center"/>
          </w:tcPr>
          <w:p w14:paraId="606F8529" w14:textId="77777777" w:rsidR="00FB67F9" w:rsidRDefault="00FB67F9">
            <w:pPr>
              <w:rPr>
                <w:rFonts w:ascii="Times New Roman" w:hAnsi="Times New Roman"/>
                <w:sz w:val="20"/>
                <w:szCs w:val="20"/>
              </w:rPr>
            </w:pPr>
          </w:p>
        </w:tc>
        <w:tc>
          <w:tcPr>
            <w:tcW w:w="0" w:type="auto"/>
            <w:shd w:val="clear" w:color="auto" w:fill="auto"/>
            <w:vAlign w:val="center"/>
          </w:tcPr>
          <w:p w14:paraId="606F852A" w14:textId="77777777" w:rsidR="00FB67F9" w:rsidRDefault="00FB67F9">
            <w:pPr>
              <w:rPr>
                <w:rFonts w:ascii="Times New Roman" w:hAnsi="Times New Roman"/>
                <w:sz w:val="20"/>
                <w:szCs w:val="20"/>
              </w:rPr>
            </w:pPr>
          </w:p>
        </w:tc>
      </w:tr>
      <w:tr w:rsidR="00FB67F9" w14:paraId="606F852E" w14:textId="77777777">
        <w:trPr>
          <w:tblCellSpacing w:w="0" w:type="dxa"/>
        </w:trPr>
        <w:tc>
          <w:tcPr>
            <w:tcW w:w="0" w:type="auto"/>
            <w:shd w:val="clear" w:color="auto" w:fill="auto"/>
          </w:tcPr>
          <w:p w14:paraId="606F852C"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52D"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Growth in </w:t>
            </w:r>
            <w:r>
              <w:rPr>
                <w:rFonts w:ascii="Arial" w:eastAsia="宋体" w:hAnsi="Arial" w:cs="Arial"/>
                <w:sz w:val="17"/>
                <w:szCs w:val="17"/>
              </w:rPr>
              <w:t>our higher margin NIKE Direct business (increasing gross margin approximately 20 basis points for the second quarter and 30 basis points for the first six months);</w:t>
            </w:r>
          </w:p>
        </w:tc>
      </w:tr>
    </w:tbl>
    <w:p w14:paraId="606F852F"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532" w14:textId="77777777">
        <w:trPr>
          <w:tblCellSpacing w:w="0" w:type="dxa"/>
        </w:trPr>
        <w:tc>
          <w:tcPr>
            <w:tcW w:w="480" w:type="dxa"/>
            <w:shd w:val="clear" w:color="auto" w:fill="auto"/>
            <w:vAlign w:val="center"/>
          </w:tcPr>
          <w:p w14:paraId="606F8530" w14:textId="77777777" w:rsidR="00FB67F9" w:rsidRDefault="00FB67F9">
            <w:pPr>
              <w:rPr>
                <w:rFonts w:ascii="Times New Roman" w:hAnsi="Times New Roman"/>
                <w:sz w:val="20"/>
                <w:szCs w:val="20"/>
              </w:rPr>
            </w:pPr>
          </w:p>
        </w:tc>
        <w:tc>
          <w:tcPr>
            <w:tcW w:w="0" w:type="auto"/>
            <w:shd w:val="clear" w:color="auto" w:fill="auto"/>
            <w:vAlign w:val="center"/>
          </w:tcPr>
          <w:p w14:paraId="606F8531" w14:textId="77777777" w:rsidR="00FB67F9" w:rsidRDefault="00FB67F9">
            <w:pPr>
              <w:rPr>
                <w:rFonts w:ascii="Times New Roman" w:hAnsi="Times New Roman"/>
                <w:sz w:val="20"/>
                <w:szCs w:val="20"/>
              </w:rPr>
            </w:pPr>
          </w:p>
        </w:tc>
      </w:tr>
      <w:tr w:rsidR="00FB67F9" w14:paraId="606F8535" w14:textId="77777777">
        <w:trPr>
          <w:tblCellSpacing w:w="0" w:type="dxa"/>
        </w:trPr>
        <w:tc>
          <w:tcPr>
            <w:tcW w:w="0" w:type="auto"/>
            <w:shd w:val="clear" w:color="auto" w:fill="auto"/>
          </w:tcPr>
          <w:p w14:paraId="606F8533"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534"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Higher gross margin from Converse (increasing gross margin approximately 20 </w:t>
            </w:r>
            <w:r>
              <w:rPr>
                <w:rFonts w:ascii="Arial" w:eastAsia="宋体" w:hAnsi="Arial" w:cs="Arial"/>
                <w:sz w:val="17"/>
                <w:szCs w:val="17"/>
              </w:rPr>
              <w:t>basis points for both the second quarter and first six months);</w:t>
            </w:r>
          </w:p>
        </w:tc>
      </w:tr>
    </w:tbl>
    <w:p w14:paraId="606F8536"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539" w14:textId="77777777">
        <w:trPr>
          <w:tblCellSpacing w:w="0" w:type="dxa"/>
        </w:trPr>
        <w:tc>
          <w:tcPr>
            <w:tcW w:w="480" w:type="dxa"/>
            <w:shd w:val="clear" w:color="auto" w:fill="auto"/>
            <w:vAlign w:val="center"/>
          </w:tcPr>
          <w:p w14:paraId="606F8537" w14:textId="77777777" w:rsidR="00FB67F9" w:rsidRDefault="00FB67F9">
            <w:pPr>
              <w:rPr>
                <w:rFonts w:ascii="Times New Roman" w:hAnsi="Times New Roman"/>
                <w:sz w:val="20"/>
                <w:szCs w:val="20"/>
              </w:rPr>
            </w:pPr>
          </w:p>
        </w:tc>
        <w:tc>
          <w:tcPr>
            <w:tcW w:w="0" w:type="auto"/>
            <w:shd w:val="clear" w:color="auto" w:fill="auto"/>
            <w:vAlign w:val="center"/>
          </w:tcPr>
          <w:p w14:paraId="606F8538" w14:textId="77777777" w:rsidR="00FB67F9" w:rsidRDefault="00FB67F9">
            <w:pPr>
              <w:rPr>
                <w:rFonts w:ascii="Times New Roman" w:hAnsi="Times New Roman"/>
                <w:sz w:val="20"/>
                <w:szCs w:val="20"/>
              </w:rPr>
            </w:pPr>
          </w:p>
        </w:tc>
      </w:tr>
      <w:tr w:rsidR="00FB67F9" w14:paraId="606F853C" w14:textId="77777777">
        <w:trPr>
          <w:tblCellSpacing w:w="0" w:type="dxa"/>
        </w:trPr>
        <w:tc>
          <w:tcPr>
            <w:tcW w:w="0" w:type="auto"/>
            <w:shd w:val="clear" w:color="auto" w:fill="auto"/>
          </w:tcPr>
          <w:p w14:paraId="606F853A"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53B"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Higher NIKE Brand product costs, primarily due to incremental tariffs in the United States on product imported from China, on a wholesale equivalent basis, (decreasing gross </w:t>
            </w:r>
            <w:r>
              <w:rPr>
                <w:rFonts w:ascii="Arial" w:eastAsia="宋体" w:hAnsi="Arial" w:cs="Arial"/>
                <w:sz w:val="17"/>
                <w:szCs w:val="17"/>
              </w:rPr>
              <w:t>margin approximately 80 basis points for the second quarter and 70 basis points for the first six months);</w:t>
            </w:r>
          </w:p>
        </w:tc>
      </w:tr>
    </w:tbl>
    <w:p w14:paraId="606F853D"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540" w14:textId="77777777">
        <w:trPr>
          <w:tblCellSpacing w:w="0" w:type="dxa"/>
        </w:trPr>
        <w:tc>
          <w:tcPr>
            <w:tcW w:w="480" w:type="dxa"/>
            <w:shd w:val="clear" w:color="auto" w:fill="auto"/>
            <w:vAlign w:val="center"/>
          </w:tcPr>
          <w:p w14:paraId="606F853E" w14:textId="77777777" w:rsidR="00FB67F9" w:rsidRDefault="00FB67F9">
            <w:pPr>
              <w:rPr>
                <w:rFonts w:ascii="Times New Roman" w:hAnsi="Times New Roman"/>
                <w:sz w:val="20"/>
                <w:szCs w:val="20"/>
              </w:rPr>
            </w:pPr>
          </w:p>
        </w:tc>
        <w:tc>
          <w:tcPr>
            <w:tcW w:w="0" w:type="auto"/>
            <w:shd w:val="clear" w:color="auto" w:fill="auto"/>
            <w:vAlign w:val="center"/>
          </w:tcPr>
          <w:p w14:paraId="606F853F" w14:textId="77777777" w:rsidR="00FB67F9" w:rsidRDefault="00FB67F9">
            <w:pPr>
              <w:rPr>
                <w:rFonts w:ascii="Times New Roman" w:hAnsi="Times New Roman"/>
                <w:sz w:val="20"/>
                <w:szCs w:val="20"/>
              </w:rPr>
            </w:pPr>
          </w:p>
        </w:tc>
      </w:tr>
      <w:tr w:rsidR="00FB67F9" w14:paraId="606F8543" w14:textId="77777777">
        <w:trPr>
          <w:tblCellSpacing w:w="0" w:type="dxa"/>
        </w:trPr>
        <w:tc>
          <w:tcPr>
            <w:tcW w:w="0" w:type="auto"/>
            <w:shd w:val="clear" w:color="auto" w:fill="auto"/>
          </w:tcPr>
          <w:p w14:paraId="606F8541"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542"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Higher other costs, reflecting higher inventory obsolescence, in part due to our transition of certain league product to a licensing business </w:t>
            </w:r>
            <w:r>
              <w:rPr>
                <w:rFonts w:ascii="Arial" w:eastAsia="宋体" w:hAnsi="Arial" w:cs="Arial"/>
                <w:sz w:val="17"/>
                <w:szCs w:val="17"/>
              </w:rPr>
              <w:t>model, and higher warehousing and freight costs, (decreasing gross margin approximately 30 basis points for the second quarter and 10 basis points for the first six months); and</w:t>
            </w:r>
          </w:p>
        </w:tc>
      </w:tr>
    </w:tbl>
    <w:p w14:paraId="606F8544"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547" w14:textId="77777777">
        <w:trPr>
          <w:tblCellSpacing w:w="0" w:type="dxa"/>
        </w:trPr>
        <w:tc>
          <w:tcPr>
            <w:tcW w:w="480" w:type="dxa"/>
            <w:shd w:val="clear" w:color="auto" w:fill="auto"/>
            <w:vAlign w:val="center"/>
          </w:tcPr>
          <w:p w14:paraId="606F8545" w14:textId="77777777" w:rsidR="00FB67F9" w:rsidRDefault="00FB67F9">
            <w:pPr>
              <w:rPr>
                <w:rFonts w:ascii="Times New Roman" w:hAnsi="Times New Roman"/>
                <w:sz w:val="20"/>
                <w:szCs w:val="20"/>
              </w:rPr>
            </w:pPr>
          </w:p>
        </w:tc>
        <w:tc>
          <w:tcPr>
            <w:tcW w:w="0" w:type="auto"/>
            <w:shd w:val="clear" w:color="auto" w:fill="auto"/>
            <w:vAlign w:val="center"/>
          </w:tcPr>
          <w:p w14:paraId="606F8546" w14:textId="77777777" w:rsidR="00FB67F9" w:rsidRDefault="00FB67F9">
            <w:pPr>
              <w:rPr>
                <w:rFonts w:ascii="Times New Roman" w:hAnsi="Times New Roman"/>
                <w:sz w:val="20"/>
                <w:szCs w:val="20"/>
              </w:rPr>
            </w:pPr>
          </w:p>
        </w:tc>
      </w:tr>
      <w:tr w:rsidR="00FB67F9" w14:paraId="606F854A" w14:textId="77777777">
        <w:trPr>
          <w:tblCellSpacing w:w="0" w:type="dxa"/>
        </w:trPr>
        <w:tc>
          <w:tcPr>
            <w:tcW w:w="0" w:type="auto"/>
            <w:shd w:val="clear" w:color="auto" w:fill="auto"/>
          </w:tcPr>
          <w:p w14:paraId="606F8548"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549"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Unfavorable changes in net foreign currency exchange rates, </w:t>
            </w:r>
            <w:r>
              <w:rPr>
                <w:rFonts w:ascii="Arial" w:eastAsia="宋体" w:hAnsi="Arial" w:cs="Arial"/>
                <w:sz w:val="17"/>
                <w:szCs w:val="17"/>
              </w:rPr>
              <w:t>including hedges, (decreasing gross margin approximately 20 basis points for the second quarter and 40 basis points for the first six months).</w:t>
            </w:r>
          </w:p>
        </w:tc>
      </w:tr>
    </w:tbl>
    <w:p w14:paraId="606F854B"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TOTAL SELLING AND ADMINISTRATIVE EXPENSE</w:t>
      </w:r>
    </w:p>
    <w:tbl>
      <w:tblPr>
        <w:tblW w:w="5000" w:type="pct"/>
        <w:tblCellMar>
          <w:left w:w="0" w:type="dxa"/>
          <w:right w:w="0" w:type="dxa"/>
        </w:tblCellMar>
        <w:tblLook w:val="04A0" w:firstRow="1" w:lastRow="0" w:firstColumn="1" w:lastColumn="0" w:noHBand="0" w:noVBand="1"/>
      </w:tblPr>
      <w:tblGrid>
        <w:gridCol w:w="3104"/>
        <w:gridCol w:w="135"/>
        <w:gridCol w:w="529"/>
        <w:gridCol w:w="192"/>
        <w:gridCol w:w="135"/>
        <w:gridCol w:w="529"/>
        <w:gridCol w:w="192"/>
        <w:gridCol w:w="644"/>
        <w:gridCol w:w="192"/>
        <w:gridCol w:w="130"/>
        <w:gridCol w:w="135"/>
        <w:gridCol w:w="504"/>
        <w:gridCol w:w="192"/>
        <w:gridCol w:w="135"/>
        <w:gridCol w:w="530"/>
        <w:gridCol w:w="192"/>
        <w:gridCol w:w="644"/>
        <w:gridCol w:w="192"/>
      </w:tblGrid>
      <w:tr w:rsidR="00FB67F9" w14:paraId="606F854D" w14:textId="77777777">
        <w:tc>
          <w:tcPr>
            <w:tcW w:w="0" w:type="auto"/>
            <w:gridSpan w:val="18"/>
            <w:shd w:val="clear" w:color="auto" w:fill="auto"/>
            <w:vAlign w:val="center"/>
          </w:tcPr>
          <w:p w14:paraId="606F854C" w14:textId="77777777" w:rsidR="00FB67F9" w:rsidRDefault="00FB67F9">
            <w:pPr>
              <w:rPr>
                <w:rFonts w:ascii="Times New Roman" w:hAnsi="Times New Roman"/>
                <w:sz w:val="20"/>
                <w:szCs w:val="20"/>
              </w:rPr>
            </w:pPr>
          </w:p>
        </w:tc>
      </w:tr>
      <w:tr w:rsidR="00FB67F9" w14:paraId="606F8560" w14:textId="77777777">
        <w:tc>
          <w:tcPr>
            <w:tcW w:w="1950" w:type="pct"/>
            <w:shd w:val="clear" w:color="auto" w:fill="auto"/>
            <w:vAlign w:val="center"/>
          </w:tcPr>
          <w:p w14:paraId="606F854E" w14:textId="77777777" w:rsidR="00FB67F9" w:rsidRDefault="00FB67F9">
            <w:pPr>
              <w:rPr>
                <w:rFonts w:ascii="Times New Roman" w:hAnsi="Times New Roman"/>
                <w:sz w:val="20"/>
                <w:szCs w:val="20"/>
              </w:rPr>
            </w:pPr>
          </w:p>
        </w:tc>
        <w:tc>
          <w:tcPr>
            <w:tcW w:w="50" w:type="pct"/>
            <w:shd w:val="clear" w:color="auto" w:fill="auto"/>
            <w:vAlign w:val="center"/>
          </w:tcPr>
          <w:p w14:paraId="606F854F" w14:textId="77777777" w:rsidR="00FB67F9" w:rsidRDefault="00FB67F9">
            <w:pPr>
              <w:rPr>
                <w:rFonts w:ascii="Times New Roman" w:hAnsi="Times New Roman"/>
                <w:sz w:val="20"/>
                <w:szCs w:val="20"/>
              </w:rPr>
            </w:pPr>
          </w:p>
        </w:tc>
        <w:tc>
          <w:tcPr>
            <w:tcW w:w="400" w:type="pct"/>
            <w:shd w:val="clear" w:color="auto" w:fill="auto"/>
            <w:vAlign w:val="center"/>
          </w:tcPr>
          <w:p w14:paraId="606F8550" w14:textId="77777777" w:rsidR="00FB67F9" w:rsidRDefault="00FB67F9">
            <w:pPr>
              <w:rPr>
                <w:rFonts w:ascii="Times New Roman" w:hAnsi="Times New Roman"/>
                <w:sz w:val="20"/>
                <w:szCs w:val="20"/>
              </w:rPr>
            </w:pPr>
          </w:p>
        </w:tc>
        <w:tc>
          <w:tcPr>
            <w:tcW w:w="50" w:type="pct"/>
            <w:shd w:val="clear" w:color="auto" w:fill="auto"/>
            <w:vAlign w:val="center"/>
          </w:tcPr>
          <w:p w14:paraId="606F8551" w14:textId="77777777" w:rsidR="00FB67F9" w:rsidRDefault="00FB67F9">
            <w:pPr>
              <w:rPr>
                <w:rFonts w:ascii="Times New Roman" w:hAnsi="Times New Roman"/>
                <w:sz w:val="20"/>
                <w:szCs w:val="20"/>
              </w:rPr>
            </w:pPr>
          </w:p>
        </w:tc>
        <w:tc>
          <w:tcPr>
            <w:tcW w:w="50" w:type="pct"/>
            <w:shd w:val="clear" w:color="auto" w:fill="auto"/>
            <w:vAlign w:val="center"/>
          </w:tcPr>
          <w:p w14:paraId="606F8552" w14:textId="77777777" w:rsidR="00FB67F9" w:rsidRDefault="00FB67F9">
            <w:pPr>
              <w:rPr>
                <w:rFonts w:ascii="Times New Roman" w:hAnsi="Times New Roman"/>
                <w:sz w:val="20"/>
                <w:szCs w:val="20"/>
              </w:rPr>
            </w:pPr>
          </w:p>
        </w:tc>
        <w:tc>
          <w:tcPr>
            <w:tcW w:w="400" w:type="pct"/>
            <w:shd w:val="clear" w:color="auto" w:fill="auto"/>
            <w:vAlign w:val="center"/>
          </w:tcPr>
          <w:p w14:paraId="606F8553" w14:textId="77777777" w:rsidR="00FB67F9" w:rsidRDefault="00FB67F9">
            <w:pPr>
              <w:rPr>
                <w:rFonts w:ascii="Times New Roman" w:hAnsi="Times New Roman"/>
                <w:sz w:val="20"/>
                <w:szCs w:val="20"/>
              </w:rPr>
            </w:pPr>
          </w:p>
        </w:tc>
        <w:tc>
          <w:tcPr>
            <w:tcW w:w="50" w:type="pct"/>
            <w:shd w:val="clear" w:color="auto" w:fill="auto"/>
            <w:vAlign w:val="center"/>
          </w:tcPr>
          <w:p w14:paraId="606F8554" w14:textId="77777777" w:rsidR="00FB67F9" w:rsidRDefault="00FB67F9">
            <w:pPr>
              <w:rPr>
                <w:rFonts w:ascii="Times New Roman" w:hAnsi="Times New Roman"/>
                <w:sz w:val="20"/>
                <w:szCs w:val="20"/>
              </w:rPr>
            </w:pPr>
          </w:p>
        </w:tc>
        <w:tc>
          <w:tcPr>
            <w:tcW w:w="450" w:type="pct"/>
            <w:shd w:val="clear" w:color="auto" w:fill="auto"/>
            <w:vAlign w:val="center"/>
          </w:tcPr>
          <w:p w14:paraId="606F8555" w14:textId="77777777" w:rsidR="00FB67F9" w:rsidRDefault="00FB67F9">
            <w:pPr>
              <w:rPr>
                <w:rFonts w:ascii="Times New Roman" w:hAnsi="Times New Roman"/>
                <w:sz w:val="20"/>
                <w:szCs w:val="20"/>
              </w:rPr>
            </w:pPr>
          </w:p>
        </w:tc>
        <w:tc>
          <w:tcPr>
            <w:tcW w:w="50" w:type="pct"/>
            <w:shd w:val="clear" w:color="auto" w:fill="auto"/>
            <w:vAlign w:val="center"/>
          </w:tcPr>
          <w:p w14:paraId="606F8556" w14:textId="77777777" w:rsidR="00FB67F9" w:rsidRDefault="00FB67F9">
            <w:pPr>
              <w:rPr>
                <w:rFonts w:ascii="Times New Roman" w:hAnsi="Times New Roman"/>
                <w:sz w:val="20"/>
                <w:szCs w:val="20"/>
              </w:rPr>
            </w:pPr>
          </w:p>
        </w:tc>
        <w:tc>
          <w:tcPr>
            <w:tcW w:w="50" w:type="pct"/>
            <w:shd w:val="clear" w:color="auto" w:fill="auto"/>
            <w:vAlign w:val="center"/>
          </w:tcPr>
          <w:p w14:paraId="606F8557" w14:textId="77777777" w:rsidR="00FB67F9" w:rsidRDefault="00FB67F9">
            <w:pPr>
              <w:rPr>
                <w:rFonts w:ascii="Times New Roman" w:hAnsi="Times New Roman"/>
                <w:sz w:val="20"/>
                <w:szCs w:val="20"/>
              </w:rPr>
            </w:pPr>
          </w:p>
        </w:tc>
        <w:tc>
          <w:tcPr>
            <w:tcW w:w="50" w:type="pct"/>
            <w:shd w:val="clear" w:color="auto" w:fill="auto"/>
            <w:vAlign w:val="center"/>
          </w:tcPr>
          <w:p w14:paraId="606F8558" w14:textId="77777777" w:rsidR="00FB67F9" w:rsidRDefault="00FB67F9">
            <w:pPr>
              <w:rPr>
                <w:rFonts w:ascii="Times New Roman" w:hAnsi="Times New Roman"/>
                <w:sz w:val="20"/>
                <w:szCs w:val="20"/>
              </w:rPr>
            </w:pPr>
          </w:p>
        </w:tc>
        <w:tc>
          <w:tcPr>
            <w:tcW w:w="400" w:type="pct"/>
            <w:shd w:val="clear" w:color="auto" w:fill="auto"/>
            <w:vAlign w:val="center"/>
          </w:tcPr>
          <w:p w14:paraId="606F8559" w14:textId="77777777" w:rsidR="00FB67F9" w:rsidRDefault="00FB67F9">
            <w:pPr>
              <w:rPr>
                <w:rFonts w:ascii="Times New Roman" w:hAnsi="Times New Roman"/>
                <w:sz w:val="20"/>
                <w:szCs w:val="20"/>
              </w:rPr>
            </w:pPr>
          </w:p>
        </w:tc>
        <w:tc>
          <w:tcPr>
            <w:tcW w:w="50" w:type="pct"/>
            <w:shd w:val="clear" w:color="auto" w:fill="auto"/>
            <w:vAlign w:val="center"/>
          </w:tcPr>
          <w:p w14:paraId="606F855A" w14:textId="77777777" w:rsidR="00FB67F9" w:rsidRDefault="00FB67F9">
            <w:pPr>
              <w:rPr>
                <w:rFonts w:ascii="Times New Roman" w:hAnsi="Times New Roman"/>
                <w:sz w:val="20"/>
                <w:szCs w:val="20"/>
              </w:rPr>
            </w:pPr>
          </w:p>
        </w:tc>
        <w:tc>
          <w:tcPr>
            <w:tcW w:w="50" w:type="pct"/>
            <w:shd w:val="clear" w:color="auto" w:fill="auto"/>
            <w:vAlign w:val="center"/>
          </w:tcPr>
          <w:p w14:paraId="606F855B" w14:textId="77777777" w:rsidR="00FB67F9" w:rsidRDefault="00FB67F9">
            <w:pPr>
              <w:rPr>
                <w:rFonts w:ascii="Times New Roman" w:hAnsi="Times New Roman"/>
                <w:sz w:val="20"/>
                <w:szCs w:val="20"/>
              </w:rPr>
            </w:pPr>
          </w:p>
        </w:tc>
        <w:tc>
          <w:tcPr>
            <w:tcW w:w="400" w:type="pct"/>
            <w:shd w:val="clear" w:color="auto" w:fill="auto"/>
            <w:vAlign w:val="center"/>
          </w:tcPr>
          <w:p w14:paraId="606F855C" w14:textId="77777777" w:rsidR="00FB67F9" w:rsidRDefault="00FB67F9">
            <w:pPr>
              <w:rPr>
                <w:rFonts w:ascii="Times New Roman" w:hAnsi="Times New Roman"/>
                <w:sz w:val="20"/>
                <w:szCs w:val="20"/>
              </w:rPr>
            </w:pPr>
          </w:p>
        </w:tc>
        <w:tc>
          <w:tcPr>
            <w:tcW w:w="50" w:type="pct"/>
            <w:shd w:val="clear" w:color="auto" w:fill="auto"/>
            <w:vAlign w:val="center"/>
          </w:tcPr>
          <w:p w14:paraId="606F855D" w14:textId="77777777" w:rsidR="00FB67F9" w:rsidRDefault="00FB67F9">
            <w:pPr>
              <w:rPr>
                <w:rFonts w:ascii="Times New Roman" w:hAnsi="Times New Roman"/>
                <w:sz w:val="20"/>
                <w:szCs w:val="20"/>
              </w:rPr>
            </w:pPr>
          </w:p>
        </w:tc>
        <w:tc>
          <w:tcPr>
            <w:tcW w:w="450" w:type="pct"/>
            <w:shd w:val="clear" w:color="auto" w:fill="auto"/>
            <w:vAlign w:val="center"/>
          </w:tcPr>
          <w:p w14:paraId="606F855E" w14:textId="77777777" w:rsidR="00FB67F9" w:rsidRDefault="00FB67F9">
            <w:pPr>
              <w:rPr>
                <w:rFonts w:ascii="Times New Roman" w:hAnsi="Times New Roman"/>
                <w:sz w:val="20"/>
                <w:szCs w:val="20"/>
              </w:rPr>
            </w:pPr>
          </w:p>
        </w:tc>
        <w:tc>
          <w:tcPr>
            <w:tcW w:w="50" w:type="pct"/>
            <w:shd w:val="clear" w:color="auto" w:fill="auto"/>
            <w:vAlign w:val="center"/>
          </w:tcPr>
          <w:p w14:paraId="606F855F" w14:textId="77777777" w:rsidR="00FB67F9" w:rsidRDefault="00FB67F9">
            <w:pPr>
              <w:rPr>
                <w:rFonts w:ascii="Times New Roman" w:hAnsi="Times New Roman"/>
                <w:sz w:val="20"/>
                <w:szCs w:val="20"/>
              </w:rPr>
            </w:pPr>
          </w:p>
        </w:tc>
      </w:tr>
      <w:tr w:rsidR="00FB67F9" w14:paraId="606F8565" w14:textId="77777777">
        <w:tc>
          <w:tcPr>
            <w:tcW w:w="0" w:type="auto"/>
            <w:shd w:val="clear" w:color="auto" w:fill="auto"/>
            <w:tcMar>
              <w:top w:w="40" w:type="dxa"/>
              <w:left w:w="40" w:type="dxa"/>
              <w:bottom w:w="40" w:type="dxa"/>
              <w:right w:w="40" w:type="dxa"/>
            </w:tcMar>
            <w:vAlign w:val="bottom"/>
          </w:tcPr>
          <w:p w14:paraId="606F856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56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56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56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SIX </w:t>
            </w:r>
            <w:r>
              <w:rPr>
                <w:rFonts w:ascii="sans-serif" w:eastAsia="sans-serif" w:hAnsi="sans-serif" w:cs="sans-serif"/>
                <w:b/>
                <w:bCs/>
                <w:color w:val="000000"/>
                <w:sz w:val="17"/>
                <w:szCs w:val="17"/>
              </w:rPr>
              <w:t>MONTHS ENDED NOVEMBER 30,</w:t>
            </w:r>
          </w:p>
        </w:tc>
      </w:tr>
      <w:tr w:rsidR="00FB67F9" w14:paraId="606F8570"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566"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6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6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56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56A"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56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6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6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56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56F" w14:textId="77777777" w:rsidR="00FB67F9" w:rsidRDefault="00FB67F9">
            <w:pPr>
              <w:textAlignment w:val="bottom"/>
              <w:rPr>
                <w:rFonts w:ascii="Times New Roman" w:hAnsi="Times New Roman"/>
                <w:sz w:val="20"/>
                <w:szCs w:val="20"/>
              </w:rPr>
            </w:pPr>
          </w:p>
        </w:tc>
      </w:tr>
      <w:tr w:rsidR="00FB67F9" w14:paraId="606F8583" w14:textId="77777777">
        <w:tc>
          <w:tcPr>
            <w:tcW w:w="0" w:type="auto"/>
            <w:shd w:val="clear" w:color="auto" w:fill="auto"/>
            <w:tcMar>
              <w:top w:w="40" w:type="dxa"/>
              <w:left w:w="40" w:type="dxa"/>
              <w:bottom w:w="40" w:type="dxa"/>
              <w:right w:w="40" w:type="dxa"/>
            </w:tcMar>
            <w:vAlign w:val="bottom"/>
          </w:tcPr>
          <w:p w14:paraId="606F8571" w14:textId="77777777" w:rsidR="00FB67F9" w:rsidRDefault="00E839DF">
            <w:pPr>
              <w:textAlignment w:val="bottom"/>
              <w:rPr>
                <w:rFonts w:ascii="Times New Roman" w:hAnsi="Times New Roman"/>
                <w:sz w:val="17"/>
                <w:szCs w:val="17"/>
              </w:rPr>
            </w:pPr>
            <w:r>
              <w:rPr>
                <w:rFonts w:ascii="Arial" w:eastAsia="宋体" w:hAnsi="Arial" w:cs="Arial"/>
                <w:sz w:val="17"/>
                <w:szCs w:val="17"/>
              </w:rPr>
              <w:t>Demand creation expense</w:t>
            </w:r>
            <w:r>
              <w:rPr>
                <w:rFonts w:ascii="Arial" w:eastAsia="宋体" w:hAnsi="Arial" w:cs="Arial"/>
                <w:sz w:val="15"/>
                <w:szCs w:val="15"/>
              </w:rPr>
              <w:t>(1)</w:t>
            </w:r>
          </w:p>
        </w:tc>
        <w:tc>
          <w:tcPr>
            <w:tcW w:w="0" w:type="auto"/>
            <w:tcBorders>
              <w:top w:val="single" w:sz="8" w:space="0" w:color="E87722"/>
            </w:tcBorders>
            <w:shd w:val="clear" w:color="auto" w:fill="FFF1E7"/>
            <w:tcMar>
              <w:top w:w="40" w:type="dxa"/>
              <w:left w:w="40" w:type="dxa"/>
              <w:bottom w:w="40" w:type="dxa"/>
            </w:tcMar>
            <w:vAlign w:val="bottom"/>
          </w:tcPr>
          <w:p w14:paraId="606F857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857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881</w:t>
            </w:r>
          </w:p>
        </w:tc>
        <w:tc>
          <w:tcPr>
            <w:tcW w:w="0" w:type="auto"/>
            <w:tcBorders>
              <w:top w:val="single" w:sz="8" w:space="0" w:color="E87722"/>
            </w:tcBorders>
            <w:shd w:val="clear" w:color="auto" w:fill="FFF1E7"/>
            <w:vAlign w:val="bottom"/>
          </w:tcPr>
          <w:p w14:paraId="606F8574"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57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857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910</w:t>
            </w:r>
          </w:p>
        </w:tc>
        <w:tc>
          <w:tcPr>
            <w:tcW w:w="0" w:type="auto"/>
            <w:tcBorders>
              <w:top w:val="single" w:sz="8" w:space="0" w:color="E87722"/>
            </w:tcBorders>
            <w:shd w:val="clear" w:color="auto" w:fill="auto"/>
            <w:vAlign w:val="bottom"/>
          </w:tcPr>
          <w:p w14:paraId="606F8577"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57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606F857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57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857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57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1,899</w:t>
            </w:r>
          </w:p>
        </w:tc>
        <w:tc>
          <w:tcPr>
            <w:tcW w:w="0" w:type="auto"/>
            <w:shd w:val="clear" w:color="auto" w:fill="FFF1E7"/>
            <w:vAlign w:val="bottom"/>
          </w:tcPr>
          <w:p w14:paraId="606F857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57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857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1,874</w:t>
            </w:r>
          </w:p>
        </w:tc>
        <w:tc>
          <w:tcPr>
            <w:tcW w:w="0" w:type="auto"/>
            <w:shd w:val="clear" w:color="auto" w:fill="auto"/>
            <w:vAlign w:val="bottom"/>
          </w:tcPr>
          <w:p w14:paraId="606F8580"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58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tcBorders>
            <w:shd w:val="clear" w:color="auto" w:fill="auto"/>
            <w:tcMar>
              <w:top w:w="40" w:type="dxa"/>
              <w:bottom w:w="40" w:type="dxa"/>
              <w:right w:w="40" w:type="dxa"/>
            </w:tcMar>
            <w:vAlign w:val="bottom"/>
          </w:tcPr>
          <w:p w14:paraId="606F858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592"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584" w14:textId="77777777" w:rsidR="00FB67F9" w:rsidRDefault="00E839DF">
            <w:pPr>
              <w:textAlignment w:val="bottom"/>
              <w:rPr>
                <w:rFonts w:ascii="Times New Roman" w:hAnsi="Times New Roman"/>
                <w:sz w:val="17"/>
                <w:szCs w:val="17"/>
              </w:rPr>
            </w:pPr>
            <w:r>
              <w:rPr>
                <w:rFonts w:ascii="Arial" w:eastAsia="宋体" w:hAnsi="Arial" w:cs="Arial"/>
                <w:sz w:val="17"/>
                <w:szCs w:val="17"/>
              </w:rPr>
              <w:t>Op</w:t>
            </w:r>
            <w:r>
              <w:rPr>
                <w:rFonts w:ascii="Arial" w:eastAsia="宋体" w:hAnsi="Arial" w:cs="Arial"/>
                <w:sz w:val="17"/>
                <w:szCs w:val="17"/>
              </w:rPr>
              <w:t>erating overhead expense</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58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2,443</w:t>
            </w:r>
          </w:p>
        </w:tc>
        <w:tc>
          <w:tcPr>
            <w:tcW w:w="0" w:type="auto"/>
            <w:tcBorders>
              <w:top w:val="single" w:sz="8" w:space="0" w:color="808080"/>
              <w:bottom w:val="single" w:sz="8" w:space="0" w:color="E87722"/>
            </w:tcBorders>
            <w:shd w:val="clear" w:color="auto" w:fill="FFF1E7"/>
            <w:vAlign w:val="bottom"/>
          </w:tcPr>
          <w:p w14:paraId="606F8586"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58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2,232</w:t>
            </w:r>
          </w:p>
        </w:tc>
        <w:tc>
          <w:tcPr>
            <w:tcW w:w="0" w:type="auto"/>
            <w:tcBorders>
              <w:top w:val="single" w:sz="8" w:space="0" w:color="808080"/>
              <w:bottom w:val="single" w:sz="8" w:space="0" w:color="E87722"/>
            </w:tcBorders>
            <w:shd w:val="clear" w:color="auto" w:fill="auto"/>
            <w:vAlign w:val="bottom"/>
          </w:tcPr>
          <w:p w14:paraId="606F858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58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8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58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58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4,753</w:t>
            </w:r>
          </w:p>
        </w:tc>
        <w:tc>
          <w:tcPr>
            <w:tcW w:w="0" w:type="auto"/>
            <w:tcBorders>
              <w:top w:val="single" w:sz="8" w:space="0" w:color="808080"/>
              <w:bottom w:val="single" w:sz="8" w:space="0" w:color="E87722"/>
            </w:tcBorders>
            <w:shd w:val="clear" w:color="auto" w:fill="FFF1E7"/>
            <w:vAlign w:val="bottom"/>
          </w:tcPr>
          <w:p w14:paraId="606F858D"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58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4,331</w:t>
            </w:r>
          </w:p>
        </w:tc>
        <w:tc>
          <w:tcPr>
            <w:tcW w:w="0" w:type="auto"/>
            <w:tcBorders>
              <w:top w:val="single" w:sz="8" w:space="0" w:color="808080"/>
              <w:bottom w:val="single" w:sz="8" w:space="0" w:color="E87722"/>
            </w:tcBorders>
            <w:shd w:val="clear" w:color="auto" w:fill="auto"/>
            <w:vAlign w:val="bottom"/>
          </w:tcPr>
          <w:p w14:paraId="606F858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59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9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5A5" w14:textId="77777777">
        <w:tc>
          <w:tcPr>
            <w:tcW w:w="0" w:type="auto"/>
            <w:shd w:val="clear" w:color="auto" w:fill="auto"/>
            <w:tcMar>
              <w:top w:w="40" w:type="dxa"/>
              <w:left w:w="40" w:type="dxa"/>
              <w:bottom w:w="40" w:type="dxa"/>
              <w:right w:w="40" w:type="dxa"/>
            </w:tcMar>
            <w:vAlign w:val="bottom"/>
          </w:tcPr>
          <w:p w14:paraId="606F8593" w14:textId="77777777" w:rsidR="00FB67F9" w:rsidRDefault="00E839DF">
            <w:pPr>
              <w:textAlignment w:val="bottom"/>
              <w:rPr>
                <w:rFonts w:ascii="Times New Roman" w:hAnsi="Times New Roman"/>
                <w:sz w:val="17"/>
                <w:szCs w:val="17"/>
              </w:rPr>
            </w:pPr>
            <w:r>
              <w:rPr>
                <w:rFonts w:ascii="Arial" w:eastAsia="宋体" w:hAnsi="Arial" w:cs="Arial"/>
                <w:sz w:val="17"/>
                <w:szCs w:val="17"/>
              </w:rPr>
              <w:t>Total selling and administrative expense</w:t>
            </w:r>
          </w:p>
        </w:tc>
        <w:tc>
          <w:tcPr>
            <w:tcW w:w="0" w:type="auto"/>
            <w:shd w:val="clear" w:color="auto" w:fill="FFF1E7"/>
            <w:tcMar>
              <w:top w:w="40" w:type="dxa"/>
              <w:left w:w="40" w:type="dxa"/>
              <w:bottom w:w="40" w:type="dxa"/>
            </w:tcMar>
            <w:vAlign w:val="bottom"/>
          </w:tcPr>
          <w:p w14:paraId="606F859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59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3,324</w:t>
            </w:r>
          </w:p>
        </w:tc>
        <w:tc>
          <w:tcPr>
            <w:tcW w:w="0" w:type="auto"/>
            <w:shd w:val="clear" w:color="auto" w:fill="FFF1E7"/>
            <w:vAlign w:val="bottom"/>
          </w:tcPr>
          <w:p w14:paraId="606F8596"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59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859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3,142</w:t>
            </w:r>
          </w:p>
        </w:tc>
        <w:tc>
          <w:tcPr>
            <w:tcW w:w="0" w:type="auto"/>
            <w:shd w:val="clear" w:color="auto" w:fill="auto"/>
            <w:vAlign w:val="bottom"/>
          </w:tcPr>
          <w:p w14:paraId="606F8599"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59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59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59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859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59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6,652</w:t>
            </w:r>
          </w:p>
        </w:tc>
        <w:tc>
          <w:tcPr>
            <w:tcW w:w="0" w:type="auto"/>
            <w:shd w:val="clear" w:color="auto" w:fill="FFF1E7"/>
            <w:vAlign w:val="bottom"/>
          </w:tcPr>
          <w:p w14:paraId="606F859F"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5A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85A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6,205</w:t>
            </w:r>
          </w:p>
        </w:tc>
        <w:tc>
          <w:tcPr>
            <w:tcW w:w="0" w:type="auto"/>
            <w:shd w:val="clear" w:color="auto" w:fill="auto"/>
            <w:vAlign w:val="bottom"/>
          </w:tcPr>
          <w:p w14:paraId="606F85A2"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tcMar>
            <w:vAlign w:val="bottom"/>
          </w:tcPr>
          <w:p w14:paraId="606F85A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bottom w:val="single" w:sz="8" w:space="0" w:color="808080"/>
            </w:tcBorders>
            <w:shd w:val="clear" w:color="auto" w:fill="auto"/>
            <w:tcMar>
              <w:top w:w="40" w:type="dxa"/>
              <w:bottom w:w="40" w:type="dxa"/>
              <w:right w:w="40" w:type="dxa"/>
            </w:tcMar>
            <w:vAlign w:val="bottom"/>
          </w:tcPr>
          <w:p w14:paraId="606F85A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5B4" w14:textId="77777777">
        <w:tc>
          <w:tcPr>
            <w:tcW w:w="0" w:type="auto"/>
            <w:tcBorders>
              <w:top w:val="single" w:sz="8" w:space="0" w:color="808080"/>
              <w:bottom w:val="single" w:sz="8" w:space="0" w:color="E87722"/>
            </w:tcBorders>
            <w:shd w:val="clear" w:color="auto" w:fill="auto"/>
            <w:tcMar>
              <w:top w:w="40" w:type="dxa"/>
              <w:left w:w="240" w:type="dxa"/>
              <w:bottom w:w="40" w:type="dxa"/>
              <w:right w:w="40" w:type="dxa"/>
            </w:tcMar>
            <w:vAlign w:val="bottom"/>
          </w:tcPr>
          <w:p w14:paraId="606F85A6" w14:textId="77777777" w:rsidR="00FB67F9" w:rsidRDefault="00E839DF">
            <w:pPr>
              <w:textAlignment w:val="bottom"/>
              <w:rPr>
                <w:rFonts w:ascii="Times New Roman" w:hAnsi="Times New Roman"/>
                <w:sz w:val="17"/>
                <w:szCs w:val="17"/>
              </w:rPr>
            </w:pPr>
            <w:r>
              <w:rPr>
                <w:rFonts w:ascii="Arial" w:eastAsia="宋体" w:hAnsi="Arial" w:cs="Arial"/>
                <w:sz w:val="17"/>
                <w:szCs w:val="17"/>
              </w:rPr>
              <w:t>% of reve</w:t>
            </w:r>
            <w:r>
              <w:rPr>
                <w:rFonts w:ascii="Arial" w:eastAsia="宋体" w:hAnsi="Arial" w:cs="Arial"/>
                <w:sz w:val="17"/>
                <w:szCs w:val="17"/>
              </w:rPr>
              <w:t>nues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5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32.2</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5A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5A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33.5</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A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5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(130) bps</w:t>
            </w:r>
          </w:p>
        </w:tc>
        <w:tc>
          <w:tcPr>
            <w:tcW w:w="0" w:type="auto"/>
            <w:tcBorders>
              <w:top w:val="single" w:sz="8" w:space="0" w:color="808080"/>
              <w:bottom w:val="single" w:sz="8" w:space="0" w:color="E87722"/>
            </w:tcBorders>
            <w:shd w:val="clear" w:color="auto" w:fill="auto"/>
            <w:vAlign w:val="bottom"/>
          </w:tcPr>
          <w:p w14:paraId="606F85A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5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606F85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31.7</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5A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606F85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32.1</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5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5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(40) bps</w:t>
            </w:r>
          </w:p>
        </w:tc>
        <w:tc>
          <w:tcPr>
            <w:tcW w:w="0" w:type="auto"/>
            <w:tcBorders>
              <w:top w:val="single" w:sz="8" w:space="0" w:color="808080"/>
              <w:bottom w:val="single" w:sz="8" w:space="0" w:color="E87722"/>
            </w:tcBorders>
            <w:shd w:val="clear" w:color="auto" w:fill="auto"/>
            <w:vAlign w:val="bottom"/>
          </w:tcPr>
          <w:p w14:paraId="606F85B3" w14:textId="77777777" w:rsidR="00FB67F9" w:rsidRDefault="00FB67F9">
            <w:pPr>
              <w:textAlignment w:val="bottom"/>
              <w:rPr>
                <w:rFonts w:ascii="Times New Roman" w:hAnsi="Times New Roman"/>
                <w:sz w:val="20"/>
                <w:szCs w:val="20"/>
              </w:rPr>
            </w:pPr>
          </w:p>
        </w:tc>
      </w:tr>
    </w:tbl>
    <w:p w14:paraId="606F85B5"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5B8" w14:textId="77777777">
        <w:trPr>
          <w:tblCellSpacing w:w="0" w:type="dxa"/>
        </w:trPr>
        <w:tc>
          <w:tcPr>
            <w:tcW w:w="480" w:type="dxa"/>
            <w:shd w:val="clear" w:color="auto" w:fill="auto"/>
            <w:vAlign w:val="center"/>
          </w:tcPr>
          <w:p w14:paraId="606F85B6" w14:textId="77777777" w:rsidR="00FB67F9" w:rsidRDefault="00FB67F9">
            <w:pPr>
              <w:rPr>
                <w:rFonts w:ascii="Times New Roman" w:hAnsi="Times New Roman"/>
                <w:sz w:val="20"/>
                <w:szCs w:val="20"/>
              </w:rPr>
            </w:pPr>
          </w:p>
        </w:tc>
        <w:tc>
          <w:tcPr>
            <w:tcW w:w="0" w:type="auto"/>
            <w:shd w:val="clear" w:color="auto" w:fill="auto"/>
            <w:vAlign w:val="center"/>
          </w:tcPr>
          <w:p w14:paraId="606F85B7" w14:textId="77777777" w:rsidR="00FB67F9" w:rsidRDefault="00FB67F9">
            <w:pPr>
              <w:rPr>
                <w:rFonts w:ascii="Times New Roman" w:hAnsi="Times New Roman"/>
                <w:sz w:val="20"/>
                <w:szCs w:val="20"/>
              </w:rPr>
            </w:pPr>
          </w:p>
        </w:tc>
      </w:tr>
      <w:tr w:rsidR="00FB67F9" w14:paraId="606F85BB" w14:textId="77777777">
        <w:trPr>
          <w:tblCellSpacing w:w="0" w:type="dxa"/>
        </w:trPr>
        <w:tc>
          <w:tcPr>
            <w:tcW w:w="0" w:type="auto"/>
            <w:shd w:val="clear" w:color="auto" w:fill="auto"/>
          </w:tcPr>
          <w:p w14:paraId="606F85B9"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5BA"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Demand creation expense consists of advertising and promotion costs, including costs of endorsement contracts, complimentary product, television, digital and print advertising and media </w:t>
            </w:r>
            <w:r>
              <w:rPr>
                <w:rFonts w:ascii="Arial" w:eastAsia="宋体" w:hAnsi="Arial" w:cs="Arial"/>
                <w:i/>
                <w:iCs/>
                <w:color w:val="000000"/>
                <w:sz w:val="14"/>
                <w:szCs w:val="14"/>
              </w:rPr>
              <w:t>costs, brand events and retail brand presentation.</w:t>
            </w:r>
          </w:p>
        </w:tc>
      </w:tr>
    </w:tbl>
    <w:p w14:paraId="606F85BC" w14:textId="77777777" w:rsidR="00FB67F9" w:rsidRDefault="00FB67F9">
      <w:pPr>
        <w:rPr>
          <w:rFonts w:ascii="Times New Roman" w:hAnsi="Times New Roman"/>
          <w:sz w:val="20"/>
          <w:szCs w:val="20"/>
        </w:rPr>
      </w:pPr>
    </w:p>
    <w:p w14:paraId="606F85BD"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29</w:t>
      </w:r>
    </w:p>
    <w:p w14:paraId="606F85BE" w14:textId="77777777" w:rsidR="00FB67F9" w:rsidRDefault="00E839DF">
      <w:r>
        <w:rPr>
          <w:rFonts w:ascii="Times New Roman" w:hAnsi="Times New Roman"/>
          <w:sz w:val="17"/>
          <w:szCs w:val="17"/>
        </w:rPr>
        <w:pict w14:anchorId="606F8F9A">
          <v:rect id="_x0000_i1055" style="width:415.3pt;height:1.5pt" o:hralign="center" o:hrstd="t" o:hr="t" fillcolor="#a0a0a0" stroked="f"/>
        </w:pict>
      </w:r>
    </w:p>
    <w:p w14:paraId="606F85BF" w14:textId="77777777" w:rsidR="00FB67F9" w:rsidRDefault="00FB67F9">
      <w:pPr>
        <w:rPr>
          <w:rFonts w:ascii="Times New Roman" w:hAnsi="Times New Roman"/>
          <w:sz w:val="17"/>
          <w:szCs w:val="17"/>
        </w:rPr>
      </w:pPr>
    </w:p>
    <w:p w14:paraId="606F85C0" w14:textId="77777777" w:rsidR="00FB67F9" w:rsidRDefault="00E839DF">
      <w:pPr>
        <w:rPr>
          <w:rFonts w:ascii="Times New Roman" w:hAnsi="Times New Roman"/>
          <w:sz w:val="17"/>
          <w:szCs w:val="17"/>
        </w:rPr>
      </w:pPr>
      <w:hyperlink r:id="rId99" w:anchor="s42C493F7582652B69E70047AB812E6A5" w:history="1">
        <w:r>
          <w:rPr>
            <w:rStyle w:val="a5"/>
            <w:rFonts w:ascii="sans-serif" w:eastAsia="sans-serif" w:hAnsi="sans-serif" w:cs="sans-serif"/>
            <w:sz w:val="17"/>
            <w:szCs w:val="17"/>
          </w:rPr>
          <w:t>Table of Contents</w:t>
        </w:r>
      </w:hyperlink>
    </w:p>
    <w:p w14:paraId="606F85C1" w14:textId="77777777" w:rsidR="00FB67F9" w:rsidRDefault="00FB67F9">
      <w:pPr>
        <w:rPr>
          <w:rFonts w:ascii="Times New Roman" w:hAnsi="Times New Roman"/>
          <w:sz w:val="17"/>
          <w:szCs w:val="17"/>
        </w:rPr>
      </w:pPr>
    </w:p>
    <w:p w14:paraId="606F85C2" w14:textId="77777777" w:rsidR="00FB67F9" w:rsidRDefault="00FB67F9">
      <w:pPr>
        <w:rPr>
          <w:rFonts w:ascii="Times New Roman" w:hAnsi="Times New Roman"/>
          <w:sz w:val="20"/>
          <w:szCs w:val="20"/>
        </w:rPr>
      </w:pPr>
    </w:p>
    <w:p w14:paraId="606F85C3"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5C4"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Demand creation expense</w:t>
      </w:r>
      <w:r>
        <w:rPr>
          <w:rFonts w:ascii="Arial" w:eastAsia="宋体" w:hAnsi="Arial" w:cs="Arial"/>
          <w:sz w:val="17"/>
          <w:szCs w:val="17"/>
        </w:rPr>
        <w:t xml:space="preserve"> decreased 3% for the second quarter of fiscal 2020, driven by lower retail brand presentation costs, as well as lower advertising and marketing expenses, primarily due to a timing shift of investments in certain brand campaigns. Cha</w:t>
      </w:r>
      <w:r>
        <w:rPr>
          <w:rFonts w:ascii="Arial" w:eastAsia="宋体" w:hAnsi="Arial" w:cs="Arial"/>
          <w:sz w:val="17"/>
          <w:szCs w:val="17"/>
        </w:rPr>
        <w:t xml:space="preserve">nges in foreign currency exchange rates decreased </w:t>
      </w:r>
      <w:r>
        <w:rPr>
          <w:rFonts w:ascii="Arial" w:eastAsia="宋体" w:hAnsi="Arial" w:cs="Arial"/>
          <w:i/>
          <w:iCs/>
          <w:sz w:val="17"/>
          <w:szCs w:val="17"/>
        </w:rPr>
        <w:t>Demand creation expense</w:t>
      </w:r>
      <w:r>
        <w:rPr>
          <w:rFonts w:ascii="Arial" w:eastAsia="宋体" w:hAnsi="Arial" w:cs="Arial"/>
          <w:sz w:val="17"/>
          <w:szCs w:val="17"/>
        </w:rPr>
        <w:t xml:space="preserve"> by approximately 2 percentage points.</w:t>
      </w:r>
    </w:p>
    <w:p w14:paraId="606F85C5"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Operating overhead expense</w:t>
      </w:r>
      <w:r>
        <w:rPr>
          <w:rFonts w:ascii="Arial" w:eastAsia="宋体" w:hAnsi="Arial" w:cs="Arial"/>
          <w:sz w:val="17"/>
          <w:szCs w:val="17"/>
        </w:rPr>
        <w:t xml:space="preserve"> increased 9% primarily due to higher wage-related and administrative expenses driven by continued investments in tran</w:t>
      </w:r>
      <w:r>
        <w:rPr>
          <w:rFonts w:ascii="Arial" w:eastAsia="宋体" w:hAnsi="Arial" w:cs="Arial"/>
          <w:sz w:val="17"/>
          <w:szCs w:val="17"/>
        </w:rPr>
        <w:t xml:space="preserve">sformational capabilities, particularly in NIKE Direct and global operations. Changes in foreign currency exchange rates decreased </w:t>
      </w:r>
      <w:r>
        <w:rPr>
          <w:rFonts w:ascii="Arial" w:eastAsia="宋体" w:hAnsi="Arial" w:cs="Arial"/>
          <w:i/>
          <w:iCs/>
          <w:sz w:val="17"/>
          <w:szCs w:val="17"/>
        </w:rPr>
        <w:t>Operating overhead expense</w:t>
      </w:r>
      <w:r>
        <w:rPr>
          <w:rFonts w:ascii="Arial" w:eastAsia="宋体" w:hAnsi="Arial" w:cs="Arial"/>
          <w:sz w:val="17"/>
          <w:szCs w:val="17"/>
        </w:rPr>
        <w:t xml:space="preserve"> by approximately 1 percentage point.</w:t>
      </w:r>
    </w:p>
    <w:p w14:paraId="606F85C6"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 xml:space="preserve">FIRST SIX MONTHS OF FISCAL 2020 COMPARED TO FIRST SIX MONTHS </w:t>
      </w:r>
      <w:r>
        <w:rPr>
          <w:rFonts w:ascii="sans-serif" w:eastAsia="sans-serif" w:hAnsi="sans-serif" w:cs="sans-serif"/>
          <w:b/>
          <w:bCs/>
          <w:color w:val="808080"/>
          <w:sz w:val="22"/>
          <w:szCs w:val="22"/>
        </w:rPr>
        <w:t>OF FISCAL 2019</w:t>
      </w:r>
    </w:p>
    <w:p w14:paraId="606F85C7"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Demand creation expense</w:t>
      </w:r>
      <w:r>
        <w:rPr>
          <w:rFonts w:ascii="Arial" w:eastAsia="宋体" w:hAnsi="Arial" w:cs="Arial"/>
          <w:sz w:val="17"/>
          <w:szCs w:val="17"/>
        </w:rPr>
        <w:t xml:space="preserve"> increased 1% for the first six months of fiscal 2020 as higher advertising and marketing expenses, as well as higher sports marketing investments, were partially offset by lower retail brand presentation costs. Changes in foreign currency exchange rates d</w:t>
      </w:r>
      <w:r>
        <w:rPr>
          <w:rFonts w:ascii="Arial" w:eastAsia="宋体" w:hAnsi="Arial" w:cs="Arial"/>
          <w:sz w:val="17"/>
          <w:szCs w:val="17"/>
        </w:rPr>
        <w:t xml:space="preserve">ecreased </w:t>
      </w:r>
      <w:r>
        <w:rPr>
          <w:rFonts w:ascii="Arial" w:eastAsia="宋体" w:hAnsi="Arial" w:cs="Arial"/>
          <w:i/>
          <w:iCs/>
          <w:sz w:val="17"/>
          <w:szCs w:val="17"/>
        </w:rPr>
        <w:t>Demand creation expense</w:t>
      </w:r>
      <w:r>
        <w:rPr>
          <w:rFonts w:ascii="Arial" w:eastAsia="宋体" w:hAnsi="Arial" w:cs="Arial"/>
          <w:sz w:val="17"/>
          <w:szCs w:val="17"/>
        </w:rPr>
        <w:t xml:space="preserve"> by approximately 2 percentage points.</w:t>
      </w:r>
    </w:p>
    <w:p w14:paraId="606F85C8"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Operating overhead expense</w:t>
      </w:r>
      <w:r>
        <w:rPr>
          <w:rFonts w:ascii="Arial" w:eastAsia="宋体" w:hAnsi="Arial" w:cs="Arial"/>
          <w:sz w:val="17"/>
          <w:szCs w:val="17"/>
        </w:rPr>
        <w:t xml:space="preserve"> increased 10% driven by higher wage-related and administrative expenses, which reflects continued investments to support our transformational capabilities, in</w:t>
      </w:r>
      <w:r>
        <w:rPr>
          <w:rFonts w:ascii="Arial" w:eastAsia="宋体" w:hAnsi="Arial" w:cs="Arial"/>
          <w:sz w:val="17"/>
          <w:szCs w:val="17"/>
        </w:rPr>
        <w:t xml:space="preserve">cluding innovation, data and analytics, digital commerce platforms and investments in a new enterprise resource planning tool to accelerate our end-to-end digital transformation. Changes in foreign currency exchange rates decreased </w:t>
      </w:r>
      <w:r>
        <w:rPr>
          <w:rFonts w:ascii="Arial" w:eastAsia="宋体" w:hAnsi="Arial" w:cs="Arial"/>
          <w:i/>
          <w:iCs/>
          <w:sz w:val="17"/>
          <w:szCs w:val="17"/>
        </w:rPr>
        <w:t>Operating overhead expen</w:t>
      </w:r>
      <w:r>
        <w:rPr>
          <w:rFonts w:ascii="Arial" w:eastAsia="宋体" w:hAnsi="Arial" w:cs="Arial"/>
          <w:i/>
          <w:iCs/>
          <w:sz w:val="17"/>
          <w:szCs w:val="17"/>
        </w:rPr>
        <w:t>se</w:t>
      </w:r>
      <w:r>
        <w:rPr>
          <w:rFonts w:ascii="Arial" w:eastAsia="宋体" w:hAnsi="Arial" w:cs="Arial"/>
          <w:sz w:val="17"/>
          <w:szCs w:val="17"/>
        </w:rPr>
        <w:t xml:space="preserve"> by approximately 2 percentage points.</w:t>
      </w:r>
    </w:p>
    <w:p w14:paraId="606F85C9"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OTHER (INCOME) EXPENSE, NET</w:t>
      </w:r>
    </w:p>
    <w:tbl>
      <w:tblPr>
        <w:tblW w:w="4990" w:type="pct"/>
        <w:tblCellMar>
          <w:left w:w="0" w:type="dxa"/>
          <w:right w:w="0" w:type="dxa"/>
        </w:tblCellMar>
        <w:tblLook w:val="04A0" w:firstRow="1" w:lastRow="0" w:firstColumn="1" w:lastColumn="0" w:noHBand="0" w:noVBand="1"/>
      </w:tblPr>
      <w:tblGrid>
        <w:gridCol w:w="3514"/>
        <w:gridCol w:w="135"/>
        <w:gridCol w:w="945"/>
        <w:gridCol w:w="97"/>
        <w:gridCol w:w="135"/>
        <w:gridCol w:w="945"/>
        <w:gridCol w:w="97"/>
        <w:gridCol w:w="130"/>
        <w:gridCol w:w="136"/>
        <w:gridCol w:w="945"/>
        <w:gridCol w:w="97"/>
        <w:gridCol w:w="135"/>
        <w:gridCol w:w="945"/>
        <w:gridCol w:w="33"/>
      </w:tblGrid>
      <w:tr w:rsidR="00FB67F9" w14:paraId="606F85CB" w14:textId="77777777">
        <w:tc>
          <w:tcPr>
            <w:tcW w:w="0" w:type="auto"/>
            <w:gridSpan w:val="14"/>
            <w:shd w:val="clear" w:color="auto" w:fill="auto"/>
            <w:vAlign w:val="center"/>
          </w:tcPr>
          <w:p w14:paraId="606F85CA" w14:textId="77777777" w:rsidR="00FB67F9" w:rsidRDefault="00FB67F9">
            <w:pPr>
              <w:rPr>
                <w:rFonts w:ascii="Times New Roman" w:hAnsi="Times New Roman"/>
                <w:sz w:val="20"/>
                <w:szCs w:val="20"/>
              </w:rPr>
            </w:pPr>
          </w:p>
        </w:tc>
      </w:tr>
      <w:tr w:rsidR="00FB67F9" w14:paraId="606F85DA" w14:textId="77777777">
        <w:tc>
          <w:tcPr>
            <w:tcW w:w="2150" w:type="pct"/>
            <w:shd w:val="clear" w:color="auto" w:fill="auto"/>
            <w:vAlign w:val="center"/>
          </w:tcPr>
          <w:p w14:paraId="606F85CC" w14:textId="77777777" w:rsidR="00FB67F9" w:rsidRDefault="00FB67F9">
            <w:pPr>
              <w:rPr>
                <w:rFonts w:ascii="Times New Roman" w:hAnsi="Times New Roman"/>
                <w:sz w:val="20"/>
                <w:szCs w:val="20"/>
              </w:rPr>
            </w:pPr>
          </w:p>
        </w:tc>
        <w:tc>
          <w:tcPr>
            <w:tcW w:w="50" w:type="pct"/>
            <w:shd w:val="clear" w:color="auto" w:fill="auto"/>
            <w:vAlign w:val="center"/>
          </w:tcPr>
          <w:p w14:paraId="606F85CD" w14:textId="77777777" w:rsidR="00FB67F9" w:rsidRDefault="00FB67F9">
            <w:pPr>
              <w:rPr>
                <w:rFonts w:ascii="Times New Roman" w:hAnsi="Times New Roman"/>
                <w:sz w:val="20"/>
                <w:szCs w:val="20"/>
              </w:rPr>
            </w:pPr>
          </w:p>
        </w:tc>
        <w:tc>
          <w:tcPr>
            <w:tcW w:w="600" w:type="pct"/>
            <w:shd w:val="clear" w:color="auto" w:fill="auto"/>
            <w:vAlign w:val="center"/>
          </w:tcPr>
          <w:p w14:paraId="606F85CE" w14:textId="77777777" w:rsidR="00FB67F9" w:rsidRDefault="00FB67F9">
            <w:pPr>
              <w:rPr>
                <w:rFonts w:ascii="Times New Roman" w:hAnsi="Times New Roman"/>
                <w:sz w:val="20"/>
                <w:szCs w:val="20"/>
              </w:rPr>
            </w:pPr>
          </w:p>
        </w:tc>
        <w:tc>
          <w:tcPr>
            <w:tcW w:w="50" w:type="pct"/>
            <w:shd w:val="clear" w:color="auto" w:fill="auto"/>
            <w:vAlign w:val="center"/>
          </w:tcPr>
          <w:p w14:paraId="606F85CF" w14:textId="77777777" w:rsidR="00FB67F9" w:rsidRDefault="00FB67F9">
            <w:pPr>
              <w:rPr>
                <w:rFonts w:ascii="Times New Roman" w:hAnsi="Times New Roman"/>
                <w:sz w:val="20"/>
                <w:szCs w:val="20"/>
              </w:rPr>
            </w:pPr>
          </w:p>
        </w:tc>
        <w:tc>
          <w:tcPr>
            <w:tcW w:w="50" w:type="pct"/>
            <w:shd w:val="clear" w:color="auto" w:fill="auto"/>
            <w:vAlign w:val="center"/>
          </w:tcPr>
          <w:p w14:paraId="606F85D0" w14:textId="77777777" w:rsidR="00FB67F9" w:rsidRDefault="00FB67F9">
            <w:pPr>
              <w:rPr>
                <w:rFonts w:ascii="Times New Roman" w:hAnsi="Times New Roman"/>
                <w:sz w:val="20"/>
                <w:szCs w:val="20"/>
              </w:rPr>
            </w:pPr>
          </w:p>
        </w:tc>
        <w:tc>
          <w:tcPr>
            <w:tcW w:w="600" w:type="pct"/>
            <w:shd w:val="clear" w:color="auto" w:fill="auto"/>
            <w:vAlign w:val="center"/>
          </w:tcPr>
          <w:p w14:paraId="606F85D1" w14:textId="77777777" w:rsidR="00FB67F9" w:rsidRDefault="00FB67F9">
            <w:pPr>
              <w:rPr>
                <w:rFonts w:ascii="Times New Roman" w:hAnsi="Times New Roman"/>
                <w:sz w:val="20"/>
                <w:szCs w:val="20"/>
              </w:rPr>
            </w:pPr>
          </w:p>
        </w:tc>
        <w:tc>
          <w:tcPr>
            <w:tcW w:w="50" w:type="pct"/>
            <w:shd w:val="clear" w:color="auto" w:fill="auto"/>
            <w:vAlign w:val="center"/>
          </w:tcPr>
          <w:p w14:paraId="606F85D2" w14:textId="77777777" w:rsidR="00FB67F9" w:rsidRDefault="00FB67F9">
            <w:pPr>
              <w:rPr>
                <w:rFonts w:ascii="Times New Roman" w:hAnsi="Times New Roman"/>
                <w:sz w:val="20"/>
                <w:szCs w:val="20"/>
              </w:rPr>
            </w:pPr>
          </w:p>
        </w:tc>
        <w:tc>
          <w:tcPr>
            <w:tcW w:w="50" w:type="pct"/>
            <w:shd w:val="clear" w:color="auto" w:fill="auto"/>
            <w:vAlign w:val="center"/>
          </w:tcPr>
          <w:p w14:paraId="606F85D3" w14:textId="77777777" w:rsidR="00FB67F9" w:rsidRDefault="00FB67F9">
            <w:pPr>
              <w:rPr>
                <w:rFonts w:ascii="Times New Roman" w:hAnsi="Times New Roman"/>
                <w:sz w:val="20"/>
                <w:szCs w:val="20"/>
              </w:rPr>
            </w:pPr>
          </w:p>
        </w:tc>
        <w:tc>
          <w:tcPr>
            <w:tcW w:w="50" w:type="pct"/>
            <w:shd w:val="clear" w:color="auto" w:fill="auto"/>
            <w:vAlign w:val="center"/>
          </w:tcPr>
          <w:p w14:paraId="606F85D4" w14:textId="77777777" w:rsidR="00FB67F9" w:rsidRDefault="00FB67F9">
            <w:pPr>
              <w:rPr>
                <w:rFonts w:ascii="Times New Roman" w:hAnsi="Times New Roman"/>
                <w:sz w:val="20"/>
                <w:szCs w:val="20"/>
              </w:rPr>
            </w:pPr>
          </w:p>
        </w:tc>
        <w:tc>
          <w:tcPr>
            <w:tcW w:w="600" w:type="pct"/>
            <w:shd w:val="clear" w:color="auto" w:fill="auto"/>
            <w:vAlign w:val="center"/>
          </w:tcPr>
          <w:p w14:paraId="606F85D5" w14:textId="77777777" w:rsidR="00FB67F9" w:rsidRDefault="00FB67F9">
            <w:pPr>
              <w:rPr>
                <w:rFonts w:ascii="Times New Roman" w:hAnsi="Times New Roman"/>
                <w:sz w:val="20"/>
                <w:szCs w:val="20"/>
              </w:rPr>
            </w:pPr>
          </w:p>
        </w:tc>
        <w:tc>
          <w:tcPr>
            <w:tcW w:w="50" w:type="pct"/>
            <w:shd w:val="clear" w:color="auto" w:fill="auto"/>
            <w:vAlign w:val="center"/>
          </w:tcPr>
          <w:p w14:paraId="606F85D6" w14:textId="77777777" w:rsidR="00FB67F9" w:rsidRDefault="00FB67F9">
            <w:pPr>
              <w:rPr>
                <w:rFonts w:ascii="Times New Roman" w:hAnsi="Times New Roman"/>
                <w:sz w:val="20"/>
                <w:szCs w:val="20"/>
              </w:rPr>
            </w:pPr>
          </w:p>
        </w:tc>
        <w:tc>
          <w:tcPr>
            <w:tcW w:w="50" w:type="pct"/>
            <w:shd w:val="clear" w:color="auto" w:fill="auto"/>
            <w:vAlign w:val="center"/>
          </w:tcPr>
          <w:p w14:paraId="606F85D7" w14:textId="77777777" w:rsidR="00FB67F9" w:rsidRDefault="00FB67F9">
            <w:pPr>
              <w:rPr>
                <w:rFonts w:ascii="Times New Roman" w:hAnsi="Times New Roman"/>
                <w:sz w:val="20"/>
                <w:szCs w:val="20"/>
              </w:rPr>
            </w:pPr>
          </w:p>
        </w:tc>
        <w:tc>
          <w:tcPr>
            <w:tcW w:w="600" w:type="pct"/>
            <w:shd w:val="clear" w:color="auto" w:fill="auto"/>
            <w:vAlign w:val="center"/>
          </w:tcPr>
          <w:p w14:paraId="606F85D8" w14:textId="77777777" w:rsidR="00FB67F9" w:rsidRDefault="00FB67F9">
            <w:pPr>
              <w:rPr>
                <w:rFonts w:ascii="Times New Roman" w:hAnsi="Times New Roman"/>
                <w:sz w:val="20"/>
                <w:szCs w:val="20"/>
              </w:rPr>
            </w:pPr>
          </w:p>
        </w:tc>
        <w:tc>
          <w:tcPr>
            <w:tcW w:w="50" w:type="pct"/>
            <w:shd w:val="clear" w:color="auto" w:fill="auto"/>
            <w:vAlign w:val="center"/>
          </w:tcPr>
          <w:p w14:paraId="606F85D9" w14:textId="77777777" w:rsidR="00FB67F9" w:rsidRDefault="00FB67F9">
            <w:pPr>
              <w:rPr>
                <w:rFonts w:ascii="Times New Roman" w:hAnsi="Times New Roman"/>
                <w:sz w:val="20"/>
                <w:szCs w:val="20"/>
              </w:rPr>
            </w:pPr>
          </w:p>
        </w:tc>
      </w:tr>
      <w:tr w:rsidR="00FB67F9" w14:paraId="606F85DF" w14:textId="77777777">
        <w:tc>
          <w:tcPr>
            <w:tcW w:w="0" w:type="auto"/>
            <w:shd w:val="clear" w:color="auto" w:fill="auto"/>
            <w:tcMar>
              <w:top w:w="40" w:type="dxa"/>
              <w:left w:w="40" w:type="dxa"/>
              <w:bottom w:w="40" w:type="dxa"/>
              <w:right w:w="40" w:type="dxa"/>
            </w:tcMar>
            <w:vAlign w:val="bottom"/>
          </w:tcPr>
          <w:p w14:paraId="606F85D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85D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5D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606F85D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5E6" w14:textId="77777777">
        <w:tc>
          <w:tcPr>
            <w:tcW w:w="0" w:type="auto"/>
            <w:shd w:val="clear" w:color="auto" w:fill="auto"/>
            <w:tcMar>
              <w:top w:w="40" w:type="dxa"/>
              <w:left w:w="40" w:type="dxa"/>
              <w:bottom w:w="40" w:type="dxa"/>
              <w:right w:w="40" w:type="dxa"/>
            </w:tcMar>
            <w:vAlign w:val="bottom"/>
          </w:tcPr>
          <w:p w14:paraId="606F85E0"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E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E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5E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E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E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FB67F9" w14:paraId="606F85F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E7" w14:textId="77777777" w:rsidR="00FB67F9" w:rsidRDefault="00E839DF">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5E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5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85E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5E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5E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5E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5E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5E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5F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(74</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606F85F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5F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5F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E87722"/>
              <w:bottom w:val="single" w:sz="8" w:space="0" w:color="E87722"/>
            </w:tcBorders>
            <w:shd w:val="clear" w:color="auto" w:fill="auto"/>
            <w:vAlign w:val="bottom"/>
          </w:tcPr>
          <w:p w14:paraId="606F85F4" w14:textId="77777777" w:rsidR="00FB67F9" w:rsidRDefault="00FB67F9">
            <w:pPr>
              <w:textAlignment w:val="bottom"/>
              <w:rPr>
                <w:rFonts w:ascii="Times New Roman" w:hAnsi="Times New Roman"/>
                <w:sz w:val="20"/>
                <w:szCs w:val="20"/>
              </w:rPr>
            </w:pPr>
          </w:p>
        </w:tc>
      </w:tr>
    </w:tbl>
    <w:p w14:paraId="606F85F6"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Other (income) expense, net</w:t>
      </w:r>
      <w:r>
        <w:rPr>
          <w:rFonts w:ascii="Arial" w:eastAsia="宋体" w:hAnsi="Arial" w:cs="Arial"/>
          <w:sz w:val="17"/>
          <w:szCs w:val="17"/>
        </w:rPr>
        <w:t xml:space="preserve"> comprises foreign currency conversion gains and losses from the re-measurement of monetary assets and liabilities denominated in non-functional currencies and the impact of certain foreign currency derivative instruments, as well as unusual or non-operati</w:t>
      </w:r>
      <w:r>
        <w:rPr>
          <w:rFonts w:ascii="Arial" w:eastAsia="宋体" w:hAnsi="Arial" w:cs="Arial"/>
          <w:sz w:val="17"/>
          <w:szCs w:val="17"/>
        </w:rPr>
        <w:t>ng transactions that are outside the normal course of business.</w:t>
      </w:r>
    </w:p>
    <w:p w14:paraId="606F85F7" w14:textId="77777777" w:rsidR="00FB67F9" w:rsidRDefault="00E839DF">
      <w:pPr>
        <w:spacing w:line="312" w:lineRule="auto"/>
        <w:rPr>
          <w:rFonts w:ascii="Times New Roman" w:hAnsi="Times New Roman"/>
          <w:sz w:val="17"/>
          <w:szCs w:val="17"/>
        </w:rPr>
      </w:pPr>
      <w:r>
        <w:rPr>
          <w:rFonts w:ascii="Arial" w:eastAsia="宋体" w:hAnsi="Arial" w:cs="Arial"/>
          <w:sz w:val="17"/>
          <w:szCs w:val="17"/>
          <w:shd w:val="clear" w:color="auto" w:fill="FFFFFF"/>
        </w:rPr>
        <w:t xml:space="preserve">For the second quarter of fiscal 2020, </w:t>
      </w:r>
      <w:r>
        <w:rPr>
          <w:rFonts w:ascii="Arial" w:eastAsia="宋体" w:hAnsi="Arial" w:cs="Arial"/>
          <w:i/>
          <w:iCs/>
          <w:sz w:val="17"/>
          <w:szCs w:val="17"/>
          <w:shd w:val="clear" w:color="auto" w:fill="FFFFFF"/>
        </w:rPr>
        <w:t>Other (income) expense, net</w:t>
      </w:r>
      <w:r>
        <w:rPr>
          <w:rFonts w:ascii="Arial" w:eastAsia="宋体" w:hAnsi="Arial" w:cs="Arial"/>
          <w:sz w:val="17"/>
          <w:szCs w:val="17"/>
          <w:shd w:val="clear" w:color="auto" w:fill="FFFFFF"/>
        </w:rPr>
        <w:t xml:space="preserve"> decreased from </w:t>
      </w:r>
      <w:r>
        <w:rPr>
          <w:rFonts w:ascii="Arial" w:eastAsia="宋体" w:hAnsi="Arial" w:cs="Arial"/>
          <w:sz w:val="17"/>
          <w:szCs w:val="17"/>
        </w:rPr>
        <w:t>$48 million</w:t>
      </w:r>
      <w:r>
        <w:rPr>
          <w:rFonts w:ascii="Arial" w:eastAsia="宋体" w:hAnsi="Arial" w:cs="Arial"/>
          <w:sz w:val="17"/>
          <w:szCs w:val="17"/>
          <w:shd w:val="clear" w:color="auto" w:fill="FFFFFF"/>
        </w:rPr>
        <w:t xml:space="preserve"> of other income, net to </w:t>
      </w:r>
      <w:r>
        <w:rPr>
          <w:rFonts w:ascii="Arial" w:eastAsia="宋体" w:hAnsi="Arial" w:cs="Arial"/>
          <w:sz w:val="17"/>
          <w:szCs w:val="17"/>
        </w:rPr>
        <w:t xml:space="preserve">$41 million </w:t>
      </w:r>
      <w:r>
        <w:rPr>
          <w:rFonts w:ascii="Arial" w:eastAsia="宋体" w:hAnsi="Arial" w:cs="Arial"/>
          <w:sz w:val="17"/>
          <w:szCs w:val="17"/>
          <w:shd w:val="clear" w:color="auto" w:fill="FFFFFF"/>
        </w:rPr>
        <w:t xml:space="preserve">in the current year, primarily due to an $11 million net </w:t>
      </w:r>
      <w:r>
        <w:rPr>
          <w:rFonts w:ascii="Arial" w:eastAsia="宋体" w:hAnsi="Arial" w:cs="Arial"/>
          <w:sz w:val="17"/>
          <w:szCs w:val="17"/>
          <w:shd w:val="clear" w:color="auto" w:fill="FFFFFF"/>
        </w:rPr>
        <w:t>detrimental change in foreign currency conversion gains and losses, including hedges.</w:t>
      </w:r>
    </w:p>
    <w:p w14:paraId="606F85F8" w14:textId="77777777" w:rsidR="00FB67F9" w:rsidRDefault="00E839DF">
      <w:pPr>
        <w:spacing w:line="312" w:lineRule="auto"/>
        <w:rPr>
          <w:rFonts w:ascii="Times New Roman" w:hAnsi="Times New Roman"/>
          <w:sz w:val="17"/>
          <w:szCs w:val="17"/>
        </w:rPr>
      </w:pPr>
      <w:r>
        <w:rPr>
          <w:rFonts w:ascii="Arial" w:eastAsia="宋体" w:hAnsi="Arial" w:cs="Arial"/>
          <w:sz w:val="17"/>
          <w:szCs w:val="17"/>
          <w:shd w:val="clear" w:color="auto" w:fill="FFFFFF"/>
        </w:rPr>
        <w:t>For the</w:t>
      </w:r>
      <w:r>
        <w:rPr>
          <w:rFonts w:ascii="Arial" w:eastAsia="宋体" w:hAnsi="Arial" w:cs="Arial"/>
          <w:sz w:val="17"/>
          <w:szCs w:val="17"/>
        </w:rPr>
        <w:t xml:space="preserve"> first six months </w:t>
      </w:r>
      <w:r>
        <w:rPr>
          <w:rFonts w:ascii="Arial" w:eastAsia="宋体" w:hAnsi="Arial" w:cs="Arial"/>
          <w:sz w:val="17"/>
          <w:szCs w:val="17"/>
          <w:shd w:val="clear" w:color="auto" w:fill="FFFFFF"/>
        </w:rPr>
        <w:t xml:space="preserve">of fiscal 2020, </w:t>
      </w:r>
      <w:r>
        <w:rPr>
          <w:rFonts w:ascii="Arial" w:eastAsia="宋体" w:hAnsi="Arial" w:cs="Arial"/>
          <w:i/>
          <w:iCs/>
          <w:sz w:val="17"/>
          <w:szCs w:val="17"/>
          <w:shd w:val="clear" w:color="auto" w:fill="FFFFFF"/>
        </w:rPr>
        <w:t>Other (income) expense, net</w:t>
      </w:r>
      <w:r>
        <w:rPr>
          <w:rFonts w:ascii="Arial" w:eastAsia="宋体" w:hAnsi="Arial" w:cs="Arial"/>
          <w:sz w:val="17"/>
          <w:szCs w:val="17"/>
          <w:shd w:val="clear" w:color="auto" w:fill="FFFFFF"/>
        </w:rPr>
        <w:t xml:space="preserve"> changed from $5 million of other expense, net to $74 million of other income, net in the current year</w:t>
      </w:r>
      <w:r>
        <w:rPr>
          <w:rFonts w:ascii="Arial" w:eastAsia="宋体" w:hAnsi="Arial" w:cs="Arial"/>
          <w:sz w:val="17"/>
          <w:szCs w:val="17"/>
          <w:shd w:val="clear" w:color="auto" w:fill="FFFFFF"/>
        </w:rPr>
        <w:t>, primarily due to a $60 million net beneficial change in foreign currency conversion gains and losses, including hedges.</w:t>
      </w:r>
    </w:p>
    <w:p w14:paraId="606F85F9" w14:textId="77777777" w:rsidR="00FB67F9" w:rsidRDefault="00E839DF">
      <w:pPr>
        <w:spacing w:line="312" w:lineRule="auto"/>
        <w:rPr>
          <w:rFonts w:ascii="Times New Roman" w:hAnsi="Times New Roman"/>
          <w:sz w:val="17"/>
          <w:szCs w:val="17"/>
        </w:rPr>
      </w:pPr>
      <w:r>
        <w:rPr>
          <w:rFonts w:ascii="Arial" w:eastAsia="宋体" w:hAnsi="Arial" w:cs="Arial"/>
          <w:sz w:val="17"/>
          <w:szCs w:val="17"/>
          <w:shd w:val="clear" w:color="auto" w:fill="FFFFFF"/>
        </w:rPr>
        <w:t>We estimate the combination of the translation of foreign currency-denominated profits from our international businesses and the year-</w:t>
      </w:r>
      <w:r>
        <w:rPr>
          <w:rFonts w:ascii="Arial" w:eastAsia="宋体" w:hAnsi="Arial" w:cs="Arial"/>
          <w:sz w:val="17"/>
          <w:szCs w:val="17"/>
          <w:shd w:val="clear" w:color="auto" w:fill="FFFFFF"/>
        </w:rPr>
        <w:t xml:space="preserve">over-year change in foreign currency-related gains and losses included in </w:t>
      </w:r>
      <w:r>
        <w:rPr>
          <w:rFonts w:ascii="Arial" w:eastAsia="宋体" w:hAnsi="Arial" w:cs="Arial"/>
          <w:i/>
          <w:iCs/>
          <w:sz w:val="17"/>
          <w:szCs w:val="17"/>
          <w:shd w:val="clear" w:color="auto" w:fill="FFFFFF"/>
        </w:rPr>
        <w:t>Other (income) expense, net</w:t>
      </w:r>
      <w:r>
        <w:rPr>
          <w:rFonts w:ascii="Arial" w:eastAsia="宋体" w:hAnsi="Arial" w:cs="Arial"/>
          <w:sz w:val="17"/>
          <w:szCs w:val="17"/>
          <w:shd w:val="clear" w:color="auto" w:fill="FFFFFF"/>
        </w:rPr>
        <w:t xml:space="preserve"> had unfavorable impacts of approximately $77 million and $92 million on our</w:t>
      </w:r>
      <w:r>
        <w:rPr>
          <w:rFonts w:ascii="Arial" w:eastAsia="宋体" w:hAnsi="Arial" w:cs="Arial"/>
          <w:i/>
          <w:iCs/>
          <w:sz w:val="17"/>
          <w:szCs w:val="17"/>
          <w:shd w:val="clear" w:color="auto" w:fill="FFFFFF"/>
        </w:rPr>
        <w:t xml:space="preserve"> Income before income taxe</w:t>
      </w:r>
      <w:r>
        <w:rPr>
          <w:rFonts w:ascii="Arial" w:eastAsia="宋体" w:hAnsi="Arial" w:cs="Arial"/>
          <w:sz w:val="17"/>
          <w:szCs w:val="17"/>
          <w:shd w:val="clear" w:color="auto" w:fill="FFFFFF"/>
        </w:rPr>
        <w:t xml:space="preserve">s for the second quarter and </w:t>
      </w:r>
      <w:r>
        <w:rPr>
          <w:rFonts w:ascii="Arial" w:eastAsia="宋体" w:hAnsi="Arial" w:cs="Arial"/>
          <w:sz w:val="17"/>
          <w:szCs w:val="17"/>
        </w:rPr>
        <w:t>first six months</w:t>
      </w:r>
      <w:r>
        <w:rPr>
          <w:rFonts w:ascii="Arial" w:eastAsia="宋体" w:hAnsi="Arial" w:cs="Arial"/>
          <w:sz w:val="17"/>
          <w:szCs w:val="17"/>
          <w:shd w:val="clear" w:color="auto" w:fill="FFFFFF"/>
        </w:rPr>
        <w:t xml:space="preserve"> of fisc</w:t>
      </w:r>
      <w:r>
        <w:rPr>
          <w:rFonts w:ascii="Arial" w:eastAsia="宋体" w:hAnsi="Arial" w:cs="Arial"/>
          <w:sz w:val="17"/>
          <w:szCs w:val="17"/>
          <w:shd w:val="clear" w:color="auto" w:fill="FFFFFF"/>
        </w:rPr>
        <w:t>al 2020, respectively.</w:t>
      </w:r>
    </w:p>
    <w:p w14:paraId="606F85FA"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INCOME TAXES</w:t>
      </w:r>
    </w:p>
    <w:tbl>
      <w:tblPr>
        <w:tblW w:w="5000" w:type="pct"/>
        <w:tblCellMar>
          <w:left w:w="0" w:type="dxa"/>
          <w:right w:w="0" w:type="dxa"/>
        </w:tblCellMar>
        <w:tblLook w:val="04A0" w:firstRow="1" w:lastRow="0" w:firstColumn="1" w:lastColumn="0" w:noHBand="0" w:noVBand="1"/>
      </w:tblPr>
      <w:tblGrid>
        <w:gridCol w:w="3169"/>
        <w:gridCol w:w="678"/>
        <w:gridCol w:w="192"/>
        <w:gridCol w:w="679"/>
        <w:gridCol w:w="192"/>
        <w:gridCol w:w="762"/>
        <w:gridCol w:w="130"/>
        <w:gridCol w:w="679"/>
        <w:gridCol w:w="192"/>
        <w:gridCol w:w="679"/>
        <w:gridCol w:w="192"/>
        <w:gridCol w:w="762"/>
      </w:tblGrid>
      <w:tr w:rsidR="00FB67F9" w14:paraId="606F85FC" w14:textId="77777777">
        <w:tc>
          <w:tcPr>
            <w:tcW w:w="0" w:type="auto"/>
            <w:gridSpan w:val="12"/>
            <w:shd w:val="clear" w:color="auto" w:fill="auto"/>
            <w:vAlign w:val="center"/>
          </w:tcPr>
          <w:p w14:paraId="606F85FB" w14:textId="77777777" w:rsidR="00FB67F9" w:rsidRDefault="00FB67F9">
            <w:pPr>
              <w:rPr>
                <w:rFonts w:ascii="Times New Roman" w:hAnsi="Times New Roman"/>
                <w:sz w:val="20"/>
                <w:szCs w:val="20"/>
              </w:rPr>
            </w:pPr>
          </w:p>
        </w:tc>
      </w:tr>
      <w:tr w:rsidR="00FB67F9" w14:paraId="606F8609" w14:textId="77777777">
        <w:tc>
          <w:tcPr>
            <w:tcW w:w="1950" w:type="pct"/>
            <w:shd w:val="clear" w:color="auto" w:fill="auto"/>
            <w:vAlign w:val="center"/>
          </w:tcPr>
          <w:p w14:paraId="606F85FD" w14:textId="77777777" w:rsidR="00FB67F9" w:rsidRDefault="00FB67F9">
            <w:pPr>
              <w:rPr>
                <w:rFonts w:ascii="Times New Roman" w:hAnsi="Times New Roman"/>
                <w:sz w:val="20"/>
                <w:szCs w:val="20"/>
              </w:rPr>
            </w:pPr>
          </w:p>
        </w:tc>
        <w:tc>
          <w:tcPr>
            <w:tcW w:w="450" w:type="pct"/>
            <w:shd w:val="clear" w:color="auto" w:fill="auto"/>
            <w:vAlign w:val="center"/>
          </w:tcPr>
          <w:p w14:paraId="606F85FE" w14:textId="77777777" w:rsidR="00FB67F9" w:rsidRDefault="00FB67F9">
            <w:pPr>
              <w:rPr>
                <w:rFonts w:ascii="Times New Roman" w:hAnsi="Times New Roman"/>
                <w:sz w:val="20"/>
                <w:szCs w:val="20"/>
              </w:rPr>
            </w:pPr>
          </w:p>
        </w:tc>
        <w:tc>
          <w:tcPr>
            <w:tcW w:w="50" w:type="pct"/>
            <w:shd w:val="clear" w:color="auto" w:fill="auto"/>
            <w:vAlign w:val="center"/>
          </w:tcPr>
          <w:p w14:paraId="606F85FF" w14:textId="77777777" w:rsidR="00FB67F9" w:rsidRDefault="00FB67F9">
            <w:pPr>
              <w:rPr>
                <w:rFonts w:ascii="Times New Roman" w:hAnsi="Times New Roman"/>
                <w:sz w:val="20"/>
                <w:szCs w:val="20"/>
              </w:rPr>
            </w:pPr>
          </w:p>
        </w:tc>
        <w:tc>
          <w:tcPr>
            <w:tcW w:w="450" w:type="pct"/>
            <w:shd w:val="clear" w:color="auto" w:fill="auto"/>
            <w:vAlign w:val="center"/>
          </w:tcPr>
          <w:p w14:paraId="606F8600" w14:textId="77777777" w:rsidR="00FB67F9" w:rsidRDefault="00FB67F9">
            <w:pPr>
              <w:rPr>
                <w:rFonts w:ascii="Times New Roman" w:hAnsi="Times New Roman"/>
                <w:sz w:val="20"/>
                <w:szCs w:val="20"/>
              </w:rPr>
            </w:pPr>
          </w:p>
        </w:tc>
        <w:tc>
          <w:tcPr>
            <w:tcW w:w="50" w:type="pct"/>
            <w:shd w:val="clear" w:color="auto" w:fill="auto"/>
            <w:vAlign w:val="center"/>
          </w:tcPr>
          <w:p w14:paraId="606F8601" w14:textId="77777777" w:rsidR="00FB67F9" w:rsidRDefault="00FB67F9">
            <w:pPr>
              <w:rPr>
                <w:rFonts w:ascii="Times New Roman" w:hAnsi="Times New Roman"/>
                <w:sz w:val="20"/>
                <w:szCs w:val="20"/>
              </w:rPr>
            </w:pPr>
          </w:p>
        </w:tc>
        <w:tc>
          <w:tcPr>
            <w:tcW w:w="500" w:type="pct"/>
            <w:shd w:val="clear" w:color="auto" w:fill="auto"/>
            <w:vAlign w:val="center"/>
          </w:tcPr>
          <w:p w14:paraId="606F8602" w14:textId="77777777" w:rsidR="00FB67F9" w:rsidRDefault="00FB67F9">
            <w:pPr>
              <w:rPr>
                <w:rFonts w:ascii="Times New Roman" w:hAnsi="Times New Roman"/>
                <w:sz w:val="20"/>
                <w:szCs w:val="20"/>
              </w:rPr>
            </w:pPr>
          </w:p>
        </w:tc>
        <w:tc>
          <w:tcPr>
            <w:tcW w:w="50" w:type="pct"/>
            <w:shd w:val="clear" w:color="auto" w:fill="auto"/>
            <w:vAlign w:val="center"/>
          </w:tcPr>
          <w:p w14:paraId="606F8603" w14:textId="77777777" w:rsidR="00FB67F9" w:rsidRDefault="00FB67F9">
            <w:pPr>
              <w:rPr>
                <w:rFonts w:ascii="Times New Roman" w:hAnsi="Times New Roman"/>
                <w:sz w:val="20"/>
                <w:szCs w:val="20"/>
              </w:rPr>
            </w:pPr>
          </w:p>
        </w:tc>
        <w:tc>
          <w:tcPr>
            <w:tcW w:w="450" w:type="pct"/>
            <w:shd w:val="clear" w:color="auto" w:fill="auto"/>
            <w:vAlign w:val="center"/>
          </w:tcPr>
          <w:p w14:paraId="606F8604" w14:textId="77777777" w:rsidR="00FB67F9" w:rsidRDefault="00FB67F9">
            <w:pPr>
              <w:rPr>
                <w:rFonts w:ascii="Times New Roman" w:hAnsi="Times New Roman"/>
                <w:sz w:val="20"/>
                <w:szCs w:val="20"/>
              </w:rPr>
            </w:pPr>
          </w:p>
        </w:tc>
        <w:tc>
          <w:tcPr>
            <w:tcW w:w="50" w:type="pct"/>
            <w:shd w:val="clear" w:color="auto" w:fill="auto"/>
            <w:vAlign w:val="center"/>
          </w:tcPr>
          <w:p w14:paraId="606F8605" w14:textId="77777777" w:rsidR="00FB67F9" w:rsidRDefault="00FB67F9">
            <w:pPr>
              <w:rPr>
                <w:rFonts w:ascii="Times New Roman" w:hAnsi="Times New Roman"/>
                <w:sz w:val="20"/>
                <w:szCs w:val="20"/>
              </w:rPr>
            </w:pPr>
          </w:p>
        </w:tc>
        <w:tc>
          <w:tcPr>
            <w:tcW w:w="450" w:type="pct"/>
            <w:shd w:val="clear" w:color="auto" w:fill="auto"/>
            <w:vAlign w:val="center"/>
          </w:tcPr>
          <w:p w14:paraId="606F8606" w14:textId="77777777" w:rsidR="00FB67F9" w:rsidRDefault="00FB67F9">
            <w:pPr>
              <w:rPr>
                <w:rFonts w:ascii="Times New Roman" w:hAnsi="Times New Roman"/>
                <w:sz w:val="20"/>
                <w:szCs w:val="20"/>
              </w:rPr>
            </w:pPr>
          </w:p>
        </w:tc>
        <w:tc>
          <w:tcPr>
            <w:tcW w:w="50" w:type="pct"/>
            <w:shd w:val="clear" w:color="auto" w:fill="auto"/>
            <w:vAlign w:val="center"/>
          </w:tcPr>
          <w:p w14:paraId="606F8607" w14:textId="77777777" w:rsidR="00FB67F9" w:rsidRDefault="00FB67F9">
            <w:pPr>
              <w:rPr>
                <w:rFonts w:ascii="Times New Roman" w:hAnsi="Times New Roman"/>
                <w:sz w:val="20"/>
                <w:szCs w:val="20"/>
              </w:rPr>
            </w:pPr>
          </w:p>
        </w:tc>
        <w:tc>
          <w:tcPr>
            <w:tcW w:w="500" w:type="pct"/>
            <w:shd w:val="clear" w:color="auto" w:fill="auto"/>
            <w:vAlign w:val="center"/>
          </w:tcPr>
          <w:p w14:paraId="606F8608" w14:textId="77777777" w:rsidR="00FB67F9" w:rsidRDefault="00FB67F9">
            <w:pPr>
              <w:rPr>
                <w:rFonts w:ascii="Times New Roman" w:hAnsi="Times New Roman"/>
                <w:sz w:val="20"/>
                <w:szCs w:val="20"/>
              </w:rPr>
            </w:pPr>
          </w:p>
        </w:tc>
      </w:tr>
      <w:tr w:rsidR="00FB67F9" w14:paraId="606F860E" w14:textId="77777777">
        <w:tc>
          <w:tcPr>
            <w:tcW w:w="0" w:type="auto"/>
            <w:shd w:val="clear" w:color="auto" w:fill="auto"/>
            <w:tcMar>
              <w:top w:w="40" w:type="dxa"/>
              <w:left w:w="40" w:type="dxa"/>
              <w:bottom w:w="40" w:type="dxa"/>
              <w:right w:w="40" w:type="dxa"/>
            </w:tcMar>
            <w:vAlign w:val="bottom"/>
          </w:tcPr>
          <w:p w14:paraId="606F860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860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60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606F860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617" w14:textId="77777777">
        <w:tc>
          <w:tcPr>
            <w:tcW w:w="0" w:type="auto"/>
            <w:shd w:val="clear" w:color="auto" w:fill="auto"/>
            <w:tcMar>
              <w:top w:w="40" w:type="dxa"/>
              <w:left w:w="40" w:type="dxa"/>
              <w:bottom w:w="40" w:type="dxa"/>
              <w:right w:w="40" w:type="dxa"/>
            </w:tcMar>
            <w:vAlign w:val="bottom"/>
          </w:tcPr>
          <w:p w14:paraId="606F860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right w:w="40" w:type="dxa"/>
            </w:tcMar>
            <w:vAlign w:val="bottom"/>
          </w:tcPr>
          <w:p w14:paraId="606F861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2"/>
            <w:tcBorders>
              <w:top w:val="single" w:sz="8" w:space="0" w:color="E87722"/>
            </w:tcBorders>
            <w:shd w:val="clear" w:color="auto" w:fill="auto"/>
            <w:tcMar>
              <w:top w:w="40" w:type="dxa"/>
              <w:left w:w="40" w:type="dxa"/>
              <w:bottom w:w="40" w:type="dxa"/>
              <w:right w:w="40" w:type="dxa"/>
            </w:tcMar>
            <w:vAlign w:val="bottom"/>
          </w:tcPr>
          <w:p w14:paraId="606F861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61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61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1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1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61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r>
      <w:tr w:rsidR="00FB67F9" w14:paraId="606F862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606F8618" w14:textId="77777777" w:rsidR="00FB67F9" w:rsidRDefault="00E839DF">
            <w:pPr>
              <w:textAlignment w:val="top"/>
              <w:rPr>
                <w:rFonts w:ascii="Times New Roman" w:hAnsi="Times New Roman"/>
                <w:sz w:val="17"/>
                <w:szCs w:val="17"/>
              </w:rPr>
            </w:pPr>
            <w:r>
              <w:rPr>
                <w:rFonts w:ascii="Arial" w:eastAsia="宋体" w:hAnsi="Arial" w:cs="Arial"/>
                <w:sz w:val="17"/>
                <w:szCs w:val="17"/>
              </w:rPr>
              <w:t>Effective tax rate</w:t>
            </w:r>
          </w:p>
        </w:tc>
        <w:tc>
          <w:tcPr>
            <w:tcW w:w="0" w:type="auto"/>
            <w:tcBorders>
              <w:top w:val="single" w:sz="8" w:space="0" w:color="E87722"/>
              <w:bottom w:val="single" w:sz="8" w:space="0" w:color="E87722"/>
            </w:tcBorders>
            <w:shd w:val="clear" w:color="auto" w:fill="FFF1E7"/>
            <w:tcMar>
              <w:top w:w="40" w:type="dxa"/>
              <w:left w:w="40" w:type="dxa"/>
              <w:bottom w:w="40" w:type="dxa"/>
            </w:tcMar>
          </w:tcPr>
          <w:p w14:paraId="606F8619" w14:textId="77777777" w:rsidR="00FB67F9" w:rsidRDefault="00E839DF">
            <w:pPr>
              <w:jc w:val="right"/>
              <w:textAlignment w:val="top"/>
              <w:rPr>
                <w:rFonts w:ascii="Times New Roman" w:hAnsi="Times New Roman"/>
                <w:sz w:val="17"/>
                <w:szCs w:val="17"/>
              </w:rPr>
            </w:pPr>
            <w:r>
              <w:rPr>
                <w:rFonts w:ascii="Arial" w:eastAsia="宋体" w:hAnsi="Arial" w:cs="Arial"/>
                <w:sz w:val="17"/>
                <w:szCs w:val="17"/>
              </w:rPr>
              <w:t>10.7</w:t>
            </w:r>
          </w:p>
        </w:tc>
        <w:tc>
          <w:tcPr>
            <w:tcW w:w="0" w:type="auto"/>
            <w:tcBorders>
              <w:top w:val="single" w:sz="8" w:space="0" w:color="E87722"/>
              <w:bottom w:val="single" w:sz="8" w:space="0" w:color="E87722"/>
            </w:tcBorders>
            <w:shd w:val="clear" w:color="auto" w:fill="FFF1E7"/>
            <w:tcMar>
              <w:top w:w="40" w:type="dxa"/>
              <w:bottom w:w="40" w:type="dxa"/>
              <w:right w:w="40" w:type="dxa"/>
            </w:tcMar>
          </w:tcPr>
          <w:p w14:paraId="606F861A" w14:textId="77777777" w:rsidR="00FB67F9" w:rsidRDefault="00E839DF">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tcPr>
          <w:p w14:paraId="606F861B" w14:textId="77777777" w:rsidR="00FB67F9" w:rsidRDefault="00E839DF">
            <w:pPr>
              <w:jc w:val="right"/>
              <w:textAlignment w:val="top"/>
              <w:rPr>
                <w:rFonts w:ascii="Times New Roman" w:hAnsi="Times New Roman"/>
                <w:sz w:val="17"/>
                <w:szCs w:val="17"/>
              </w:rPr>
            </w:pPr>
            <w:r>
              <w:rPr>
                <w:rFonts w:ascii="Arial" w:eastAsia="宋体" w:hAnsi="Arial" w:cs="Arial"/>
                <w:sz w:val="17"/>
                <w:szCs w:val="17"/>
              </w:rPr>
              <w:t>15.0</w:t>
            </w:r>
          </w:p>
        </w:tc>
        <w:tc>
          <w:tcPr>
            <w:tcW w:w="0" w:type="auto"/>
            <w:tcBorders>
              <w:top w:val="single" w:sz="8" w:space="0" w:color="E87722"/>
              <w:bottom w:val="single" w:sz="8" w:space="0" w:color="E87722"/>
            </w:tcBorders>
            <w:shd w:val="clear" w:color="auto" w:fill="auto"/>
            <w:tcMar>
              <w:top w:w="40" w:type="dxa"/>
              <w:bottom w:w="40" w:type="dxa"/>
              <w:right w:w="40" w:type="dxa"/>
            </w:tcMar>
          </w:tcPr>
          <w:p w14:paraId="606F861C" w14:textId="77777777" w:rsidR="00FB67F9" w:rsidRDefault="00E839DF">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606F861D" w14:textId="77777777" w:rsidR="00FB67F9" w:rsidRDefault="00E839DF">
            <w:pPr>
              <w:jc w:val="right"/>
              <w:textAlignment w:val="top"/>
              <w:rPr>
                <w:rFonts w:ascii="Times New Roman" w:hAnsi="Times New Roman"/>
                <w:sz w:val="17"/>
                <w:szCs w:val="17"/>
              </w:rPr>
            </w:pPr>
            <w:r>
              <w:rPr>
                <w:rFonts w:ascii="Arial" w:eastAsia="宋体" w:hAnsi="Arial" w:cs="Arial"/>
                <w:sz w:val="17"/>
                <w:szCs w:val="17"/>
              </w:rPr>
              <w:t>(430) bps</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1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tcPr>
          <w:p w14:paraId="606F861F" w14:textId="77777777" w:rsidR="00FB67F9" w:rsidRDefault="00E839DF">
            <w:pPr>
              <w:jc w:val="right"/>
              <w:textAlignment w:val="top"/>
              <w:rPr>
                <w:rFonts w:ascii="Times New Roman" w:hAnsi="Times New Roman"/>
                <w:sz w:val="17"/>
                <w:szCs w:val="17"/>
              </w:rPr>
            </w:pPr>
            <w:r>
              <w:rPr>
                <w:rFonts w:ascii="Arial" w:eastAsia="宋体" w:hAnsi="Arial" w:cs="Arial"/>
                <w:sz w:val="17"/>
                <w:szCs w:val="17"/>
              </w:rPr>
              <w:t>11.7</w:t>
            </w:r>
          </w:p>
        </w:tc>
        <w:tc>
          <w:tcPr>
            <w:tcW w:w="0" w:type="auto"/>
            <w:tcBorders>
              <w:top w:val="single" w:sz="8" w:space="0" w:color="E87722"/>
              <w:bottom w:val="single" w:sz="8" w:space="0" w:color="E87722"/>
            </w:tcBorders>
            <w:shd w:val="clear" w:color="auto" w:fill="FFF1E7"/>
            <w:tcMar>
              <w:top w:w="40" w:type="dxa"/>
              <w:bottom w:w="40" w:type="dxa"/>
              <w:right w:w="40" w:type="dxa"/>
            </w:tcMar>
          </w:tcPr>
          <w:p w14:paraId="606F8620" w14:textId="77777777" w:rsidR="00FB67F9" w:rsidRDefault="00E839DF">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tcPr>
          <w:p w14:paraId="606F8621" w14:textId="77777777" w:rsidR="00FB67F9" w:rsidRDefault="00E839DF">
            <w:pPr>
              <w:jc w:val="right"/>
              <w:textAlignment w:val="top"/>
              <w:rPr>
                <w:rFonts w:ascii="Times New Roman" w:hAnsi="Times New Roman"/>
                <w:sz w:val="17"/>
                <w:szCs w:val="17"/>
              </w:rPr>
            </w:pPr>
            <w:r>
              <w:rPr>
                <w:rFonts w:ascii="Arial" w:eastAsia="宋体" w:hAnsi="Arial" w:cs="Arial"/>
                <w:sz w:val="17"/>
                <w:szCs w:val="17"/>
              </w:rPr>
              <w:t>14.5</w:t>
            </w:r>
          </w:p>
        </w:tc>
        <w:tc>
          <w:tcPr>
            <w:tcW w:w="0" w:type="auto"/>
            <w:tcBorders>
              <w:top w:val="single" w:sz="8" w:space="0" w:color="E87722"/>
              <w:bottom w:val="single" w:sz="8" w:space="0" w:color="E87722"/>
            </w:tcBorders>
            <w:shd w:val="clear" w:color="auto" w:fill="auto"/>
            <w:tcMar>
              <w:top w:w="40" w:type="dxa"/>
              <w:bottom w:w="40" w:type="dxa"/>
              <w:right w:w="40" w:type="dxa"/>
            </w:tcMar>
          </w:tcPr>
          <w:p w14:paraId="606F8622" w14:textId="77777777" w:rsidR="00FB67F9" w:rsidRDefault="00E839DF">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606F8623" w14:textId="77777777" w:rsidR="00FB67F9" w:rsidRDefault="00E839DF">
            <w:pPr>
              <w:jc w:val="right"/>
              <w:textAlignment w:val="top"/>
              <w:rPr>
                <w:rFonts w:ascii="Times New Roman" w:hAnsi="Times New Roman"/>
                <w:sz w:val="17"/>
                <w:szCs w:val="17"/>
              </w:rPr>
            </w:pPr>
            <w:r>
              <w:rPr>
                <w:rFonts w:ascii="Arial" w:eastAsia="宋体" w:hAnsi="Arial" w:cs="Arial"/>
                <w:sz w:val="17"/>
                <w:szCs w:val="17"/>
              </w:rPr>
              <w:t>(280) bps</w:t>
            </w:r>
          </w:p>
        </w:tc>
      </w:tr>
    </w:tbl>
    <w:p w14:paraId="606F862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Our effective tax rate was 10.7% for the second quarter of fiscal 2020, compared to 15.0% for the second quarter of fiscal 2019, primarily due to a more favorable impact from stock-based compensation. </w:t>
      </w:r>
    </w:p>
    <w:p w14:paraId="606F862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Our effective tax rate was 11.7% for the first six mon</w:t>
      </w:r>
      <w:r>
        <w:rPr>
          <w:rFonts w:ascii="Arial" w:eastAsia="宋体" w:hAnsi="Arial" w:cs="Arial"/>
          <w:sz w:val="17"/>
          <w:szCs w:val="17"/>
        </w:rPr>
        <w:t>ths of fiscal 2020, compared to 14.5% for the first six months of fiscal 2019, due to the proportion of earnings taxed in the U.S.</w:t>
      </w:r>
    </w:p>
    <w:p w14:paraId="606F8627" w14:textId="77777777" w:rsidR="00FB67F9" w:rsidRDefault="00FB67F9">
      <w:pPr>
        <w:rPr>
          <w:rFonts w:ascii="Times New Roman" w:hAnsi="Times New Roman"/>
          <w:sz w:val="20"/>
          <w:szCs w:val="20"/>
        </w:rPr>
      </w:pPr>
    </w:p>
    <w:p w14:paraId="606F8628"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30</w:t>
      </w:r>
      <w:r>
        <w:rPr>
          <w:rFonts w:ascii="sans-serif" w:eastAsia="sans-serif" w:hAnsi="sans-serif" w:cs="sans-serif"/>
          <w:sz w:val="17"/>
          <w:szCs w:val="17"/>
        </w:rPr>
        <w:t xml:space="preserve"> </w:t>
      </w:r>
    </w:p>
    <w:p w14:paraId="606F8629" w14:textId="77777777" w:rsidR="00FB67F9" w:rsidRDefault="00E839DF">
      <w:r>
        <w:rPr>
          <w:rFonts w:ascii="Times New Roman" w:hAnsi="Times New Roman"/>
          <w:sz w:val="17"/>
          <w:szCs w:val="17"/>
        </w:rPr>
        <w:pict w14:anchorId="606F8F9B">
          <v:rect id="_x0000_i1056" style="width:415.3pt;height:1.5pt" o:hralign="center" o:hrstd="t" o:hr="t" fillcolor="#a0a0a0" stroked="f"/>
        </w:pict>
      </w:r>
    </w:p>
    <w:p w14:paraId="606F862A" w14:textId="77777777" w:rsidR="00FB67F9" w:rsidRDefault="00FB67F9">
      <w:pPr>
        <w:rPr>
          <w:rFonts w:ascii="Times New Roman" w:hAnsi="Times New Roman"/>
          <w:sz w:val="17"/>
          <w:szCs w:val="17"/>
        </w:rPr>
      </w:pPr>
    </w:p>
    <w:p w14:paraId="606F862B" w14:textId="77777777" w:rsidR="00FB67F9" w:rsidRDefault="00E839DF">
      <w:pPr>
        <w:rPr>
          <w:rFonts w:ascii="Times New Roman" w:hAnsi="Times New Roman"/>
          <w:sz w:val="17"/>
          <w:szCs w:val="17"/>
        </w:rPr>
      </w:pPr>
      <w:hyperlink r:id="rId100" w:anchor="s42C493F7582652B69E70047AB812E6A5" w:history="1">
        <w:r>
          <w:rPr>
            <w:rStyle w:val="a5"/>
            <w:rFonts w:ascii="sans-serif" w:eastAsia="sans-serif" w:hAnsi="sans-serif" w:cs="sans-serif"/>
            <w:sz w:val="17"/>
            <w:szCs w:val="17"/>
          </w:rPr>
          <w:t>Table of Contents</w:t>
        </w:r>
      </w:hyperlink>
    </w:p>
    <w:p w14:paraId="606F862C" w14:textId="77777777" w:rsidR="00FB67F9" w:rsidRDefault="00FB67F9">
      <w:pPr>
        <w:rPr>
          <w:rFonts w:ascii="Times New Roman" w:hAnsi="Times New Roman"/>
          <w:sz w:val="17"/>
          <w:szCs w:val="17"/>
        </w:rPr>
      </w:pPr>
    </w:p>
    <w:p w14:paraId="606F862D" w14:textId="77777777" w:rsidR="00FB67F9" w:rsidRDefault="00FB67F9">
      <w:pPr>
        <w:rPr>
          <w:rFonts w:ascii="Times New Roman" w:hAnsi="Times New Roman"/>
          <w:sz w:val="20"/>
          <w:szCs w:val="20"/>
        </w:rPr>
      </w:pPr>
    </w:p>
    <w:p w14:paraId="606F862E"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OPERATING SEGMENTS</w:t>
      </w:r>
    </w:p>
    <w:p w14:paraId="606F862F"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Our operating segments are evidence of the structure of the Comp</w:t>
      </w:r>
      <w:r>
        <w:rPr>
          <w:rFonts w:ascii="Arial" w:eastAsia="宋体" w:hAnsi="Arial" w:cs="Arial"/>
          <w:sz w:val="17"/>
          <w:szCs w:val="17"/>
        </w:rPr>
        <w:t xml:space="preserve">any's internal organization. The NIKE Brand segments are defined by geographic regions for operations participating in NIKE Brand sales activity. </w:t>
      </w:r>
    </w:p>
    <w:p w14:paraId="606F863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Each NIKE Brand geographic segment operates predominantly in one industry: the design, development, marketing</w:t>
      </w:r>
      <w:r>
        <w:rPr>
          <w:rFonts w:ascii="Arial" w:eastAsia="宋体" w:hAnsi="Arial" w:cs="Arial"/>
          <w:sz w:val="17"/>
          <w:szCs w:val="17"/>
        </w:rPr>
        <w:t xml:space="preserve"> and selling of athletic footwear, apparel and equipment. The Company's reportable operating segments for the NIKE Brand are: North America; Europe, Middle East &amp; Africa (EMEA); Greater China; and Asia Pacific &amp; Latin America (APLA), and include results fo</w:t>
      </w:r>
      <w:r>
        <w:rPr>
          <w:rFonts w:ascii="Arial" w:eastAsia="宋体" w:hAnsi="Arial" w:cs="Arial"/>
          <w:sz w:val="17"/>
          <w:szCs w:val="17"/>
        </w:rPr>
        <w:t>r the NIKE and Jordan brands, with results for the Hurley brand included in North America. The Company's NIKE Direct operations are managed within each geographic operating segment. Converse is also a reportable operating segment for the Company, and opera</w:t>
      </w:r>
      <w:r>
        <w:rPr>
          <w:rFonts w:ascii="Arial" w:eastAsia="宋体" w:hAnsi="Arial" w:cs="Arial"/>
          <w:sz w:val="17"/>
          <w:szCs w:val="17"/>
        </w:rPr>
        <w:t>tes predominately in one industry: the design, marketing, licensing and selling of athletic lifestyle sneakers, apparel and accessories.</w:t>
      </w:r>
    </w:p>
    <w:p w14:paraId="606F863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As part of our centrally managed foreign exchange risk management program, standard foreign currency exchange rates are</w:t>
      </w:r>
      <w:r>
        <w:rPr>
          <w:rFonts w:ascii="Arial" w:eastAsia="宋体" w:hAnsi="Arial" w:cs="Arial"/>
          <w:sz w:val="17"/>
          <w:szCs w:val="17"/>
        </w:rPr>
        <w:t xml:space="preserve"> assigned twice per year to each NIKE Brand entity in our geographic operating segments and Converse. These rates are set approximately nine and twelve months in advance of the future selling seasons to which they relate (specifically, for each currency, o</w:t>
      </w:r>
      <w:r>
        <w:rPr>
          <w:rFonts w:ascii="Arial" w:eastAsia="宋体" w:hAnsi="Arial" w:cs="Arial"/>
          <w:sz w:val="17"/>
          <w:szCs w:val="17"/>
        </w:rPr>
        <w:t xml:space="preserve">ne standard rate applies to the fall and holiday selling seasons and one standard rate applies to the spring and summer selling seasons) based on average market spot rates in the calendar month preceding the date they are established. Inventories and cost </w:t>
      </w:r>
      <w:r>
        <w:rPr>
          <w:rFonts w:ascii="Arial" w:eastAsia="宋体" w:hAnsi="Arial" w:cs="Arial"/>
          <w:sz w:val="17"/>
          <w:szCs w:val="17"/>
        </w:rPr>
        <w:t>of sales for geographic operating segments and Converse reflect the use of these standard rates to record non-functional currency product purchases into the entity's functional currency. Differences between assigned standard foreign currency exchange rates</w:t>
      </w:r>
      <w:r>
        <w:rPr>
          <w:rFonts w:ascii="Arial" w:eastAsia="宋体" w:hAnsi="Arial" w:cs="Arial"/>
          <w:sz w:val="17"/>
          <w:szCs w:val="17"/>
        </w:rPr>
        <w:t xml:space="preserve"> and actual market rates are included in Corporate, together with foreign currency hedge gains and losses generated from our centrally managed foreign exchange risk management program and other conversion gains and losses.</w:t>
      </w:r>
    </w:p>
    <w:p w14:paraId="606F863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breakdown of revenues is as f</w:t>
      </w:r>
      <w:r>
        <w:rPr>
          <w:rFonts w:ascii="Arial" w:eastAsia="宋体" w:hAnsi="Arial" w:cs="Arial"/>
          <w:sz w:val="17"/>
          <w:szCs w:val="17"/>
        </w:rPr>
        <w:t>ollows:</w:t>
      </w:r>
    </w:p>
    <w:tbl>
      <w:tblPr>
        <w:tblW w:w="4979" w:type="pct"/>
        <w:tblCellMar>
          <w:left w:w="0" w:type="dxa"/>
          <w:right w:w="0" w:type="dxa"/>
        </w:tblCellMar>
        <w:tblLook w:val="04A0" w:firstRow="1" w:lastRow="0" w:firstColumn="1" w:lastColumn="0" w:noHBand="0" w:noVBand="1"/>
      </w:tblPr>
      <w:tblGrid>
        <w:gridCol w:w="1653"/>
        <w:gridCol w:w="135"/>
        <w:gridCol w:w="520"/>
        <w:gridCol w:w="6"/>
        <w:gridCol w:w="135"/>
        <w:gridCol w:w="426"/>
        <w:gridCol w:w="6"/>
        <w:gridCol w:w="644"/>
        <w:gridCol w:w="192"/>
        <w:gridCol w:w="894"/>
        <w:gridCol w:w="192"/>
        <w:gridCol w:w="130"/>
        <w:gridCol w:w="135"/>
        <w:gridCol w:w="520"/>
        <w:gridCol w:w="6"/>
        <w:gridCol w:w="135"/>
        <w:gridCol w:w="520"/>
        <w:gridCol w:w="6"/>
        <w:gridCol w:w="644"/>
        <w:gridCol w:w="239"/>
        <w:gridCol w:w="894"/>
        <w:gridCol w:w="239"/>
      </w:tblGrid>
      <w:tr w:rsidR="00FB67F9" w14:paraId="606F8634" w14:textId="77777777">
        <w:tc>
          <w:tcPr>
            <w:tcW w:w="0" w:type="auto"/>
            <w:gridSpan w:val="22"/>
            <w:shd w:val="clear" w:color="auto" w:fill="auto"/>
            <w:vAlign w:val="center"/>
          </w:tcPr>
          <w:p w14:paraId="606F8633" w14:textId="77777777" w:rsidR="00FB67F9" w:rsidRDefault="00FB67F9">
            <w:pPr>
              <w:rPr>
                <w:rFonts w:ascii="Times New Roman" w:hAnsi="Times New Roman"/>
                <w:sz w:val="20"/>
                <w:szCs w:val="20"/>
              </w:rPr>
            </w:pPr>
          </w:p>
        </w:tc>
      </w:tr>
      <w:tr w:rsidR="00FB67F9" w14:paraId="606F864B" w14:textId="77777777">
        <w:tc>
          <w:tcPr>
            <w:tcW w:w="1350" w:type="pct"/>
            <w:shd w:val="clear" w:color="auto" w:fill="auto"/>
            <w:vAlign w:val="center"/>
          </w:tcPr>
          <w:p w14:paraId="606F8635" w14:textId="77777777" w:rsidR="00FB67F9" w:rsidRDefault="00FB67F9">
            <w:pPr>
              <w:rPr>
                <w:rFonts w:ascii="Times New Roman" w:hAnsi="Times New Roman"/>
                <w:sz w:val="20"/>
                <w:szCs w:val="20"/>
              </w:rPr>
            </w:pPr>
          </w:p>
        </w:tc>
        <w:tc>
          <w:tcPr>
            <w:tcW w:w="50" w:type="pct"/>
            <w:shd w:val="clear" w:color="auto" w:fill="auto"/>
            <w:vAlign w:val="center"/>
          </w:tcPr>
          <w:p w14:paraId="606F8636" w14:textId="77777777" w:rsidR="00FB67F9" w:rsidRDefault="00FB67F9">
            <w:pPr>
              <w:rPr>
                <w:rFonts w:ascii="Times New Roman" w:hAnsi="Times New Roman"/>
                <w:sz w:val="20"/>
                <w:szCs w:val="20"/>
              </w:rPr>
            </w:pPr>
          </w:p>
        </w:tc>
        <w:tc>
          <w:tcPr>
            <w:tcW w:w="350" w:type="pct"/>
            <w:shd w:val="clear" w:color="auto" w:fill="auto"/>
            <w:vAlign w:val="center"/>
          </w:tcPr>
          <w:p w14:paraId="606F8637" w14:textId="77777777" w:rsidR="00FB67F9" w:rsidRDefault="00FB67F9">
            <w:pPr>
              <w:rPr>
                <w:rFonts w:ascii="Times New Roman" w:hAnsi="Times New Roman"/>
                <w:sz w:val="20"/>
                <w:szCs w:val="20"/>
              </w:rPr>
            </w:pPr>
          </w:p>
        </w:tc>
        <w:tc>
          <w:tcPr>
            <w:tcW w:w="50" w:type="pct"/>
            <w:shd w:val="clear" w:color="auto" w:fill="auto"/>
            <w:vAlign w:val="center"/>
          </w:tcPr>
          <w:p w14:paraId="606F8638" w14:textId="77777777" w:rsidR="00FB67F9" w:rsidRDefault="00FB67F9">
            <w:pPr>
              <w:rPr>
                <w:rFonts w:ascii="Times New Roman" w:hAnsi="Times New Roman"/>
                <w:sz w:val="20"/>
                <w:szCs w:val="20"/>
              </w:rPr>
            </w:pPr>
          </w:p>
        </w:tc>
        <w:tc>
          <w:tcPr>
            <w:tcW w:w="50" w:type="pct"/>
            <w:shd w:val="clear" w:color="auto" w:fill="auto"/>
            <w:vAlign w:val="center"/>
          </w:tcPr>
          <w:p w14:paraId="606F8639" w14:textId="77777777" w:rsidR="00FB67F9" w:rsidRDefault="00FB67F9">
            <w:pPr>
              <w:rPr>
                <w:rFonts w:ascii="Times New Roman" w:hAnsi="Times New Roman"/>
                <w:sz w:val="20"/>
                <w:szCs w:val="20"/>
              </w:rPr>
            </w:pPr>
          </w:p>
        </w:tc>
        <w:tc>
          <w:tcPr>
            <w:tcW w:w="350" w:type="pct"/>
            <w:shd w:val="clear" w:color="auto" w:fill="auto"/>
            <w:vAlign w:val="center"/>
          </w:tcPr>
          <w:p w14:paraId="606F863A" w14:textId="77777777" w:rsidR="00FB67F9" w:rsidRDefault="00FB67F9">
            <w:pPr>
              <w:rPr>
                <w:rFonts w:ascii="Times New Roman" w:hAnsi="Times New Roman"/>
                <w:sz w:val="20"/>
                <w:szCs w:val="20"/>
              </w:rPr>
            </w:pPr>
          </w:p>
        </w:tc>
        <w:tc>
          <w:tcPr>
            <w:tcW w:w="50" w:type="pct"/>
            <w:shd w:val="clear" w:color="auto" w:fill="auto"/>
            <w:vAlign w:val="center"/>
          </w:tcPr>
          <w:p w14:paraId="606F863B" w14:textId="77777777" w:rsidR="00FB67F9" w:rsidRDefault="00FB67F9">
            <w:pPr>
              <w:rPr>
                <w:rFonts w:ascii="Times New Roman" w:hAnsi="Times New Roman"/>
                <w:sz w:val="20"/>
                <w:szCs w:val="20"/>
              </w:rPr>
            </w:pPr>
          </w:p>
        </w:tc>
        <w:tc>
          <w:tcPr>
            <w:tcW w:w="400" w:type="pct"/>
            <w:shd w:val="clear" w:color="auto" w:fill="auto"/>
            <w:vAlign w:val="center"/>
          </w:tcPr>
          <w:p w14:paraId="606F863C" w14:textId="77777777" w:rsidR="00FB67F9" w:rsidRDefault="00FB67F9">
            <w:pPr>
              <w:rPr>
                <w:rFonts w:ascii="Times New Roman" w:hAnsi="Times New Roman"/>
                <w:sz w:val="20"/>
                <w:szCs w:val="20"/>
              </w:rPr>
            </w:pPr>
          </w:p>
        </w:tc>
        <w:tc>
          <w:tcPr>
            <w:tcW w:w="50" w:type="pct"/>
            <w:shd w:val="clear" w:color="auto" w:fill="auto"/>
            <w:vAlign w:val="center"/>
          </w:tcPr>
          <w:p w14:paraId="606F863D" w14:textId="77777777" w:rsidR="00FB67F9" w:rsidRDefault="00FB67F9">
            <w:pPr>
              <w:rPr>
                <w:rFonts w:ascii="Times New Roman" w:hAnsi="Times New Roman"/>
                <w:sz w:val="20"/>
                <w:szCs w:val="20"/>
              </w:rPr>
            </w:pPr>
          </w:p>
        </w:tc>
        <w:tc>
          <w:tcPr>
            <w:tcW w:w="400" w:type="pct"/>
            <w:shd w:val="clear" w:color="auto" w:fill="auto"/>
            <w:vAlign w:val="center"/>
          </w:tcPr>
          <w:p w14:paraId="606F863E" w14:textId="77777777" w:rsidR="00FB67F9" w:rsidRDefault="00FB67F9">
            <w:pPr>
              <w:rPr>
                <w:rFonts w:ascii="Times New Roman" w:hAnsi="Times New Roman"/>
                <w:sz w:val="20"/>
                <w:szCs w:val="20"/>
              </w:rPr>
            </w:pPr>
          </w:p>
        </w:tc>
        <w:tc>
          <w:tcPr>
            <w:tcW w:w="50" w:type="pct"/>
            <w:shd w:val="clear" w:color="auto" w:fill="auto"/>
            <w:vAlign w:val="center"/>
          </w:tcPr>
          <w:p w14:paraId="606F863F" w14:textId="77777777" w:rsidR="00FB67F9" w:rsidRDefault="00FB67F9">
            <w:pPr>
              <w:rPr>
                <w:rFonts w:ascii="Times New Roman" w:hAnsi="Times New Roman"/>
                <w:sz w:val="20"/>
                <w:szCs w:val="20"/>
              </w:rPr>
            </w:pPr>
          </w:p>
        </w:tc>
        <w:tc>
          <w:tcPr>
            <w:tcW w:w="50" w:type="pct"/>
            <w:shd w:val="clear" w:color="auto" w:fill="auto"/>
            <w:vAlign w:val="center"/>
          </w:tcPr>
          <w:p w14:paraId="606F8640" w14:textId="77777777" w:rsidR="00FB67F9" w:rsidRDefault="00FB67F9">
            <w:pPr>
              <w:rPr>
                <w:rFonts w:ascii="Times New Roman" w:hAnsi="Times New Roman"/>
                <w:sz w:val="20"/>
                <w:szCs w:val="20"/>
              </w:rPr>
            </w:pPr>
          </w:p>
        </w:tc>
        <w:tc>
          <w:tcPr>
            <w:tcW w:w="50" w:type="pct"/>
            <w:shd w:val="clear" w:color="auto" w:fill="auto"/>
            <w:vAlign w:val="center"/>
          </w:tcPr>
          <w:p w14:paraId="606F8641" w14:textId="77777777" w:rsidR="00FB67F9" w:rsidRDefault="00FB67F9">
            <w:pPr>
              <w:rPr>
                <w:rFonts w:ascii="Times New Roman" w:hAnsi="Times New Roman"/>
                <w:sz w:val="20"/>
                <w:szCs w:val="20"/>
              </w:rPr>
            </w:pPr>
          </w:p>
        </w:tc>
        <w:tc>
          <w:tcPr>
            <w:tcW w:w="350" w:type="pct"/>
            <w:shd w:val="clear" w:color="auto" w:fill="auto"/>
            <w:vAlign w:val="center"/>
          </w:tcPr>
          <w:p w14:paraId="606F8642" w14:textId="77777777" w:rsidR="00FB67F9" w:rsidRDefault="00FB67F9">
            <w:pPr>
              <w:rPr>
                <w:rFonts w:ascii="Times New Roman" w:hAnsi="Times New Roman"/>
                <w:sz w:val="20"/>
                <w:szCs w:val="20"/>
              </w:rPr>
            </w:pPr>
          </w:p>
        </w:tc>
        <w:tc>
          <w:tcPr>
            <w:tcW w:w="50" w:type="pct"/>
            <w:shd w:val="clear" w:color="auto" w:fill="auto"/>
            <w:vAlign w:val="center"/>
          </w:tcPr>
          <w:p w14:paraId="606F8643" w14:textId="77777777" w:rsidR="00FB67F9" w:rsidRDefault="00FB67F9">
            <w:pPr>
              <w:rPr>
                <w:rFonts w:ascii="Times New Roman" w:hAnsi="Times New Roman"/>
                <w:sz w:val="20"/>
                <w:szCs w:val="20"/>
              </w:rPr>
            </w:pPr>
          </w:p>
        </w:tc>
        <w:tc>
          <w:tcPr>
            <w:tcW w:w="50" w:type="pct"/>
            <w:shd w:val="clear" w:color="auto" w:fill="auto"/>
            <w:vAlign w:val="center"/>
          </w:tcPr>
          <w:p w14:paraId="606F8644" w14:textId="77777777" w:rsidR="00FB67F9" w:rsidRDefault="00FB67F9">
            <w:pPr>
              <w:rPr>
                <w:rFonts w:ascii="Times New Roman" w:hAnsi="Times New Roman"/>
                <w:sz w:val="20"/>
                <w:szCs w:val="20"/>
              </w:rPr>
            </w:pPr>
          </w:p>
        </w:tc>
        <w:tc>
          <w:tcPr>
            <w:tcW w:w="350" w:type="pct"/>
            <w:shd w:val="clear" w:color="auto" w:fill="auto"/>
            <w:vAlign w:val="center"/>
          </w:tcPr>
          <w:p w14:paraId="606F8645" w14:textId="77777777" w:rsidR="00FB67F9" w:rsidRDefault="00FB67F9">
            <w:pPr>
              <w:rPr>
                <w:rFonts w:ascii="Times New Roman" w:hAnsi="Times New Roman"/>
                <w:sz w:val="20"/>
                <w:szCs w:val="20"/>
              </w:rPr>
            </w:pPr>
          </w:p>
        </w:tc>
        <w:tc>
          <w:tcPr>
            <w:tcW w:w="50" w:type="pct"/>
            <w:shd w:val="clear" w:color="auto" w:fill="auto"/>
            <w:vAlign w:val="center"/>
          </w:tcPr>
          <w:p w14:paraId="606F8646" w14:textId="77777777" w:rsidR="00FB67F9" w:rsidRDefault="00FB67F9">
            <w:pPr>
              <w:rPr>
                <w:rFonts w:ascii="Times New Roman" w:hAnsi="Times New Roman"/>
                <w:sz w:val="20"/>
                <w:szCs w:val="20"/>
              </w:rPr>
            </w:pPr>
          </w:p>
        </w:tc>
        <w:tc>
          <w:tcPr>
            <w:tcW w:w="400" w:type="pct"/>
            <w:shd w:val="clear" w:color="auto" w:fill="auto"/>
            <w:vAlign w:val="center"/>
          </w:tcPr>
          <w:p w14:paraId="606F8647" w14:textId="77777777" w:rsidR="00FB67F9" w:rsidRDefault="00FB67F9">
            <w:pPr>
              <w:rPr>
                <w:rFonts w:ascii="Times New Roman" w:hAnsi="Times New Roman"/>
                <w:sz w:val="20"/>
                <w:szCs w:val="20"/>
              </w:rPr>
            </w:pPr>
          </w:p>
        </w:tc>
        <w:tc>
          <w:tcPr>
            <w:tcW w:w="50" w:type="pct"/>
            <w:shd w:val="clear" w:color="auto" w:fill="auto"/>
            <w:vAlign w:val="center"/>
          </w:tcPr>
          <w:p w14:paraId="606F8648" w14:textId="77777777" w:rsidR="00FB67F9" w:rsidRDefault="00FB67F9">
            <w:pPr>
              <w:rPr>
                <w:rFonts w:ascii="Times New Roman" w:hAnsi="Times New Roman"/>
                <w:sz w:val="20"/>
                <w:szCs w:val="20"/>
              </w:rPr>
            </w:pPr>
          </w:p>
        </w:tc>
        <w:tc>
          <w:tcPr>
            <w:tcW w:w="400" w:type="pct"/>
            <w:shd w:val="clear" w:color="auto" w:fill="auto"/>
            <w:vAlign w:val="center"/>
          </w:tcPr>
          <w:p w14:paraId="606F8649" w14:textId="77777777" w:rsidR="00FB67F9" w:rsidRDefault="00FB67F9">
            <w:pPr>
              <w:rPr>
                <w:rFonts w:ascii="Times New Roman" w:hAnsi="Times New Roman"/>
                <w:sz w:val="20"/>
                <w:szCs w:val="20"/>
              </w:rPr>
            </w:pPr>
          </w:p>
        </w:tc>
        <w:tc>
          <w:tcPr>
            <w:tcW w:w="50" w:type="pct"/>
            <w:shd w:val="clear" w:color="auto" w:fill="auto"/>
            <w:vAlign w:val="center"/>
          </w:tcPr>
          <w:p w14:paraId="606F864A" w14:textId="77777777" w:rsidR="00FB67F9" w:rsidRDefault="00FB67F9">
            <w:pPr>
              <w:rPr>
                <w:rFonts w:ascii="Times New Roman" w:hAnsi="Times New Roman"/>
                <w:sz w:val="20"/>
                <w:szCs w:val="20"/>
              </w:rPr>
            </w:pPr>
          </w:p>
        </w:tc>
      </w:tr>
      <w:tr w:rsidR="00FB67F9" w14:paraId="606F8650" w14:textId="77777777">
        <w:tc>
          <w:tcPr>
            <w:tcW w:w="0" w:type="auto"/>
            <w:shd w:val="clear" w:color="auto" w:fill="auto"/>
            <w:tcMar>
              <w:top w:w="40" w:type="dxa"/>
              <w:left w:w="40" w:type="dxa"/>
              <w:bottom w:w="40" w:type="dxa"/>
              <w:right w:w="40" w:type="dxa"/>
            </w:tcMar>
            <w:vAlign w:val="bottom"/>
          </w:tcPr>
          <w:p w14:paraId="606F864C" w14:textId="77777777" w:rsidR="00FB67F9" w:rsidRDefault="00FB67F9">
            <w:pPr>
              <w:textAlignment w:val="bottom"/>
              <w:rPr>
                <w:rFonts w:ascii="Times New Roman" w:hAnsi="Times New Roman"/>
                <w:sz w:val="17"/>
                <w:szCs w:val="17"/>
              </w:rPr>
            </w:pPr>
          </w:p>
        </w:tc>
        <w:tc>
          <w:tcPr>
            <w:tcW w:w="0" w:type="auto"/>
            <w:gridSpan w:val="10"/>
            <w:tcBorders>
              <w:bottom w:val="single" w:sz="8" w:space="0" w:color="E87722"/>
            </w:tcBorders>
            <w:shd w:val="clear" w:color="auto" w:fill="auto"/>
            <w:tcMar>
              <w:top w:w="40" w:type="dxa"/>
              <w:left w:w="40" w:type="dxa"/>
              <w:bottom w:w="40" w:type="dxa"/>
            </w:tcMar>
            <w:vAlign w:val="bottom"/>
          </w:tcPr>
          <w:p w14:paraId="606F864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64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64F"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65F"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651"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5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5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shd w:val="clear" w:color="auto" w:fill="auto"/>
            <w:tcMar>
              <w:top w:w="40" w:type="dxa"/>
              <w:left w:w="40" w:type="dxa"/>
              <w:bottom w:w="40" w:type="dxa"/>
            </w:tcMar>
            <w:vAlign w:val="bottom"/>
          </w:tcPr>
          <w:p w14:paraId="606F8654"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shd w:val="clear" w:color="auto" w:fill="auto"/>
            <w:vAlign w:val="bottom"/>
          </w:tcPr>
          <w:p w14:paraId="606F8655"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656"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606F8657"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65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5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606F865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shd w:val="clear" w:color="auto" w:fill="auto"/>
            <w:tcMar>
              <w:top w:w="40" w:type="dxa"/>
              <w:left w:w="40" w:type="dxa"/>
              <w:bottom w:w="40" w:type="dxa"/>
            </w:tcMar>
            <w:vAlign w:val="bottom"/>
          </w:tcPr>
          <w:p w14:paraId="606F865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shd w:val="clear" w:color="auto" w:fill="auto"/>
            <w:vAlign w:val="bottom"/>
          </w:tcPr>
          <w:p w14:paraId="606F865C"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65D"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606F865E" w14:textId="77777777" w:rsidR="00FB67F9" w:rsidRDefault="00FB67F9">
            <w:pPr>
              <w:textAlignment w:val="bottom"/>
              <w:rPr>
                <w:rFonts w:ascii="Times New Roman" w:hAnsi="Times New Roman"/>
                <w:sz w:val="20"/>
                <w:szCs w:val="20"/>
              </w:rPr>
            </w:pPr>
          </w:p>
        </w:tc>
      </w:tr>
      <w:tr w:rsidR="00FB67F9" w14:paraId="606F8676" w14:textId="77777777">
        <w:tc>
          <w:tcPr>
            <w:tcW w:w="0" w:type="auto"/>
            <w:shd w:val="clear" w:color="auto" w:fill="auto"/>
            <w:tcMar>
              <w:top w:w="40" w:type="dxa"/>
              <w:left w:w="40" w:type="dxa"/>
              <w:bottom w:w="40" w:type="dxa"/>
              <w:right w:w="40" w:type="dxa"/>
            </w:tcMar>
            <w:vAlign w:val="bottom"/>
          </w:tcPr>
          <w:p w14:paraId="606F8660" w14:textId="77777777" w:rsidR="00FB67F9" w:rsidRDefault="00E839DF">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866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866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3,982</w:t>
            </w:r>
          </w:p>
        </w:tc>
        <w:tc>
          <w:tcPr>
            <w:tcW w:w="0" w:type="auto"/>
            <w:tcBorders>
              <w:top w:val="single" w:sz="8" w:space="0" w:color="E87722"/>
              <w:bottom w:val="single" w:sz="8" w:space="0" w:color="808080"/>
            </w:tcBorders>
            <w:shd w:val="clear" w:color="auto" w:fill="FFF1E7"/>
            <w:vAlign w:val="bottom"/>
          </w:tcPr>
          <w:p w14:paraId="606F866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66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866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3,782</w:t>
            </w:r>
          </w:p>
        </w:tc>
        <w:tc>
          <w:tcPr>
            <w:tcW w:w="0" w:type="auto"/>
            <w:tcBorders>
              <w:top w:val="single" w:sz="8" w:space="0" w:color="E87722"/>
              <w:bottom w:val="single" w:sz="8" w:space="0" w:color="808080"/>
            </w:tcBorders>
            <w:shd w:val="clear" w:color="auto" w:fill="auto"/>
            <w:vAlign w:val="bottom"/>
          </w:tcPr>
          <w:p w14:paraId="606F8666"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66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E87722"/>
            </w:tcBorders>
            <w:shd w:val="clear" w:color="auto" w:fill="auto"/>
            <w:tcMar>
              <w:top w:w="40" w:type="dxa"/>
              <w:bottom w:w="40" w:type="dxa"/>
              <w:right w:w="40" w:type="dxa"/>
            </w:tcMar>
            <w:vAlign w:val="bottom"/>
          </w:tcPr>
          <w:p w14:paraId="606F866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66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66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66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866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66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8,275</w:t>
            </w:r>
          </w:p>
        </w:tc>
        <w:tc>
          <w:tcPr>
            <w:tcW w:w="0" w:type="auto"/>
            <w:shd w:val="clear" w:color="auto" w:fill="FFF1E7"/>
            <w:vAlign w:val="bottom"/>
          </w:tcPr>
          <w:p w14:paraId="606F866E"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66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867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7,927</w:t>
            </w:r>
          </w:p>
        </w:tc>
        <w:tc>
          <w:tcPr>
            <w:tcW w:w="0" w:type="auto"/>
            <w:tcBorders>
              <w:top w:val="single" w:sz="8" w:space="0" w:color="E87722"/>
            </w:tcBorders>
            <w:shd w:val="clear" w:color="auto" w:fill="auto"/>
            <w:vAlign w:val="bottom"/>
          </w:tcPr>
          <w:p w14:paraId="606F867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67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673"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67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tcMar>
              <w:top w:w="40" w:type="dxa"/>
              <w:bottom w:w="40" w:type="dxa"/>
              <w:right w:w="40" w:type="dxa"/>
            </w:tcMar>
            <w:vAlign w:val="bottom"/>
          </w:tcPr>
          <w:p w14:paraId="606F867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68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677" w14:textId="77777777" w:rsidR="00FB67F9" w:rsidRDefault="00E839DF">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67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2,537</w:t>
            </w:r>
          </w:p>
        </w:tc>
        <w:tc>
          <w:tcPr>
            <w:tcW w:w="0" w:type="auto"/>
            <w:tcBorders>
              <w:top w:val="single" w:sz="8" w:space="0" w:color="808080"/>
              <w:bottom w:val="single" w:sz="8" w:space="0" w:color="808080"/>
            </w:tcBorders>
            <w:shd w:val="clear" w:color="auto" w:fill="FFF1E7"/>
            <w:vAlign w:val="bottom"/>
          </w:tcPr>
          <w:p w14:paraId="606F867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67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2,313</w:t>
            </w:r>
          </w:p>
        </w:tc>
        <w:tc>
          <w:tcPr>
            <w:tcW w:w="0" w:type="auto"/>
            <w:tcBorders>
              <w:top w:val="single" w:sz="8" w:space="0" w:color="808080"/>
              <w:bottom w:val="single" w:sz="8" w:space="0" w:color="808080"/>
            </w:tcBorders>
            <w:shd w:val="clear" w:color="auto" w:fill="auto"/>
            <w:vAlign w:val="bottom"/>
          </w:tcPr>
          <w:p w14:paraId="606F867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67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606F867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67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tcMar>
              <w:top w:w="40" w:type="dxa"/>
              <w:bottom w:w="40" w:type="dxa"/>
              <w:right w:w="40" w:type="dxa"/>
            </w:tcMar>
            <w:vAlign w:val="bottom"/>
          </w:tcPr>
          <w:p w14:paraId="606F867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68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68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5,310</w:t>
            </w:r>
          </w:p>
        </w:tc>
        <w:tc>
          <w:tcPr>
            <w:tcW w:w="0" w:type="auto"/>
            <w:tcBorders>
              <w:top w:val="single" w:sz="8" w:space="0" w:color="808080"/>
            </w:tcBorders>
            <w:shd w:val="clear" w:color="auto" w:fill="FFF1E7"/>
            <w:vAlign w:val="bottom"/>
          </w:tcPr>
          <w:p w14:paraId="606F868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68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4,920</w:t>
            </w:r>
          </w:p>
        </w:tc>
        <w:tc>
          <w:tcPr>
            <w:tcW w:w="0" w:type="auto"/>
            <w:tcBorders>
              <w:top w:val="single" w:sz="8" w:space="0" w:color="808080"/>
            </w:tcBorders>
            <w:shd w:val="clear" w:color="auto" w:fill="auto"/>
            <w:vAlign w:val="bottom"/>
          </w:tcPr>
          <w:p w14:paraId="606F868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68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686"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68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tcBorders>
            <w:shd w:val="clear" w:color="auto" w:fill="auto"/>
            <w:tcMar>
              <w:top w:w="40" w:type="dxa"/>
              <w:bottom w:w="40" w:type="dxa"/>
              <w:right w:w="40" w:type="dxa"/>
            </w:tcMar>
            <w:vAlign w:val="bottom"/>
          </w:tcPr>
          <w:p w14:paraId="606F8688"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69C"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68A" w14:textId="77777777" w:rsidR="00FB67F9" w:rsidRDefault="00E839DF">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68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1,847</w:t>
            </w:r>
          </w:p>
        </w:tc>
        <w:tc>
          <w:tcPr>
            <w:tcW w:w="0" w:type="auto"/>
            <w:tcBorders>
              <w:top w:val="single" w:sz="8" w:space="0" w:color="808080"/>
              <w:bottom w:val="single" w:sz="8" w:space="0" w:color="808080"/>
            </w:tcBorders>
            <w:shd w:val="clear" w:color="auto" w:fill="FFF1E7"/>
            <w:vAlign w:val="bottom"/>
          </w:tcPr>
          <w:p w14:paraId="606F868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68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1,544</w:t>
            </w:r>
          </w:p>
        </w:tc>
        <w:tc>
          <w:tcPr>
            <w:tcW w:w="0" w:type="auto"/>
            <w:tcBorders>
              <w:top w:val="single" w:sz="8" w:space="0" w:color="808080"/>
              <w:bottom w:val="single" w:sz="8" w:space="0" w:color="808080"/>
            </w:tcBorders>
            <w:shd w:val="clear" w:color="auto" w:fill="auto"/>
            <w:vAlign w:val="bottom"/>
          </w:tcPr>
          <w:p w14:paraId="606F868E"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68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tcBorders>
            <w:shd w:val="clear" w:color="auto" w:fill="auto"/>
            <w:tcMar>
              <w:top w:w="40" w:type="dxa"/>
              <w:bottom w:w="40" w:type="dxa"/>
              <w:right w:w="40" w:type="dxa"/>
            </w:tcMar>
            <w:vAlign w:val="bottom"/>
          </w:tcPr>
          <w:p w14:paraId="606F869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69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tcBorders>
            <w:shd w:val="clear" w:color="auto" w:fill="auto"/>
            <w:tcMar>
              <w:top w:w="40" w:type="dxa"/>
              <w:bottom w:w="40" w:type="dxa"/>
              <w:right w:w="40" w:type="dxa"/>
            </w:tcMar>
            <w:vAlign w:val="bottom"/>
          </w:tcPr>
          <w:p w14:paraId="606F869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69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69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3,526</w:t>
            </w:r>
          </w:p>
        </w:tc>
        <w:tc>
          <w:tcPr>
            <w:tcW w:w="0" w:type="auto"/>
            <w:tcBorders>
              <w:top w:val="single" w:sz="8" w:space="0" w:color="808080"/>
            </w:tcBorders>
            <w:shd w:val="clear" w:color="auto" w:fill="FFF1E7"/>
            <w:vAlign w:val="bottom"/>
          </w:tcPr>
          <w:p w14:paraId="606F869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69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2,923</w:t>
            </w:r>
          </w:p>
        </w:tc>
        <w:tc>
          <w:tcPr>
            <w:tcW w:w="0" w:type="auto"/>
            <w:tcBorders>
              <w:top w:val="single" w:sz="8" w:space="0" w:color="808080"/>
            </w:tcBorders>
            <w:shd w:val="clear" w:color="auto" w:fill="auto"/>
            <w:vAlign w:val="bottom"/>
          </w:tcPr>
          <w:p w14:paraId="606F869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69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699"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69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tcBorders>
            <w:shd w:val="clear" w:color="auto" w:fill="auto"/>
            <w:tcMar>
              <w:top w:w="40" w:type="dxa"/>
              <w:bottom w:w="40" w:type="dxa"/>
              <w:right w:w="40" w:type="dxa"/>
            </w:tcMar>
            <w:vAlign w:val="bottom"/>
          </w:tcPr>
          <w:p w14:paraId="606F869B"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6A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69D" w14:textId="77777777" w:rsidR="00FB67F9" w:rsidRDefault="00E839DF">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69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1,468</w:t>
            </w:r>
          </w:p>
        </w:tc>
        <w:tc>
          <w:tcPr>
            <w:tcW w:w="0" w:type="auto"/>
            <w:tcBorders>
              <w:top w:val="single" w:sz="8" w:space="0" w:color="808080"/>
              <w:bottom w:val="single" w:sz="8" w:space="0" w:color="808080"/>
            </w:tcBorders>
            <w:shd w:val="clear" w:color="auto" w:fill="FFF1E7"/>
            <w:vAlign w:val="bottom"/>
          </w:tcPr>
          <w:p w14:paraId="606F869F"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6A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1,298</w:t>
            </w:r>
          </w:p>
        </w:tc>
        <w:tc>
          <w:tcPr>
            <w:tcW w:w="0" w:type="auto"/>
            <w:tcBorders>
              <w:top w:val="single" w:sz="8" w:space="0" w:color="808080"/>
              <w:bottom w:val="single" w:sz="8" w:space="0" w:color="808080"/>
            </w:tcBorders>
            <w:shd w:val="clear" w:color="auto" w:fill="auto"/>
            <w:vAlign w:val="bottom"/>
          </w:tcPr>
          <w:p w14:paraId="606F86A1"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6A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6A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6A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6A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6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6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2,813</w:t>
            </w:r>
          </w:p>
        </w:tc>
        <w:tc>
          <w:tcPr>
            <w:tcW w:w="0" w:type="auto"/>
            <w:tcBorders>
              <w:top w:val="single" w:sz="8" w:space="0" w:color="808080"/>
              <w:bottom w:val="single" w:sz="8" w:space="0" w:color="808080"/>
            </w:tcBorders>
            <w:shd w:val="clear" w:color="auto" w:fill="FFF1E7"/>
            <w:vAlign w:val="bottom"/>
          </w:tcPr>
          <w:p w14:paraId="606F86A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6A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2,568</w:t>
            </w:r>
          </w:p>
        </w:tc>
        <w:tc>
          <w:tcPr>
            <w:tcW w:w="0" w:type="auto"/>
            <w:tcBorders>
              <w:top w:val="single" w:sz="8" w:space="0" w:color="808080"/>
              <w:bottom w:val="single" w:sz="8" w:space="0" w:color="808080"/>
            </w:tcBorders>
            <w:shd w:val="clear" w:color="auto" w:fill="auto"/>
            <w:vAlign w:val="bottom"/>
          </w:tcPr>
          <w:p w14:paraId="606F86A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6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6AC"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6A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6A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6C2" w14:textId="77777777">
        <w:tc>
          <w:tcPr>
            <w:tcW w:w="0" w:type="auto"/>
            <w:shd w:val="clear" w:color="auto" w:fill="auto"/>
            <w:tcMar>
              <w:top w:w="40" w:type="dxa"/>
              <w:left w:w="40" w:type="dxa"/>
              <w:bottom w:w="40" w:type="dxa"/>
              <w:right w:w="40" w:type="dxa"/>
            </w:tcMar>
            <w:vAlign w:val="bottom"/>
          </w:tcPr>
          <w:p w14:paraId="606F86B0" w14:textId="77777777" w:rsidR="00FB67F9" w:rsidRDefault="00E839DF">
            <w:pPr>
              <w:textAlignment w:val="bottom"/>
              <w:rPr>
                <w:rFonts w:ascii="Times New Roman" w:hAnsi="Times New Roman"/>
                <w:sz w:val="17"/>
                <w:szCs w:val="17"/>
              </w:rPr>
            </w:pPr>
            <w:r>
              <w:rPr>
                <w:rFonts w:ascii="Arial" w:eastAsia="宋体" w:hAnsi="Arial" w:cs="Arial"/>
                <w:sz w:val="17"/>
                <w:szCs w:val="17"/>
              </w:rPr>
              <w:t>Global Br</w:t>
            </w:r>
            <w:r>
              <w:rPr>
                <w:rFonts w:ascii="Arial" w:eastAsia="宋体" w:hAnsi="Arial" w:cs="Arial"/>
                <w:sz w:val="17"/>
                <w:szCs w:val="17"/>
              </w:rPr>
              <w:t>and Divisions</w:t>
            </w:r>
            <w:r>
              <w:rPr>
                <w:rFonts w:ascii="Arial" w:eastAsia="宋体" w:hAnsi="Arial" w:cs="Arial"/>
                <w:sz w:val="15"/>
                <w:szCs w:val="15"/>
              </w:rPr>
              <w:t>(2)</w:t>
            </w:r>
          </w:p>
        </w:tc>
        <w:tc>
          <w:tcPr>
            <w:tcW w:w="0" w:type="auto"/>
            <w:gridSpan w:val="2"/>
            <w:shd w:val="clear" w:color="auto" w:fill="FFF1E7"/>
            <w:tcMar>
              <w:top w:w="40" w:type="dxa"/>
              <w:left w:w="40" w:type="dxa"/>
              <w:bottom w:w="40" w:type="dxa"/>
            </w:tcMar>
            <w:vAlign w:val="bottom"/>
          </w:tcPr>
          <w:p w14:paraId="606F86B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86B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6B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vAlign w:val="bottom"/>
          </w:tcPr>
          <w:p w14:paraId="606F86B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6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tcMar>
              <w:top w:w="40" w:type="dxa"/>
              <w:bottom w:w="40" w:type="dxa"/>
              <w:right w:w="40" w:type="dxa"/>
            </w:tcMar>
            <w:vAlign w:val="bottom"/>
          </w:tcPr>
          <w:p w14:paraId="606F86B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6B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6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6B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6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FFF1E7"/>
            <w:vAlign w:val="bottom"/>
          </w:tcPr>
          <w:p w14:paraId="606F86B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6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tcBorders>
            <w:shd w:val="clear" w:color="auto" w:fill="auto"/>
            <w:vAlign w:val="bottom"/>
          </w:tcPr>
          <w:p w14:paraId="606F86B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6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6BF"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6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shd w:val="clear" w:color="auto" w:fill="auto"/>
            <w:tcMar>
              <w:top w:w="40" w:type="dxa"/>
              <w:bottom w:w="40" w:type="dxa"/>
              <w:right w:w="40" w:type="dxa"/>
            </w:tcMar>
            <w:vAlign w:val="bottom"/>
          </w:tcPr>
          <w:p w14:paraId="606F86C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6D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C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BRAND</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6C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9,844</w:t>
            </w:r>
          </w:p>
        </w:tc>
        <w:tc>
          <w:tcPr>
            <w:tcW w:w="0" w:type="auto"/>
            <w:tcBorders>
              <w:top w:val="single" w:sz="8" w:space="0" w:color="E87722"/>
              <w:bottom w:val="single" w:sz="8" w:space="0" w:color="E87722"/>
            </w:tcBorders>
            <w:shd w:val="clear" w:color="auto" w:fill="FFF1E7"/>
            <w:vAlign w:val="bottom"/>
          </w:tcPr>
          <w:p w14:paraId="606F86C5"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6C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8,946</w:t>
            </w:r>
          </w:p>
        </w:tc>
        <w:tc>
          <w:tcPr>
            <w:tcW w:w="0" w:type="auto"/>
            <w:tcBorders>
              <w:top w:val="single" w:sz="8" w:space="0" w:color="E87722"/>
              <w:bottom w:val="single" w:sz="8" w:space="0" w:color="E87722"/>
            </w:tcBorders>
            <w:shd w:val="clear" w:color="auto" w:fill="auto"/>
            <w:vAlign w:val="bottom"/>
          </w:tcPr>
          <w:p w14:paraId="606F86C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6C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6C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6C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6C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C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6C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19,940</w:t>
            </w:r>
          </w:p>
        </w:tc>
        <w:tc>
          <w:tcPr>
            <w:tcW w:w="0" w:type="auto"/>
            <w:tcBorders>
              <w:top w:val="single" w:sz="8" w:space="0" w:color="E87722"/>
              <w:bottom w:val="single" w:sz="8" w:space="0" w:color="E87722"/>
            </w:tcBorders>
            <w:shd w:val="clear" w:color="auto" w:fill="FFF1E7"/>
            <w:vAlign w:val="bottom"/>
          </w:tcPr>
          <w:p w14:paraId="606F86CE"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6C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18,363</w:t>
            </w:r>
          </w:p>
        </w:tc>
        <w:tc>
          <w:tcPr>
            <w:tcW w:w="0" w:type="auto"/>
            <w:tcBorders>
              <w:top w:val="single" w:sz="8" w:space="0" w:color="E87722"/>
              <w:bottom w:val="single" w:sz="8" w:space="0" w:color="E87722"/>
            </w:tcBorders>
            <w:shd w:val="clear" w:color="auto" w:fill="auto"/>
            <w:vAlign w:val="bottom"/>
          </w:tcPr>
          <w:p w14:paraId="606F86D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6D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6D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6D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6D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r w:rsidR="00FB67F9" w14:paraId="606F86E8" w14:textId="77777777">
        <w:tc>
          <w:tcPr>
            <w:tcW w:w="0" w:type="auto"/>
            <w:shd w:val="clear" w:color="auto" w:fill="auto"/>
            <w:tcMar>
              <w:top w:w="40" w:type="dxa"/>
              <w:left w:w="40" w:type="dxa"/>
              <w:bottom w:w="40" w:type="dxa"/>
              <w:right w:w="40" w:type="dxa"/>
            </w:tcMar>
            <w:vAlign w:val="bottom"/>
          </w:tcPr>
          <w:p w14:paraId="606F86D6"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shd w:val="clear" w:color="auto" w:fill="FFF1E7"/>
            <w:tcMar>
              <w:top w:w="40" w:type="dxa"/>
              <w:left w:w="40" w:type="dxa"/>
              <w:bottom w:w="40" w:type="dxa"/>
            </w:tcMar>
            <w:vAlign w:val="bottom"/>
          </w:tcPr>
          <w:p w14:paraId="606F86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480</w:t>
            </w:r>
          </w:p>
        </w:tc>
        <w:tc>
          <w:tcPr>
            <w:tcW w:w="0" w:type="auto"/>
            <w:shd w:val="clear" w:color="auto" w:fill="FFF1E7"/>
            <w:vAlign w:val="bottom"/>
          </w:tcPr>
          <w:p w14:paraId="606F86D8"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86D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425</w:t>
            </w:r>
          </w:p>
        </w:tc>
        <w:tc>
          <w:tcPr>
            <w:tcW w:w="0" w:type="auto"/>
            <w:tcBorders>
              <w:top w:val="single" w:sz="8" w:space="0" w:color="E87722"/>
            </w:tcBorders>
            <w:shd w:val="clear" w:color="auto" w:fill="auto"/>
            <w:vAlign w:val="bottom"/>
          </w:tcPr>
          <w:p w14:paraId="606F86DA" w14:textId="77777777" w:rsidR="00FB67F9" w:rsidRDefault="00FB67F9">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tcMar>
            <w:vAlign w:val="bottom"/>
          </w:tcPr>
          <w:p w14:paraId="606F86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bottom w:val="single" w:sz="8" w:space="0" w:color="808080"/>
            </w:tcBorders>
            <w:shd w:val="clear" w:color="auto" w:fill="auto"/>
            <w:tcMar>
              <w:top w:w="40" w:type="dxa"/>
              <w:bottom w:w="40" w:type="dxa"/>
              <w:right w:w="40" w:type="dxa"/>
            </w:tcMar>
            <w:vAlign w:val="bottom"/>
          </w:tcPr>
          <w:p w14:paraId="606F86D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6D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shd w:val="clear" w:color="auto" w:fill="auto"/>
            <w:tcMar>
              <w:top w:w="40" w:type="dxa"/>
              <w:bottom w:w="40" w:type="dxa"/>
              <w:right w:w="40" w:type="dxa"/>
            </w:tcMar>
            <w:vAlign w:val="bottom"/>
          </w:tcPr>
          <w:p w14:paraId="606F86D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6D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6E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1,035</w:t>
            </w:r>
          </w:p>
        </w:tc>
        <w:tc>
          <w:tcPr>
            <w:tcW w:w="0" w:type="auto"/>
            <w:shd w:val="clear" w:color="auto" w:fill="FFF1E7"/>
            <w:vAlign w:val="bottom"/>
          </w:tcPr>
          <w:p w14:paraId="606F86E1"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606F86E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952</w:t>
            </w:r>
          </w:p>
        </w:tc>
        <w:tc>
          <w:tcPr>
            <w:tcW w:w="0" w:type="auto"/>
            <w:tcBorders>
              <w:top w:val="single" w:sz="8" w:space="0" w:color="E87722"/>
            </w:tcBorders>
            <w:shd w:val="clear" w:color="auto" w:fill="auto"/>
            <w:vAlign w:val="bottom"/>
          </w:tcPr>
          <w:p w14:paraId="606F86E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6E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6E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6E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6E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6F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6E9"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r>
              <w:rPr>
                <w:rFonts w:ascii="Arial" w:eastAsia="宋体" w:hAnsi="Arial" w:cs="Arial"/>
                <w:sz w:val="15"/>
                <w:szCs w:val="15"/>
              </w:rPr>
              <w:t>(3)</w:t>
            </w:r>
          </w:p>
        </w:tc>
        <w:tc>
          <w:tcPr>
            <w:tcW w:w="0" w:type="auto"/>
            <w:gridSpan w:val="2"/>
            <w:tcBorders>
              <w:top w:val="single" w:sz="8" w:space="0" w:color="808080"/>
            </w:tcBorders>
            <w:shd w:val="clear" w:color="auto" w:fill="FFF1E7"/>
            <w:tcMar>
              <w:top w:w="40" w:type="dxa"/>
              <w:left w:w="40" w:type="dxa"/>
              <w:bottom w:w="40" w:type="dxa"/>
            </w:tcMar>
            <w:vAlign w:val="bottom"/>
          </w:tcPr>
          <w:p w14:paraId="606F86E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FFF1E7"/>
            <w:vAlign w:val="bottom"/>
          </w:tcPr>
          <w:p w14:paraId="606F86E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6E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606F86E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6E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86EF"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6F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86F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606F86F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6F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FFF1E7"/>
            <w:vAlign w:val="bottom"/>
          </w:tcPr>
          <w:p w14:paraId="606F86F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6F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vAlign w:val="bottom"/>
          </w:tcPr>
          <w:p w14:paraId="606F86F6"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6F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vAlign w:val="bottom"/>
          </w:tcPr>
          <w:p w14:paraId="606F86F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6F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606F86FA" w14:textId="77777777" w:rsidR="00FB67F9" w:rsidRDefault="00FB67F9">
            <w:pPr>
              <w:textAlignment w:val="bottom"/>
              <w:rPr>
                <w:rFonts w:ascii="Times New Roman" w:hAnsi="Times New Roman"/>
                <w:sz w:val="20"/>
                <w:szCs w:val="20"/>
              </w:rPr>
            </w:pPr>
          </w:p>
        </w:tc>
      </w:tr>
      <w:tr w:rsidR="00FB67F9" w14:paraId="606F871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6F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INC.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6F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6F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10,326</w:t>
            </w:r>
          </w:p>
        </w:tc>
        <w:tc>
          <w:tcPr>
            <w:tcW w:w="0" w:type="auto"/>
            <w:tcBorders>
              <w:top w:val="single" w:sz="8" w:space="0" w:color="E87722"/>
              <w:bottom w:val="single" w:sz="8" w:space="0" w:color="E87722"/>
            </w:tcBorders>
            <w:shd w:val="clear" w:color="auto" w:fill="FFF1E7"/>
            <w:vAlign w:val="bottom"/>
          </w:tcPr>
          <w:p w14:paraId="606F86F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0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70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9,374</w:t>
            </w:r>
          </w:p>
        </w:tc>
        <w:tc>
          <w:tcPr>
            <w:tcW w:w="0" w:type="auto"/>
            <w:tcBorders>
              <w:top w:val="single" w:sz="8" w:space="0" w:color="E87722"/>
              <w:bottom w:val="single" w:sz="8" w:space="0" w:color="E87722"/>
            </w:tcBorders>
            <w:shd w:val="clear" w:color="auto" w:fill="auto"/>
            <w:vAlign w:val="bottom"/>
          </w:tcPr>
          <w:p w14:paraId="606F870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0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0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0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0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70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70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70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20,986</w:t>
            </w:r>
          </w:p>
        </w:tc>
        <w:tc>
          <w:tcPr>
            <w:tcW w:w="0" w:type="auto"/>
            <w:tcBorders>
              <w:top w:val="single" w:sz="8" w:space="0" w:color="E87722"/>
              <w:bottom w:val="single" w:sz="8" w:space="0" w:color="E87722"/>
            </w:tcBorders>
            <w:shd w:val="clear" w:color="auto" w:fill="FFF1E7"/>
            <w:vAlign w:val="bottom"/>
          </w:tcPr>
          <w:p w14:paraId="606F870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0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70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19,322</w:t>
            </w:r>
          </w:p>
        </w:tc>
        <w:tc>
          <w:tcPr>
            <w:tcW w:w="0" w:type="auto"/>
            <w:tcBorders>
              <w:top w:val="single" w:sz="8" w:space="0" w:color="E87722"/>
              <w:bottom w:val="single" w:sz="8" w:space="0" w:color="E87722"/>
            </w:tcBorders>
            <w:shd w:val="clear" w:color="auto" w:fill="auto"/>
            <w:vAlign w:val="bottom"/>
          </w:tcPr>
          <w:p w14:paraId="606F870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0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0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1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1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bl>
    <w:p w14:paraId="606F8713"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716" w14:textId="77777777">
        <w:trPr>
          <w:tblCellSpacing w:w="0" w:type="dxa"/>
        </w:trPr>
        <w:tc>
          <w:tcPr>
            <w:tcW w:w="480" w:type="dxa"/>
            <w:shd w:val="clear" w:color="auto" w:fill="auto"/>
            <w:vAlign w:val="center"/>
          </w:tcPr>
          <w:p w14:paraId="606F8714" w14:textId="77777777" w:rsidR="00FB67F9" w:rsidRDefault="00FB67F9">
            <w:pPr>
              <w:rPr>
                <w:rFonts w:ascii="Times New Roman" w:hAnsi="Times New Roman"/>
                <w:sz w:val="20"/>
                <w:szCs w:val="20"/>
              </w:rPr>
            </w:pPr>
          </w:p>
        </w:tc>
        <w:tc>
          <w:tcPr>
            <w:tcW w:w="0" w:type="auto"/>
            <w:shd w:val="clear" w:color="auto" w:fill="auto"/>
            <w:vAlign w:val="center"/>
          </w:tcPr>
          <w:p w14:paraId="606F8715" w14:textId="77777777" w:rsidR="00FB67F9" w:rsidRDefault="00FB67F9">
            <w:pPr>
              <w:rPr>
                <w:rFonts w:ascii="Times New Roman" w:hAnsi="Times New Roman"/>
                <w:sz w:val="20"/>
                <w:szCs w:val="20"/>
              </w:rPr>
            </w:pPr>
          </w:p>
        </w:tc>
      </w:tr>
      <w:tr w:rsidR="00FB67F9" w14:paraId="606F8719" w14:textId="77777777">
        <w:trPr>
          <w:tblCellSpacing w:w="0" w:type="dxa"/>
        </w:trPr>
        <w:tc>
          <w:tcPr>
            <w:tcW w:w="0" w:type="auto"/>
            <w:shd w:val="clear" w:color="auto" w:fill="auto"/>
          </w:tcPr>
          <w:p w14:paraId="606F8717"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71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The percent change excluding currency changes represents a non-GAAP financial measure. See "Use of Non-GAAP Financial Measures" for further information.</w:t>
            </w:r>
          </w:p>
        </w:tc>
      </w:tr>
    </w:tbl>
    <w:p w14:paraId="606F871A"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71D" w14:textId="77777777">
        <w:trPr>
          <w:tblCellSpacing w:w="0" w:type="dxa"/>
        </w:trPr>
        <w:tc>
          <w:tcPr>
            <w:tcW w:w="480" w:type="dxa"/>
            <w:shd w:val="clear" w:color="auto" w:fill="auto"/>
            <w:vAlign w:val="center"/>
          </w:tcPr>
          <w:p w14:paraId="606F871B" w14:textId="77777777" w:rsidR="00FB67F9" w:rsidRDefault="00FB67F9">
            <w:pPr>
              <w:rPr>
                <w:rFonts w:ascii="Times New Roman" w:hAnsi="Times New Roman"/>
                <w:sz w:val="20"/>
                <w:szCs w:val="20"/>
              </w:rPr>
            </w:pPr>
          </w:p>
        </w:tc>
        <w:tc>
          <w:tcPr>
            <w:tcW w:w="0" w:type="auto"/>
            <w:shd w:val="clear" w:color="auto" w:fill="auto"/>
            <w:vAlign w:val="center"/>
          </w:tcPr>
          <w:p w14:paraId="606F871C" w14:textId="77777777" w:rsidR="00FB67F9" w:rsidRDefault="00FB67F9">
            <w:pPr>
              <w:rPr>
                <w:rFonts w:ascii="Times New Roman" w:hAnsi="Times New Roman"/>
                <w:sz w:val="20"/>
                <w:szCs w:val="20"/>
              </w:rPr>
            </w:pPr>
          </w:p>
        </w:tc>
      </w:tr>
      <w:tr w:rsidR="00FB67F9" w14:paraId="606F8720" w14:textId="77777777">
        <w:trPr>
          <w:tblCellSpacing w:w="0" w:type="dxa"/>
        </w:trPr>
        <w:tc>
          <w:tcPr>
            <w:tcW w:w="0" w:type="auto"/>
            <w:shd w:val="clear" w:color="auto" w:fill="auto"/>
          </w:tcPr>
          <w:p w14:paraId="606F871E"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606F871F"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Global Brand Divisions revenues are </w:t>
            </w:r>
            <w:r>
              <w:rPr>
                <w:rFonts w:ascii="Arial" w:eastAsia="宋体" w:hAnsi="Arial" w:cs="Arial"/>
                <w:i/>
                <w:iCs/>
                <w:color w:val="000000"/>
                <w:sz w:val="14"/>
                <w:szCs w:val="14"/>
              </w:rPr>
              <w:t>primarily attributable to NIKE Brand licensing businesses that are not part of a geographic operating segment.</w:t>
            </w:r>
          </w:p>
        </w:tc>
      </w:tr>
    </w:tbl>
    <w:p w14:paraId="606F8721"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724" w14:textId="77777777">
        <w:trPr>
          <w:tblCellSpacing w:w="0" w:type="dxa"/>
        </w:trPr>
        <w:tc>
          <w:tcPr>
            <w:tcW w:w="480" w:type="dxa"/>
            <w:shd w:val="clear" w:color="auto" w:fill="auto"/>
            <w:vAlign w:val="center"/>
          </w:tcPr>
          <w:p w14:paraId="606F8722" w14:textId="77777777" w:rsidR="00FB67F9" w:rsidRDefault="00FB67F9">
            <w:pPr>
              <w:rPr>
                <w:rFonts w:ascii="Times New Roman" w:hAnsi="Times New Roman"/>
                <w:sz w:val="20"/>
                <w:szCs w:val="20"/>
              </w:rPr>
            </w:pPr>
          </w:p>
        </w:tc>
        <w:tc>
          <w:tcPr>
            <w:tcW w:w="0" w:type="auto"/>
            <w:shd w:val="clear" w:color="auto" w:fill="auto"/>
            <w:vAlign w:val="center"/>
          </w:tcPr>
          <w:p w14:paraId="606F8723" w14:textId="77777777" w:rsidR="00FB67F9" w:rsidRDefault="00FB67F9">
            <w:pPr>
              <w:rPr>
                <w:rFonts w:ascii="Times New Roman" w:hAnsi="Times New Roman"/>
                <w:sz w:val="20"/>
                <w:szCs w:val="20"/>
              </w:rPr>
            </w:pPr>
          </w:p>
        </w:tc>
      </w:tr>
      <w:tr w:rsidR="00FB67F9" w14:paraId="606F8727" w14:textId="77777777">
        <w:trPr>
          <w:tblCellSpacing w:w="0" w:type="dxa"/>
        </w:trPr>
        <w:tc>
          <w:tcPr>
            <w:tcW w:w="0" w:type="auto"/>
            <w:shd w:val="clear" w:color="auto" w:fill="auto"/>
          </w:tcPr>
          <w:p w14:paraId="606F8725"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606F8726"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Corporate revenues primarily consist of foreign currency hedge gains and losses related to revenues generated by entities within the </w:t>
            </w:r>
            <w:r>
              <w:rPr>
                <w:rFonts w:ascii="Arial" w:eastAsia="宋体" w:hAnsi="Arial" w:cs="Arial"/>
                <w:i/>
                <w:iCs/>
                <w:color w:val="000000"/>
                <w:sz w:val="14"/>
                <w:szCs w:val="14"/>
              </w:rPr>
              <w:t>NIKE Brand geographic operating segments and Converse, but managed through our central foreign exchange risk management program.</w:t>
            </w:r>
          </w:p>
        </w:tc>
      </w:tr>
    </w:tbl>
    <w:p w14:paraId="606F872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primary financial measure used by the Company to evaluate performance of individual operating segments is EBIT, which repr</w:t>
      </w:r>
      <w:r>
        <w:rPr>
          <w:rFonts w:ascii="Arial" w:eastAsia="宋体" w:hAnsi="Arial" w:cs="Arial"/>
          <w:sz w:val="17"/>
          <w:szCs w:val="17"/>
        </w:rPr>
        <w:t xml:space="preserve">esents </w:t>
      </w:r>
      <w:r>
        <w:rPr>
          <w:rFonts w:ascii="Arial" w:eastAsia="宋体" w:hAnsi="Arial" w:cs="Arial"/>
          <w:i/>
          <w:iCs/>
          <w:sz w:val="17"/>
          <w:szCs w:val="17"/>
        </w:rPr>
        <w:t>Net income</w:t>
      </w:r>
      <w:r>
        <w:rPr>
          <w:rFonts w:ascii="Arial" w:eastAsia="宋体" w:hAnsi="Arial" w:cs="Arial"/>
          <w:sz w:val="17"/>
          <w:szCs w:val="17"/>
        </w:rPr>
        <w:t xml:space="preserve"> before </w:t>
      </w:r>
      <w:r>
        <w:rPr>
          <w:rFonts w:ascii="Arial" w:eastAsia="宋体" w:hAnsi="Arial" w:cs="Arial"/>
          <w:i/>
          <w:iCs/>
          <w:sz w:val="17"/>
          <w:szCs w:val="17"/>
        </w:rPr>
        <w:t>Interest expense (income), net</w:t>
      </w:r>
      <w:r>
        <w:rPr>
          <w:rFonts w:ascii="Arial" w:eastAsia="宋体" w:hAnsi="Arial" w:cs="Arial"/>
          <w:sz w:val="17"/>
          <w:szCs w:val="17"/>
        </w:rPr>
        <w:t xml:space="preserve"> and </w:t>
      </w:r>
      <w:r>
        <w:rPr>
          <w:rFonts w:ascii="Arial" w:eastAsia="宋体" w:hAnsi="Arial" w:cs="Arial"/>
          <w:i/>
          <w:iCs/>
          <w:sz w:val="17"/>
          <w:szCs w:val="17"/>
        </w:rPr>
        <w:t>Income tax expense</w:t>
      </w:r>
      <w:r>
        <w:rPr>
          <w:rFonts w:ascii="Arial" w:eastAsia="宋体" w:hAnsi="Arial" w:cs="Arial"/>
          <w:sz w:val="17"/>
          <w:szCs w:val="17"/>
        </w:rPr>
        <w:t xml:space="preserve"> in the Unaudited Condensed Consolidated Statements of Income. As discussed in Note 12 — Operating Segments in the accompanying Notes to the Unaudited Condensed Consolidated Fina</w:t>
      </w:r>
      <w:r>
        <w:rPr>
          <w:rFonts w:ascii="Arial" w:eastAsia="宋体" w:hAnsi="Arial" w:cs="Arial"/>
          <w:sz w:val="17"/>
          <w:szCs w:val="17"/>
        </w:rPr>
        <w:t>ncial Statements, certain corporate costs are not included in EBIT of our operating segments.</w:t>
      </w:r>
    </w:p>
    <w:p w14:paraId="606F8729" w14:textId="77777777" w:rsidR="00FB67F9" w:rsidRDefault="00FB67F9">
      <w:pPr>
        <w:rPr>
          <w:rFonts w:ascii="Times New Roman" w:hAnsi="Times New Roman"/>
          <w:sz w:val="20"/>
          <w:szCs w:val="20"/>
        </w:rPr>
      </w:pPr>
    </w:p>
    <w:p w14:paraId="606F872A"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31</w:t>
      </w:r>
    </w:p>
    <w:p w14:paraId="606F872B" w14:textId="77777777" w:rsidR="00FB67F9" w:rsidRDefault="00E839DF">
      <w:r>
        <w:rPr>
          <w:rFonts w:ascii="Times New Roman" w:hAnsi="Times New Roman"/>
          <w:sz w:val="17"/>
          <w:szCs w:val="17"/>
        </w:rPr>
        <w:pict w14:anchorId="606F8F9C">
          <v:rect id="_x0000_i1057" style="width:415.3pt;height:1.5pt" o:hralign="center" o:hrstd="t" o:hr="t" fillcolor="#a0a0a0" stroked="f"/>
        </w:pict>
      </w:r>
    </w:p>
    <w:p w14:paraId="606F872C" w14:textId="77777777" w:rsidR="00FB67F9" w:rsidRDefault="00FB67F9">
      <w:pPr>
        <w:rPr>
          <w:rFonts w:ascii="Times New Roman" w:hAnsi="Times New Roman"/>
          <w:sz w:val="17"/>
          <w:szCs w:val="17"/>
        </w:rPr>
      </w:pPr>
    </w:p>
    <w:p w14:paraId="606F872D" w14:textId="77777777" w:rsidR="00FB67F9" w:rsidRDefault="00E839DF">
      <w:pPr>
        <w:rPr>
          <w:rFonts w:ascii="Times New Roman" w:hAnsi="Times New Roman"/>
          <w:sz w:val="17"/>
          <w:szCs w:val="17"/>
        </w:rPr>
      </w:pPr>
      <w:hyperlink r:id="rId101" w:anchor="s42C493F7582652B69E70047AB812E6A5" w:history="1">
        <w:r>
          <w:rPr>
            <w:rStyle w:val="a5"/>
            <w:rFonts w:ascii="sans-serif" w:eastAsia="sans-serif" w:hAnsi="sans-serif" w:cs="sans-serif"/>
            <w:sz w:val="17"/>
            <w:szCs w:val="17"/>
          </w:rPr>
          <w:t>Table of Contents</w:t>
        </w:r>
      </w:hyperlink>
    </w:p>
    <w:p w14:paraId="606F872E" w14:textId="77777777" w:rsidR="00FB67F9" w:rsidRDefault="00FB67F9">
      <w:pPr>
        <w:rPr>
          <w:rFonts w:ascii="Times New Roman" w:hAnsi="Times New Roman"/>
          <w:sz w:val="17"/>
          <w:szCs w:val="17"/>
        </w:rPr>
      </w:pPr>
    </w:p>
    <w:p w14:paraId="606F872F" w14:textId="77777777" w:rsidR="00FB67F9" w:rsidRDefault="00FB67F9">
      <w:pPr>
        <w:rPr>
          <w:rFonts w:ascii="Times New Roman" w:hAnsi="Times New Roman"/>
          <w:sz w:val="20"/>
          <w:szCs w:val="20"/>
        </w:rPr>
      </w:pPr>
    </w:p>
    <w:p w14:paraId="606F873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breakdown of earnings before interest and taxes is as follows:</w:t>
      </w:r>
    </w:p>
    <w:tbl>
      <w:tblPr>
        <w:tblW w:w="5000" w:type="pct"/>
        <w:tblCellMar>
          <w:left w:w="0" w:type="dxa"/>
          <w:right w:w="0" w:type="dxa"/>
        </w:tblCellMar>
        <w:tblLook w:val="04A0" w:firstRow="1" w:lastRow="0" w:firstColumn="1" w:lastColumn="0" w:noHBand="0" w:noVBand="1"/>
      </w:tblPr>
      <w:tblGrid>
        <w:gridCol w:w="2651"/>
        <w:gridCol w:w="135"/>
        <w:gridCol w:w="658"/>
        <w:gridCol w:w="97"/>
        <w:gridCol w:w="136"/>
        <w:gridCol w:w="658"/>
        <w:gridCol w:w="97"/>
        <w:gridCol w:w="742"/>
        <w:gridCol w:w="239"/>
        <w:gridCol w:w="130"/>
        <w:gridCol w:w="135"/>
        <w:gridCol w:w="659"/>
        <w:gridCol w:w="97"/>
        <w:gridCol w:w="135"/>
        <w:gridCol w:w="659"/>
        <w:gridCol w:w="97"/>
        <w:gridCol w:w="742"/>
        <w:gridCol w:w="239"/>
      </w:tblGrid>
      <w:tr w:rsidR="00FB67F9" w14:paraId="606F8732" w14:textId="77777777">
        <w:tc>
          <w:tcPr>
            <w:tcW w:w="0" w:type="auto"/>
            <w:gridSpan w:val="18"/>
            <w:shd w:val="clear" w:color="auto" w:fill="auto"/>
            <w:vAlign w:val="center"/>
          </w:tcPr>
          <w:p w14:paraId="606F8731" w14:textId="77777777" w:rsidR="00FB67F9" w:rsidRDefault="00FB67F9">
            <w:pPr>
              <w:rPr>
                <w:rFonts w:ascii="Times New Roman" w:hAnsi="Times New Roman"/>
                <w:sz w:val="20"/>
                <w:szCs w:val="20"/>
              </w:rPr>
            </w:pPr>
          </w:p>
        </w:tc>
      </w:tr>
      <w:tr w:rsidR="00FB67F9" w14:paraId="606F8745" w14:textId="77777777">
        <w:tc>
          <w:tcPr>
            <w:tcW w:w="1650" w:type="pct"/>
            <w:shd w:val="clear" w:color="auto" w:fill="auto"/>
            <w:vAlign w:val="center"/>
          </w:tcPr>
          <w:p w14:paraId="606F8733" w14:textId="77777777" w:rsidR="00FB67F9" w:rsidRDefault="00FB67F9">
            <w:pPr>
              <w:rPr>
                <w:rFonts w:ascii="Times New Roman" w:hAnsi="Times New Roman"/>
                <w:sz w:val="20"/>
                <w:szCs w:val="20"/>
              </w:rPr>
            </w:pPr>
          </w:p>
        </w:tc>
        <w:tc>
          <w:tcPr>
            <w:tcW w:w="50" w:type="pct"/>
            <w:shd w:val="clear" w:color="auto" w:fill="auto"/>
            <w:vAlign w:val="center"/>
          </w:tcPr>
          <w:p w14:paraId="606F8734" w14:textId="77777777" w:rsidR="00FB67F9" w:rsidRDefault="00FB67F9">
            <w:pPr>
              <w:rPr>
                <w:rFonts w:ascii="Times New Roman" w:hAnsi="Times New Roman"/>
                <w:sz w:val="20"/>
                <w:szCs w:val="20"/>
              </w:rPr>
            </w:pPr>
          </w:p>
        </w:tc>
        <w:tc>
          <w:tcPr>
            <w:tcW w:w="450" w:type="pct"/>
            <w:shd w:val="clear" w:color="auto" w:fill="auto"/>
            <w:vAlign w:val="center"/>
          </w:tcPr>
          <w:p w14:paraId="606F8735" w14:textId="77777777" w:rsidR="00FB67F9" w:rsidRDefault="00FB67F9">
            <w:pPr>
              <w:rPr>
                <w:rFonts w:ascii="Times New Roman" w:hAnsi="Times New Roman"/>
                <w:sz w:val="20"/>
                <w:szCs w:val="20"/>
              </w:rPr>
            </w:pPr>
          </w:p>
        </w:tc>
        <w:tc>
          <w:tcPr>
            <w:tcW w:w="50" w:type="pct"/>
            <w:shd w:val="clear" w:color="auto" w:fill="auto"/>
            <w:vAlign w:val="center"/>
          </w:tcPr>
          <w:p w14:paraId="606F8736" w14:textId="77777777" w:rsidR="00FB67F9" w:rsidRDefault="00FB67F9">
            <w:pPr>
              <w:rPr>
                <w:rFonts w:ascii="Times New Roman" w:hAnsi="Times New Roman"/>
                <w:sz w:val="20"/>
                <w:szCs w:val="20"/>
              </w:rPr>
            </w:pPr>
          </w:p>
        </w:tc>
        <w:tc>
          <w:tcPr>
            <w:tcW w:w="50" w:type="pct"/>
            <w:shd w:val="clear" w:color="auto" w:fill="auto"/>
            <w:vAlign w:val="center"/>
          </w:tcPr>
          <w:p w14:paraId="606F8737" w14:textId="77777777" w:rsidR="00FB67F9" w:rsidRDefault="00FB67F9">
            <w:pPr>
              <w:rPr>
                <w:rFonts w:ascii="Times New Roman" w:hAnsi="Times New Roman"/>
                <w:sz w:val="20"/>
                <w:szCs w:val="20"/>
              </w:rPr>
            </w:pPr>
          </w:p>
        </w:tc>
        <w:tc>
          <w:tcPr>
            <w:tcW w:w="450" w:type="pct"/>
            <w:shd w:val="clear" w:color="auto" w:fill="auto"/>
            <w:vAlign w:val="center"/>
          </w:tcPr>
          <w:p w14:paraId="606F8738" w14:textId="77777777" w:rsidR="00FB67F9" w:rsidRDefault="00FB67F9">
            <w:pPr>
              <w:rPr>
                <w:rFonts w:ascii="Times New Roman" w:hAnsi="Times New Roman"/>
                <w:sz w:val="20"/>
                <w:szCs w:val="20"/>
              </w:rPr>
            </w:pPr>
          </w:p>
        </w:tc>
        <w:tc>
          <w:tcPr>
            <w:tcW w:w="50" w:type="pct"/>
            <w:shd w:val="clear" w:color="auto" w:fill="auto"/>
            <w:vAlign w:val="center"/>
          </w:tcPr>
          <w:p w14:paraId="606F8739" w14:textId="77777777" w:rsidR="00FB67F9" w:rsidRDefault="00FB67F9">
            <w:pPr>
              <w:rPr>
                <w:rFonts w:ascii="Times New Roman" w:hAnsi="Times New Roman"/>
                <w:sz w:val="20"/>
                <w:szCs w:val="20"/>
              </w:rPr>
            </w:pPr>
          </w:p>
        </w:tc>
        <w:tc>
          <w:tcPr>
            <w:tcW w:w="500" w:type="pct"/>
            <w:shd w:val="clear" w:color="auto" w:fill="auto"/>
            <w:vAlign w:val="center"/>
          </w:tcPr>
          <w:p w14:paraId="606F873A" w14:textId="77777777" w:rsidR="00FB67F9" w:rsidRDefault="00FB67F9">
            <w:pPr>
              <w:rPr>
                <w:rFonts w:ascii="Times New Roman" w:hAnsi="Times New Roman"/>
                <w:sz w:val="20"/>
                <w:szCs w:val="20"/>
              </w:rPr>
            </w:pPr>
          </w:p>
        </w:tc>
        <w:tc>
          <w:tcPr>
            <w:tcW w:w="50" w:type="pct"/>
            <w:shd w:val="clear" w:color="auto" w:fill="auto"/>
            <w:vAlign w:val="center"/>
          </w:tcPr>
          <w:p w14:paraId="606F873B" w14:textId="77777777" w:rsidR="00FB67F9" w:rsidRDefault="00FB67F9">
            <w:pPr>
              <w:rPr>
                <w:rFonts w:ascii="Times New Roman" w:hAnsi="Times New Roman"/>
                <w:sz w:val="20"/>
                <w:szCs w:val="20"/>
              </w:rPr>
            </w:pPr>
          </w:p>
        </w:tc>
        <w:tc>
          <w:tcPr>
            <w:tcW w:w="50" w:type="pct"/>
            <w:shd w:val="clear" w:color="auto" w:fill="auto"/>
            <w:vAlign w:val="center"/>
          </w:tcPr>
          <w:p w14:paraId="606F873C" w14:textId="77777777" w:rsidR="00FB67F9" w:rsidRDefault="00FB67F9">
            <w:pPr>
              <w:rPr>
                <w:rFonts w:ascii="Times New Roman" w:hAnsi="Times New Roman"/>
                <w:sz w:val="20"/>
                <w:szCs w:val="20"/>
              </w:rPr>
            </w:pPr>
          </w:p>
        </w:tc>
        <w:tc>
          <w:tcPr>
            <w:tcW w:w="50" w:type="pct"/>
            <w:shd w:val="clear" w:color="auto" w:fill="auto"/>
            <w:vAlign w:val="center"/>
          </w:tcPr>
          <w:p w14:paraId="606F873D" w14:textId="77777777" w:rsidR="00FB67F9" w:rsidRDefault="00FB67F9">
            <w:pPr>
              <w:rPr>
                <w:rFonts w:ascii="Times New Roman" w:hAnsi="Times New Roman"/>
                <w:sz w:val="20"/>
                <w:szCs w:val="20"/>
              </w:rPr>
            </w:pPr>
          </w:p>
        </w:tc>
        <w:tc>
          <w:tcPr>
            <w:tcW w:w="450" w:type="pct"/>
            <w:shd w:val="clear" w:color="auto" w:fill="auto"/>
            <w:vAlign w:val="center"/>
          </w:tcPr>
          <w:p w14:paraId="606F873E" w14:textId="77777777" w:rsidR="00FB67F9" w:rsidRDefault="00FB67F9">
            <w:pPr>
              <w:rPr>
                <w:rFonts w:ascii="Times New Roman" w:hAnsi="Times New Roman"/>
                <w:sz w:val="20"/>
                <w:szCs w:val="20"/>
              </w:rPr>
            </w:pPr>
          </w:p>
        </w:tc>
        <w:tc>
          <w:tcPr>
            <w:tcW w:w="50" w:type="pct"/>
            <w:shd w:val="clear" w:color="auto" w:fill="auto"/>
            <w:vAlign w:val="center"/>
          </w:tcPr>
          <w:p w14:paraId="606F873F" w14:textId="77777777" w:rsidR="00FB67F9" w:rsidRDefault="00FB67F9">
            <w:pPr>
              <w:rPr>
                <w:rFonts w:ascii="Times New Roman" w:hAnsi="Times New Roman"/>
                <w:sz w:val="20"/>
                <w:szCs w:val="20"/>
              </w:rPr>
            </w:pPr>
          </w:p>
        </w:tc>
        <w:tc>
          <w:tcPr>
            <w:tcW w:w="50" w:type="pct"/>
            <w:shd w:val="clear" w:color="auto" w:fill="auto"/>
            <w:vAlign w:val="center"/>
          </w:tcPr>
          <w:p w14:paraId="606F8740" w14:textId="77777777" w:rsidR="00FB67F9" w:rsidRDefault="00FB67F9">
            <w:pPr>
              <w:rPr>
                <w:rFonts w:ascii="Times New Roman" w:hAnsi="Times New Roman"/>
                <w:sz w:val="20"/>
                <w:szCs w:val="20"/>
              </w:rPr>
            </w:pPr>
          </w:p>
        </w:tc>
        <w:tc>
          <w:tcPr>
            <w:tcW w:w="450" w:type="pct"/>
            <w:shd w:val="clear" w:color="auto" w:fill="auto"/>
            <w:vAlign w:val="center"/>
          </w:tcPr>
          <w:p w14:paraId="606F8741" w14:textId="77777777" w:rsidR="00FB67F9" w:rsidRDefault="00FB67F9">
            <w:pPr>
              <w:rPr>
                <w:rFonts w:ascii="Times New Roman" w:hAnsi="Times New Roman"/>
                <w:sz w:val="20"/>
                <w:szCs w:val="20"/>
              </w:rPr>
            </w:pPr>
          </w:p>
        </w:tc>
        <w:tc>
          <w:tcPr>
            <w:tcW w:w="50" w:type="pct"/>
            <w:shd w:val="clear" w:color="auto" w:fill="auto"/>
            <w:vAlign w:val="center"/>
          </w:tcPr>
          <w:p w14:paraId="606F8742" w14:textId="77777777" w:rsidR="00FB67F9" w:rsidRDefault="00FB67F9">
            <w:pPr>
              <w:rPr>
                <w:rFonts w:ascii="Times New Roman" w:hAnsi="Times New Roman"/>
                <w:sz w:val="20"/>
                <w:szCs w:val="20"/>
              </w:rPr>
            </w:pPr>
          </w:p>
        </w:tc>
        <w:tc>
          <w:tcPr>
            <w:tcW w:w="500" w:type="pct"/>
            <w:shd w:val="clear" w:color="auto" w:fill="auto"/>
            <w:vAlign w:val="center"/>
          </w:tcPr>
          <w:p w14:paraId="606F8743" w14:textId="77777777" w:rsidR="00FB67F9" w:rsidRDefault="00FB67F9">
            <w:pPr>
              <w:rPr>
                <w:rFonts w:ascii="Times New Roman" w:hAnsi="Times New Roman"/>
                <w:sz w:val="20"/>
                <w:szCs w:val="20"/>
              </w:rPr>
            </w:pPr>
          </w:p>
        </w:tc>
        <w:tc>
          <w:tcPr>
            <w:tcW w:w="50" w:type="pct"/>
            <w:shd w:val="clear" w:color="auto" w:fill="auto"/>
            <w:vAlign w:val="center"/>
          </w:tcPr>
          <w:p w14:paraId="606F8744" w14:textId="77777777" w:rsidR="00FB67F9" w:rsidRDefault="00FB67F9">
            <w:pPr>
              <w:rPr>
                <w:rFonts w:ascii="Times New Roman" w:hAnsi="Times New Roman"/>
                <w:sz w:val="20"/>
                <w:szCs w:val="20"/>
              </w:rPr>
            </w:pPr>
          </w:p>
        </w:tc>
      </w:tr>
      <w:tr w:rsidR="00FB67F9" w14:paraId="606F874A" w14:textId="77777777">
        <w:tc>
          <w:tcPr>
            <w:tcW w:w="0" w:type="auto"/>
            <w:shd w:val="clear" w:color="auto" w:fill="auto"/>
            <w:tcMar>
              <w:top w:w="40" w:type="dxa"/>
              <w:left w:w="40" w:type="dxa"/>
              <w:bottom w:w="40" w:type="dxa"/>
              <w:right w:w="40" w:type="dxa"/>
            </w:tcMar>
            <w:vAlign w:val="bottom"/>
          </w:tcPr>
          <w:p w14:paraId="606F874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74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74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74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75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74B"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74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74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shd w:val="clear" w:color="auto" w:fill="auto"/>
            <w:tcMar>
              <w:top w:w="40" w:type="dxa"/>
              <w:left w:w="40" w:type="dxa"/>
              <w:bottom w:w="40" w:type="dxa"/>
            </w:tcMar>
            <w:vAlign w:val="bottom"/>
          </w:tcPr>
          <w:p w14:paraId="606F874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shd w:val="clear" w:color="auto" w:fill="auto"/>
            <w:vAlign w:val="bottom"/>
          </w:tcPr>
          <w:p w14:paraId="606F874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75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75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606F875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75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754" w14:textId="77777777" w:rsidR="00FB67F9" w:rsidRDefault="00FB67F9">
            <w:pPr>
              <w:textAlignment w:val="bottom"/>
              <w:rPr>
                <w:rFonts w:ascii="Times New Roman" w:hAnsi="Times New Roman"/>
                <w:sz w:val="20"/>
                <w:szCs w:val="20"/>
              </w:rPr>
            </w:pPr>
          </w:p>
        </w:tc>
      </w:tr>
      <w:tr w:rsidR="00FB67F9" w14:paraId="606F8768" w14:textId="77777777">
        <w:tc>
          <w:tcPr>
            <w:tcW w:w="0" w:type="auto"/>
            <w:shd w:val="clear" w:color="auto" w:fill="auto"/>
            <w:tcMar>
              <w:top w:w="40" w:type="dxa"/>
              <w:left w:w="40" w:type="dxa"/>
              <w:bottom w:w="40" w:type="dxa"/>
              <w:right w:w="40" w:type="dxa"/>
            </w:tcMar>
            <w:vAlign w:val="bottom"/>
          </w:tcPr>
          <w:p w14:paraId="606F8756" w14:textId="77777777" w:rsidR="00FB67F9" w:rsidRDefault="00E839DF">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E87722"/>
            </w:tcBorders>
            <w:shd w:val="clear" w:color="auto" w:fill="FFF1E7"/>
            <w:tcMar>
              <w:top w:w="40" w:type="dxa"/>
              <w:left w:w="40" w:type="dxa"/>
              <w:bottom w:w="40" w:type="dxa"/>
            </w:tcMar>
            <w:vAlign w:val="bottom"/>
          </w:tcPr>
          <w:p w14:paraId="606F875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606F875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875</w:t>
            </w:r>
          </w:p>
        </w:tc>
        <w:tc>
          <w:tcPr>
            <w:tcW w:w="0" w:type="auto"/>
            <w:tcBorders>
              <w:top w:val="single" w:sz="8" w:space="0" w:color="E87722"/>
            </w:tcBorders>
            <w:shd w:val="clear" w:color="auto" w:fill="FFF1E7"/>
            <w:vAlign w:val="bottom"/>
          </w:tcPr>
          <w:p w14:paraId="606F8759"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75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606F875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884</w:t>
            </w:r>
          </w:p>
        </w:tc>
        <w:tc>
          <w:tcPr>
            <w:tcW w:w="0" w:type="auto"/>
            <w:tcBorders>
              <w:top w:val="single" w:sz="8" w:space="0" w:color="E87722"/>
            </w:tcBorders>
            <w:shd w:val="clear" w:color="auto" w:fill="auto"/>
            <w:vAlign w:val="bottom"/>
          </w:tcPr>
          <w:p w14:paraId="606F875C"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75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tcBorders>
            <w:shd w:val="clear" w:color="auto" w:fill="auto"/>
            <w:tcMar>
              <w:top w:w="40" w:type="dxa"/>
              <w:bottom w:w="40" w:type="dxa"/>
              <w:right w:w="40" w:type="dxa"/>
            </w:tcMar>
            <w:vAlign w:val="bottom"/>
          </w:tcPr>
          <w:p w14:paraId="606F875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606F875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876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76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1,975</w:t>
            </w:r>
          </w:p>
        </w:tc>
        <w:tc>
          <w:tcPr>
            <w:tcW w:w="0" w:type="auto"/>
            <w:shd w:val="clear" w:color="auto" w:fill="FFF1E7"/>
            <w:vAlign w:val="bottom"/>
          </w:tcPr>
          <w:p w14:paraId="606F8762"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76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606F87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1,961</w:t>
            </w:r>
          </w:p>
        </w:tc>
        <w:tc>
          <w:tcPr>
            <w:tcW w:w="0" w:type="auto"/>
            <w:shd w:val="clear" w:color="auto" w:fill="auto"/>
            <w:vAlign w:val="bottom"/>
          </w:tcPr>
          <w:p w14:paraId="606F8765"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7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606F876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77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769" w14:textId="77777777" w:rsidR="00FB67F9" w:rsidRDefault="00E839DF">
            <w:pPr>
              <w:textAlignment w:val="bottom"/>
              <w:rPr>
                <w:rFonts w:ascii="Times New Roman" w:hAnsi="Times New Roman"/>
                <w:sz w:val="17"/>
                <w:szCs w:val="17"/>
              </w:rPr>
            </w:pPr>
            <w:r>
              <w:rPr>
                <w:rFonts w:ascii="Arial" w:eastAsia="宋体" w:hAnsi="Arial" w:cs="Arial"/>
                <w:sz w:val="17"/>
                <w:szCs w:val="17"/>
              </w:rPr>
              <w:t>Europe, M</w:t>
            </w:r>
            <w:r>
              <w:rPr>
                <w:rFonts w:ascii="Arial" w:eastAsia="宋体" w:hAnsi="Arial" w:cs="Arial"/>
                <w:sz w:val="17"/>
                <w:szCs w:val="17"/>
              </w:rPr>
              <w:t>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606F876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510</w:t>
            </w:r>
          </w:p>
        </w:tc>
        <w:tc>
          <w:tcPr>
            <w:tcW w:w="0" w:type="auto"/>
            <w:tcBorders>
              <w:top w:val="single" w:sz="8" w:space="0" w:color="808080"/>
            </w:tcBorders>
            <w:shd w:val="clear" w:color="auto" w:fill="FFF1E7"/>
            <w:vAlign w:val="bottom"/>
          </w:tcPr>
          <w:p w14:paraId="606F876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76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450</w:t>
            </w:r>
          </w:p>
        </w:tc>
        <w:tc>
          <w:tcPr>
            <w:tcW w:w="0" w:type="auto"/>
            <w:tcBorders>
              <w:top w:val="single" w:sz="8" w:space="0" w:color="808080"/>
            </w:tcBorders>
            <w:shd w:val="clear" w:color="auto" w:fill="auto"/>
            <w:vAlign w:val="bottom"/>
          </w:tcPr>
          <w:p w14:paraId="606F876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76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tcBorders>
            <w:shd w:val="clear" w:color="auto" w:fill="auto"/>
            <w:tcMar>
              <w:top w:w="40" w:type="dxa"/>
              <w:bottom w:w="40" w:type="dxa"/>
              <w:right w:w="40" w:type="dxa"/>
            </w:tcMar>
            <w:vAlign w:val="bottom"/>
          </w:tcPr>
          <w:p w14:paraId="606F876F"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77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77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1,119</w:t>
            </w:r>
          </w:p>
        </w:tc>
        <w:tc>
          <w:tcPr>
            <w:tcW w:w="0" w:type="auto"/>
            <w:tcBorders>
              <w:top w:val="single" w:sz="8" w:space="0" w:color="808080"/>
            </w:tcBorders>
            <w:shd w:val="clear" w:color="auto" w:fill="FFF1E7"/>
            <w:vAlign w:val="bottom"/>
          </w:tcPr>
          <w:p w14:paraId="606F8772"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77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951</w:t>
            </w:r>
          </w:p>
        </w:tc>
        <w:tc>
          <w:tcPr>
            <w:tcW w:w="0" w:type="auto"/>
            <w:tcBorders>
              <w:top w:val="single" w:sz="8" w:space="0" w:color="808080"/>
            </w:tcBorders>
            <w:shd w:val="clear" w:color="auto" w:fill="auto"/>
            <w:vAlign w:val="bottom"/>
          </w:tcPr>
          <w:p w14:paraId="606F877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77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tcBorders>
            <w:shd w:val="clear" w:color="auto" w:fill="auto"/>
            <w:tcMar>
              <w:top w:w="40" w:type="dxa"/>
              <w:bottom w:w="40" w:type="dxa"/>
              <w:right w:w="40" w:type="dxa"/>
            </w:tcMar>
            <w:vAlign w:val="bottom"/>
          </w:tcPr>
          <w:p w14:paraId="606F8776"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78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778" w14:textId="77777777" w:rsidR="00FB67F9" w:rsidRDefault="00E839DF">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606F877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694</w:t>
            </w:r>
          </w:p>
        </w:tc>
        <w:tc>
          <w:tcPr>
            <w:tcW w:w="0" w:type="auto"/>
            <w:tcBorders>
              <w:top w:val="single" w:sz="8" w:space="0" w:color="808080"/>
            </w:tcBorders>
            <w:shd w:val="clear" w:color="auto" w:fill="FFF1E7"/>
            <w:vAlign w:val="bottom"/>
          </w:tcPr>
          <w:p w14:paraId="606F877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77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561</w:t>
            </w:r>
          </w:p>
        </w:tc>
        <w:tc>
          <w:tcPr>
            <w:tcW w:w="0" w:type="auto"/>
            <w:tcBorders>
              <w:top w:val="single" w:sz="8" w:space="0" w:color="808080"/>
            </w:tcBorders>
            <w:shd w:val="clear" w:color="auto" w:fill="auto"/>
            <w:vAlign w:val="bottom"/>
          </w:tcPr>
          <w:p w14:paraId="606F877C"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77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tcBorders>
            <w:shd w:val="clear" w:color="auto" w:fill="auto"/>
            <w:tcMar>
              <w:top w:w="40" w:type="dxa"/>
              <w:bottom w:w="40" w:type="dxa"/>
              <w:right w:w="40" w:type="dxa"/>
            </w:tcMar>
            <w:vAlign w:val="bottom"/>
          </w:tcPr>
          <w:p w14:paraId="606F877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7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7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1,363</w:t>
            </w:r>
          </w:p>
        </w:tc>
        <w:tc>
          <w:tcPr>
            <w:tcW w:w="0" w:type="auto"/>
            <w:tcBorders>
              <w:top w:val="single" w:sz="8" w:space="0" w:color="808080"/>
            </w:tcBorders>
            <w:shd w:val="clear" w:color="auto" w:fill="FFF1E7"/>
            <w:vAlign w:val="bottom"/>
          </w:tcPr>
          <w:p w14:paraId="606F878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606F87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1,063</w:t>
            </w:r>
          </w:p>
        </w:tc>
        <w:tc>
          <w:tcPr>
            <w:tcW w:w="0" w:type="auto"/>
            <w:tcBorders>
              <w:top w:val="single" w:sz="8" w:space="0" w:color="808080"/>
            </w:tcBorders>
            <w:shd w:val="clear" w:color="auto" w:fill="auto"/>
            <w:vAlign w:val="bottom"/>
          </w:tcPr>
          <w:p w14:paraId="606F8783"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7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tcBorders>
            <w:shd w:val="clear" w:color="auto" w:fill="auto"/>
            <w:tcMar>
              <w:top w:w="40" w:type="dxa"/>
              <w:bottom w:w="40" w:type="dxa"/>
              <w:right w:w="40" w:type="dxa"/>
            </w:tcMar>
            <w:vAlign w:val="bottom"/>
          </w:tcPr>
          <w:p w14:paraId="606F878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795"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787" w14:textId="77777777" w:rsidR="00FB67F9" w:rsidRDefault="00E839DF">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78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377</w:t>
            </w:r>
          </w:p>
        </w:tc>
        <w:tc>
          <w:tcPr>
            <w:tcW w:w="0" w:type="auto"/>
            <w:tcBorders>
              <w:top w:val="single" w:sz="8" w:space="0" w:color="808080"/>
              <w:bottom w:val="single" w:sz="8" w:space="0" w:color="808080"/>
            </w:tcBorders>
            <w:shd w:val="clear" w:color="auto" w:fill="FFF1E7"/>
            <w:vAlign w:val="bottom"/>
          </w:tcPr>
          <w:p w14:paraId="606F8789"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78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321</w:t>
            </w:r>
          </w:p>
        </w:tc>
        <w:tc>
          <w:tcPr>
            <w:tcW w:w="0" w:type="auto"/>
            <w:tcBorders>
              <w:top w:val="single" w:sz="8" w:space="0" w:color="808080"/>
              <w:bottom w:val="single" w:sz="8" w:space="0" w:color="808080"/>
            </w:tcBorders>
            <w:shd w:val="clear" w:color="auto" w:fill="auto"/>
            <w:vAlign w:val="bottom"/>
          </w:tcPr>
          <w:p w14:paraId="606F878B"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78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78D"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78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78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718</w:t>
            </w:r>
          </w:p>
        </w:tc>
        <w:tc>
          <w:tcPr>
            <w:tcW w:w="0" w:type="auto"/>
            <w:tcBorders>
              <w:top w:val="single" w:sz="8" w:space="0" w:color="808080"/>
              <w:bottom w:val="single" w:sz="8" w:space="0" w:color="808080"/>
            </w:tcBorders>
            <w:shd w:val="clear" w:color="auto" w:fill="FFF1E7"/>
            <w:vAlign w:val="bottom"/>
          </w:tcPr>
          <w:p w14:paraId="606F8790"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79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644</w:t>
            </w:r>
          </w:p>
        </w:tc>
        <w:tc>
          <w:tcPr>
            <w:tcW w:w="0" w:type="auto"/>
            <w:tcBorders>
              <w:top w:val="single" w:sz="8" w:space="0" w:color="808080"/>
              <w:bottom w:val="single" w:sz="8" w:space="0" w:color="808080"/>
            </w:tcBorders>
            <w:shd w:val="clear" w:color="auto" w:fill="auto"/>
            <w:vAlign w:val="bottom"/>
          </w:tcPr>
          <w:p w14:paraId="606F879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79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79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7A4" w14:textId="77777777">
        <w:tc>
          <w:tcPr>
            <w:tcW w:w="0" w:type="auto"/>
            <w:shd w:val="clear" w:color="auto" w:fill="auto"/>
            <w:tcMar>
              <w:top w:w="40" w:type="dxa"/>
              <w:left w:w="40" w:type="dxa"/>
              <w:bottom w:w="40" w:type="dxa"/>
              <w:right w:w="40" w:type="dxa"/>
            </w:tcMar>
            <w:vAlign w:val="bottom"/>
          </w:tcPr>
          <w:p w14:paraId="606F8796" w14:textId="77777777" w:rsidR="00FB67F9" w:rsidRDefault="00E839DF">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shd w:val="clear" w:color="auto" w:fill="FFF1E7"/>
            <w:tcMar>
              <w:top w:w="40" w:type="dxa"/>
              <w:left w:w="40" w:type="dxa"/>
              <w:bottom w:w="40" w:type="dxa"/>
            </w:tcMar>
            <w:vAlign w:val="bottom"/>
          </w:tcPr>
          <w:p w14:paraId="606F879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(872</w:t>
            </w:r>
          </w:p>
        </w:tc>
        <w:tc>
          <w:tcPr>
            <w:tcW w:w="0" w:type="auto"/>
            <w:shd w:val="clear" w:color="auto" w:fill="FFF1E7"/>
            <w:tcMar>
              <w:top w:w="40" w:type="dxa"/>
              <w:bottom w:w="40" w:type="dxa"/>
              <w:right w:w="40" w:type="dxa"/>
            </w:tcMar>
            <w:vAlign w:val="bottom"/>
          </w:tcPr>
          <w:p w14:paraId="606F879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879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(826</w:t>
            </w:r>
          </w:p>
        </w:tc>
        <w:tc>
          <w:tcPr>
            <w:tcW w:w="0" w:type="auto"/>
            <w:shd w:val="clear" w:color="auto" w:fill="auto"/>
            <w:tcMar>
              <w:top w:w="40" w:type="dxa"/>
              <w:bottom w:w="40" w:type="dxa"/>
              <w:right w:w="40" w:type="dxa"/>
            </w:tcMar>
            <w:vAlign w:val="bottom"/>
          </w:tcPr>
          <w:p w14:paraId="606F879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79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79C"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606F879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79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(1,729</w:t>
            </w:r>
          </w:p>
        </w:tc>
        <w:tc>
          <w:tcPr>
            <w:tcW w:w="0" w:type="auto"/>
            <w:shd w:val="clear" w:color="auto" w:fill="FFF1E7"/>
            <w:tcMar>
              <w:top w:w="40" w:type="dxa"/>
              <w:bottom w:w="40" w:type="dxa"/>
              <w:right w:w="40" w:type="dxa"/>
            </w:tcMar>
            <w:vAlign w:val="bottom"/>
          </w:tcPr>
          <w:p w14:paraId="606F879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606F87A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(1,644</w:t>
            </w:r>
          </w:p>
        </w:tc>
        <w:tc>
          <w:tcPr>
            <w:tcW w:w="0" w:type="auto"/>
            <w:shd w:val="clear" w:color="auto" w:fill="auto"/>
            <w:tcMar>
              <w:top w:w="40" w:type="dxa"/>
              <w:bottom w:w="40" w:type="dxa"/>
              <w:right w:w="40" w:type="dxa"/>
            </w:tcMar>
            <w:vAlign w:val="bottom"/>
          </w:tcPr>
          <w:p w14:paraId="606F87A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7A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606F87A3"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7B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7A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xml:space="preserve">TOTAL </w:t>
            </w:r>
            <w:r>
              <w:rPr>
                <w:rFonts w:ascii="Arial" w:eastAsia="宋体" w:hAnsi="Arial" w:cs="Arial"/>
                <w:b/>
                <w:bCs/>
                <w:sz w:val="17"/>
                <w:szCs w:val="17"/>
              </w:rPr>
              <w:t>NIKE BRAND</w:t>
            </w:r>
            <w:r>
              <w:rPr>
                <w:rFonts w:ascii="Arial" w:eastAsia="宋体" w:hAnsi="Arial" w:cs="Arial"/>
                <w:sz w:val="15"/>
                <w:szCs w:val="15"/>
              </w:rPr>
              <w:t>(1)</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7A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1,584</w:t>
            </w:r>
          </w:p>
        </w:tc>
        <w:tc>
          <w:tcPr>
            <w:tcW w:w="0" w:type="auto"/>
            <w:tcBorders>
              <w:top w:val="single" w:sz="8" w:space="0" w:color="E87722"/>
              <w:bottom w:val="single" w:sz="8" w:space="0" w:color="E87722"/>
            </w:tcBorders>
            <w:shd w:val="clear" w:color="auto" w:fill="FFF1E7"/>
            <w:vAlign w:val="bottom"/>
          </w:tcPr>
          <w:p w14:paraId="606F87A7"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7A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1,390</w:t>
            </w:r>
          </w:p>
        </w:tc>
        <w:tc>
          <w:tcPr>
            <w:tcW w:w="0" w:type="auto"/>
            <w:tcBorders>
              <w:top w:val="single" w:sz="8" w:space="0" w:color="E87722"/>
              <w:bottom w:val="single" w:sz="8" w:space="0" w:color="E87722"/>
            </w:tcBorders>
            <w:shd w:val="clear" w:color="auto" w:fill="auto"/>
            <w:vAlign w:val="bottom"/>
          </w:tcPr>
          <w:p w14:paraId="606F87A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A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A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7A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7A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3,446</w:t>
            </w:r>
          </w:p>
        </w:tc>
        <w:tc>
          <w:tcPr>
            <w:tcW w:w="0" w:type="auto"/>
            <w:tcBorders>
              <w:top w:val="single" w:sz="8" w:space="0" w:color="E87722"/>
              <w:bottom w:val="single" w:sz="8" w:space="0" w:color="E87722"/>
            </w:tcBorders>
            <w:shd w:val="clear" w:color="auto" w:fill="FFF1E7"/>
            <w:vAlign w:val="bottom"/>
          </w:tcPr>
          <w:p w14:paraId="606F87AE"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7A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2,975</w:t>
            </w:r>
          </w:p>
        </w:tc>
        <w:tc>
          <w:tcPr>
            <w:tcW w:w="0" w:type="auto"/>
            <w:tcBorders>
              <w:top w:val="single" w:sz="8" w:space="0" w:color="E87722"/>
              <w:bottom w:val="single" w:sz="8" w:space="0" w:color="E87722"/>
            </w:tcBorders>
            <w:shd w:val="clear" w:color="auto" w:fill="auto"/>
            <w:vAlign w:val="bottom"/>
          </w:tcPr>
          <w:p w14:paraId="606F87B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B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B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r w:rsidR="00FB67F9" w14:paraId="606F87C2" w14:textId="77777777">
        <w:tc>
          <w:tcPr>
            <w:tcW w:w="0" w:type="auto"/>
            <w:shd w:val="clear" w:color="auto" w:fill="auto"/>
            <w:tcMar>
              <w:top w:w="40" w:type="dxa"/>
              <w:left w:w="40" w:type="dxa"/>
              <w:bottom w:w="40" w:type="dxa"/>
              <w:right w:w="40" w:type="dxa"/>
            </w:tcMar>
            <w:vAlign w:val="bottom"/>
          </w:tcPr>
          <w:p w14:paraId="606F87B4" w14:textId="77777777" w:rsidR="00FB67F9" w:rsidRDefault="00E839DF">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shd w:val="clear" w:color="auto" w:fill="FFF1E7"/>
            <w:tcMar>
              <w:top w:w="40" w:type="dxa"/>
              <w:left w:w="40" w:type="dxa"/>
              <w:bottom w:w="40" w:type="dxa"/>
            </w:tcMar>
            <w:vAlign w:val="bottom"/>
          </w:tcPr>
          <w:p w14:paraId="606F87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90</w:t>
            </w:r>
          </w:p>
        </w:tc>
        <w:tc>
          <w:tcPr>
            <w:tcW w:w="0" w:type="auto"/>
            <w:shd w:val="clear" w:color="auto" w:fill="FFF1E7"/>
            <w:vAlign w:val="bottom"/>
          </w:tcPr>
          <w:p w14:paraId="606F87B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7B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w:t>
            </w:r>
          </w:p>
        </w:tc>
        <w:tc>
          <w:tcPr>
            <w:tcW w:w="0" w:type="auto"/>
            <w:shd w:val="clear" w:color="auto" w:fill="auto"/>
            <w:vAlign w:val="bottom"/>
          </w:tcPr>
          <w:p w14:paraId="606F87B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7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105</w:t>
            </w:r>
          </w:p>
        </w:tc>
        <w:tc>
          <w:tcPr>
            <w:tcW w:w="0" w:type="auto"/>
            <w:shd w:val="clear" w:color="auto" w:fill="auto"/>
            <w:tcMar>
              <w:top w:w="40" w:type="dxa"/>
              <w:bottom w:w="40" w:type="dxa"/>
              <w:right w:w="40" w:type="dxa"/>
            </w:tcMar>
            <w:vAlign w:val="bottom"/>
          </w:tcPr>
          <w:p w14:paraId="606F87BA"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606F87B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7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228</w:t>
            </w:r>
          </w:p>
        </w:tc>
        <w:tc>
          <w:tcPr>
            <w:tcW w:w="0" w:type="auto"/>
            <w:shd w:val="clear" w:color="auto" w:fill="FFF1E7"/>
            <w:vAlign w:val="bottom"/>
          </w:tcPr>
          <w:p w14:paraId="606F87BD"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7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142</w:t>
            </w:r>
          </w:p>
        </w:tc>
        <w:tc>
          <w:tcPr>
            <w:tcW w:w="0" w:type="auto"/>
            <w:shd w:val="clear" w:color="auto" w:fill="auto"/>
            <w:vAlign w:val="bottom"/>
          </w:tcPr>
          <w:p w14:paraId="606F87BF"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7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w:t>
            </w:r>
          </w:p>
        </w:tc>
        <w:tc>
          <w:tcPr>
            <w:tcW w:w="0" w:type="auto"/>
            <w:shd w:val="clear" w:color="auto" w:fill="auto"/>
            <w:tcMar>
              <w:top w:w="40" w:type="dxa"/>
              <w:bottom w:w="40" w:type="dxa"/>
              <w:right w:w="40" w:type="dxa"/>
            </w:tcMar>
            <w:vAlign w:val="bottom"/>
          </w:tcPr>
          <w:p w14:paraId="606F87C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7D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606F87C3" w14:textId="77777777" w:rsidR="00FB67F9" w:rsidRDefault="00E839DF">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tcBorders>
              <w:top w:val="single" w:sz="8" w:space="0" w:color="808080"/>
            </w:tcBorders>
            <w:shd w:val="clear" w:color="auto" w:fill="FFF1E7"/>
            <w:tcMar>
              <w:top w:w="40" w:type="dxa"/>
              <w:left w:w="40" w:type="dxa"/>
              <w:bottom w:w="40" w:type="dxa"/>
            </w:tcMar>
            <w:vAlign w:val="bottom"/>
          </w:tcPr>
          <w:p w14:paraId="606F87C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(413</w:t>
            </w:r>
          </w:p>
        </w:tc>
        <w:tc>
          <w:tcPr>
            <w:tcW w:w="0" w:type="auto"/>
            <w:tcBorders>
              <w:top w:val="single" w:sz="8" w:space="0" w:color="808080"/>
            </w:tcBorders>
            <w:shd w:val="clear" w:color="auto" w:fill="FFF1E7"/>
            <w:tcMar>
              <w:top w:w="40" w:type="dxa"/>
              <w:bottom w:w="40" w:type="dxa"/>
              <w:right w:w="40" w:type="dxa"/>
            </w:tcMar>
            <w:vAlign w:val="bottom"/>
          </w:tcPr>
          <w:p w14:paraId="606F87C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87C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(423</w:t>
            </w:r>
          </w:p>
        </w:tc>
        <w:tc>
          <w:tcPr>
            <w:tcW w:w="0" w:type="auto"/>
            <w:tcBorders>
              <w:top w:val="single" w:sz="8" w:space="0" w:color="808080"/>
            </w:tcBorders>
            <w:shd w:val="clear" w:color="auto" w:fill="auto"/>
            <w:tcMar>
              <w:top w:w="40" w:type="dxa"/>
              <w:bottom w:w="40" w:type="dxa"/>
              <w:right w:w="40" w:type="dxa"/>
            </w:tcMar>
            <w:vAlign w:val="bottom"/>
          </w:tcPr>
          <w:p w14:paraId="606F87C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7C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tcMar>
              <w:top w:w="40" w:type="dxa"/>
              <w:bottom w:w="40" w:type="dxa"/>
              <w:right w:w="40" w:type="dxa"/>
            </w:tcMar>
            <w:vAlign w:val="bottom"/>
          </w:tcPr>
          <w:p w14:paraId="606F87C9"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7C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606F87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(837</w:t>
            </w:r>
          </w:p>
        </w:tc>
        <w:tc>
          <w:tcPr>
            <w:tcW w:w="0" w:type="auto"/>
            <w:tcBorders>
              <w:top w:val="single" w:sz="8" w:space="0" w:color="808080"/>
            </w:tcBorders>
            <w:shd w:val="clear" w:color="auto" w:fill="FFF1E7"/>
            <w:tcMar>
              <w:top w:w="40" w:type="dxa"/>
              <w:bottom w:w="40" w:type="dxa"/>
              <w:right w:w="40" w:type="dxa"/>
            </w:tcMar>
            <w:vAlign w:val="bottom"/>
          </w:tcPr>
          <w:p w14:paraId="606F87C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606F87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(825</w:t>
            </w:r>
          </w:p>
        </w:tc>
        <w:tc>
          <w:tcPr>
            <w:tcW w:w="0" w:type="auto"/>
            <w:tcBorders>
              <w:top w:val="single" w:sz="8" w:space="0" w:color="808080"/>
            </w:tcBorders>
            <w:shd w:val="clear" w:color="auto" w:fill="auto"/>
            <w:tcMar>
              <w:top w:w="40" w:type="dxa"/>
              <w:bottom w:w="40" w:type="dxa"/>
              <w:right w:w="40" w:type="dxa"/>
            </w:tcMar>
            <w:vAlign w:val="bottom"/>
          </w:tcPr>
          <w:p w14:paraId="606F87C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7C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tcMar>
              <w:top w:w="40" w:type="dxa"/>
              <w:bottom w:w="40" w:type="dxa"/>
              <w:right w:w="40" w:type="dxa"/>
            </w:tcMar>
            <w:vAlign w:val="bottom"/>
          </w:tcPr>
          <w:p w14:paraId="606F87D0"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7E0"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7D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INC. EARNINGS BEFORE INTEREST AND TAXES</w:t>
            </w:r>
            <w:r>
              <w:rPr>
                <w:rFonts w:ascii="Arial" w:eastAsia="宋体" w:hAnsi="Arial" w:cs="Arial"/>
                <w:sz w:val="15"/>
                <w:szCs w:val="15"/>
              </w:rPr>
              <w:t>(1)</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7D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1,261</w:t>
            </w:r>
          </w:p>
        </w:tc>
        <w:tc>
          <w:tcPr>
            <w:tcW w:w="0" w:type="auto"/>
            <w:tcBorders>
              <w:top w:val="single" w:sz="8" w:space="0" w:color="E87722"/>
              <w:bottom w:val="single" w:sz="8" w:space="0" w:color="E87722"/>
            </w:tcBorders>
            <w:shd w:val="clear" w:color="auto" w:fill="FFF1E7"/>
            <w:vAlign w:val="bottom"/>
          </w:tcPr>
          <w:p w14:paraId="606F87D4"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7D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1,011</w:t>
            </w:r>
          </w:p>
        </w:tc>
        <w:tc>
          <w:tcPr>
            <w:tcW w:w="0" w:type="auto"/>
            <w:tcBorders>
              <w:top w:val="single" w:sz="8" w:space="0" w:color="E87722"/>
              <w:bottom w:val="single" w:sz="8" w:space="0" w:color="E87722"/>
            </w:tcBorders>
            <w:shd w:val="clear" w:color="auto" w:fill="auto"/>
            <w:vAlign w:val="bottom"/>
          </w:tcPr>
          <w:p w14:paraId="606F87D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D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D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7D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606F87D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2,837</w:t>
            </w:r>
          </w:p>
        </w:tc>
        <w:tc>
          <w:tcPr>
            <w:tcW w:w="0" w:type="auto"/>
            <w:tcBorders>
              <w:top w:val="single" w:sz="8" w:space="0" w:color="E87722"/>
              <w:bottom w:val="single" w:sz="8" w:space="0" w:color="E87722"/>
            </w:tcBorders>
            <w:shd w:val="clear" w:color="auto" w:fill="FFF1E7"/>
            <w:vAlign w:val="bottom"/>
          </w:tcPr>
          <w:p w14:paraId="606F87DB" w14:textId="77777777" w:rsidR="00FB67F9" w:rsidRDefault="00FB67F9">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606F87D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2,292</w:t>
            </w:r>
          </w:p>
        </w:tc>
        <w:tc>
          <w:tcPr>
            <w:tcW w:w="0" w:type="auto"/>
            <w:tcBorders>
              <w:top w:val="single" w:sz="8" w:space="0" w:color="E87722"/>
              <w:bottom w:val="single" w:sz="8" w:space="0" w:color="E87722"/>
            </w:tcBorders>
            <w:shd w:val="clear" w:color="auto" w:fill="auto"/>
            <w:vAlign w:val="bottom"/>
          </w:tcPr>
          <w:p w14:paraId="606F87D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D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D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r w:rsidR="00FB67F9" w14:paraId="606F87EF" w14:textId="77777777">
        <w:tc>
          <w:tcPr>
            <w:tcW w:w="0" w:type="auto"/>
            <w:shd w:val="clear" w:color="auto" w:fill="auto"/>
            <w:tcMar>
              <w:top w:w="40" w:type="dxa"/>
              <w:left w:w="40" w:type="dxa"/>
              <w:bottom w:w="40" w:type="dxa"/>
              <w:right w:w="40" w:type="dxa"/>
            </w:tcMar>
            <w:vAlign w:val="bottom"/>
          </w:tcPr>
          <w:p w14:paraId="606F87E1" w14:textId="77777777" w:rsidR="00FB67F9" w:rsidRDefault="00E839DF">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shd w:val="clear" w:color="auto" w:fill="FFF1E7"/>
            <w:tcMar>
              <w:top w:w="40" w:type="dxa"/>
              <w:left w:w="40" w:type="dxa"/>
              <w:bottom w:w="40" w:type="dxa"/>
            </w:tcMar>
            <w:vAlign w:val="bottom"/>
          </w:tcPr>
          <w:p w14:paraId="606F87E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shd w:val="clear" w:color="auto" w:fill="FFF1E7"/>
            <w:vAlign w:val="bottom"/>
          </w:tcPr>
          <w:p w14:paraId="606F87E3"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7E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shd w:val="clear" w:color="auto" w:fill="auto"/>
            <w:vAlign w:val="bottom"/>
          </w:tcPr>
          <w:p w14:paraId="606F87E5"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7E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87E7"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7E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7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w:t>
            </w:r>
          </w:p>
        </w:tc>
        <w:tc>
          <w:tcPr>
            <w:tcW w:w="0" w:type="auto"/>
            <w:shd w:val="clear" w:color="auto" w:fill="FFF1E7"/>
            <w:vAlign w:val="bottom"/>
          </w:tcPr>
          <w:p w14:paraId="606F87EA"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7E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vAlign w:val="bottom"/>
          </w:tcPr>
          <w:p w14:paraId="606F87EC"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7E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87EE" w14:textId="77777777" w:rsidR="00FB67F9" w:rsidRDefault="00FB67F9">
            <w:pPr>
              <w:textAlignment w:val="bottom"/>
              <w:rPr>
                <w:rFonts w:ascii="Times New Roman" w:hAnsi="Times New Roman"/>
                <w:sz w:val="20"/>
                <w:szCs w:val="20"/>
              </w:rPr>
            </w:pPr>
          </w:p>
        </w:tc>
      </w:tr>
      <w:tr w:rsidR="00FB67F9" w14:paraId="606F880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7F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7F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7F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1,249</w:t>
            </w:r>
          </w:p>
        </w:tc>
        <w:tc>
          <w:tcPr>
            <w:tcW w:w="0" w:type="auto"/>
            <w:tcBorders>
              <w:top w:val="single" w:sz="8" w:space="0" w:color="E87722"/>
              <w:bottom w:val="single" w:sz="8" w:space="0" w:color="E87722"/>
            </w:tcBorders>
            <w:shd w:val="clear" w:color="auto" w:fill="FFF1E7"/>
            <w:vAlign w:val="bottom"/>
          </w:tcPr>
          <w:p w14:paraId="606F87F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F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7F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997</w:t>
            </w:r>
          </w:p>
        </w:tc>
        <w:tc>
          <w:tcPr>
            <w:tcW w:w="0" w:type="auto"/>
            <w:tcBorders>
              <w:top w:val="single" w:sz="8" w:space="0" w:color="E87722"/>
              <w:bottom w:val="single" w:sz="8" w:space="0" w:color="E87722"/>
            </w:tcBorders>
            <w:shd w:val="clear" w:color="auto" w:fill="auto"/>
            <w:vAlign w:val="bottom"/>
          </w:tcPr>
          <w:p w14:paraId="606F87F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F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7F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7F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7F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7F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2,810</w:t>
            </w:r>
          </w:p>
        </w:tc>
        <w:tc>
          <w:tcPr>
            <w:tcW w:w="0" w:type="auto"/>
            <w:tcBorders>
              <w:top w:val="single" w:sz="8" w:space="0" w:color="E87722"/>
              <w:bottom w:val="single" w:sz="8" w:space="0" w:color="E87722"/>
            </w:tcBorders>
            <w:shd w:val="clear" w:color="auto" w:fill="FFF1E7"/>
            <w:vAlign w:val="bottom"/>
          </w:tcPr>
          <w:p w14:paraId="606F87F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7F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7F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2,267</w:t>
            </w:r>
          </w:p>
        </w:tc>
        <w:tc>
          <w:tcPr>
            <w:tcW w:w="0" w:type="auto"/>
            <w:tcBorders>
              <w:top w:val="single" w:sz="8" w:space="0" w:color="E87722"/>
              <w:bottom w:val="single" w:sz="8" w:space="0" w:color="E87722"/>
            </w:tcBorders>
            <w:shd w:val="clear" w:color="auto" w:fill="auto"/>
            <w:vAlign w:val="bottom"/>
          </w:tcPr>
          <w:p w14:paraId="606F87F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0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0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bl>
    <w:p w14:paraId="606F8803"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806" w14:textId="77777777">
        <w:trPr>
          <w:tblCellSpacing w:w="0" w:type="dxa"/>
        </w:trPr>
        <w:tc>
          <w:tcPr>
            <w:tcW w:w="480" w:type="dxa"/>
            <w:shd w:val="clear" w:color="auto" w:fill="auto"/>
            <w:vAlign w:val="center"/>
          </w:tcPr>
          <w:p w14:paraId="606F8804" w14:textId="77777777" w:rsidR="00FB67F9" w:rsidRDefault="00FB67F9">
            <w:pPr>
              <w:rPr>
                <w:rFonts w:ascii="Times New Roman" w:hAnsi="Times New Roman"/>
                <w:sz w:val="20"/>
                <w:szCs w:val="20"/>
              </w:rPr>
            </w:pPr>
          </w:p>
        </w:tc>
        <w:tc>
          <w:tcPr>
            <w:tcW w:w="0" w:type="auto"/>
            <w:shd w:val="clear" w:color="auto" w:fill="auto"/>
            <w:vAlign w:val="center"/>
          </w:tcPr>
          <w:p w14:paraId="606F8805" w14:textId="77777777" w:rsidR="00FB67F9" w:rsidRDefault="00FB67F9">
            <w:pPr>
              <w:rPr>
                <w:rFonts w:ascii="Times New Roman" w:hAnsi="Times New Roman"/>
                <w:sz w:val="20"/>
                <w:szCs w:val="20"/>
              </w:rPr>
            </w:pPr>
          </w:p>
        </w:tc>
      </w:tr>
      <w:tr w:rsidR="00FB67F9" w14:paraId="606F8809" w14:textId="77777777">
        <w:trPr>
          <w:tblCellSpacing w:w="0" w:type="dxa"/>
        </w:trPr>
        <w:tc>
          <w:tcPr>
            <w:tcW w:w="0" w:type="auto"/>
            <w:shd w:val="clear" w:color="auto" w:fill="auto"/>
          </w:tcPr>
          <w:p w14:paraId="606F8807"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808"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Total NIKE Brand EBIT and Total NIKE, Inc. EBIT represent non-GAAP financial measures. See "Use of Non-GAAP Financial Measures" for further information.</w:t>
            </w:r>
          </w:p>
        </w:tc>
      </w:tr>
    </w:tbl>
    <w:p w14:paraId="606F880A"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NORTH AMERICA</w:t>
      </w:r>
    </w:p>
    <w:tbl>
      <w:tblPr>
        <w:tblW w:w="5000" w:type="pct"/>
        <w:tblCellMar>
          <w:left w:w="0" w:type="dxa"/>
          <w:right w:w="0" w:type="dxa"/>
        </w:tblCellMar>
        <w:tblLook w:val="04A0" w:firstRow="1" w:lastRow="0" w:firstColumn="1" w:lastColumn="0" w:noHBand="0" w:noVBand="1"/>
      </w:tblPr>
      <w:tblGrid>
        <w:gridCol w:w="3043"/>
        <w:gridCol w:w="125"/>
        <w:gridCol w:w="349"/>
        <w:gridCol w:w="5"/>
        <w:gridCol w:w="125"/>
        <w:gridCol w:w="349"/>
        <w:gridCol w:w="5"/>
        <w:gridCol w:w="542"/>
        <w:gridCol w:w="203"/>
        <w:gridCol w:w="722"/>
        <w:gridCol w:w="165"/>
        <w:gridCol w:w="121"/>
        <w:gridCol w:w="125"/>
        <w:gridCol w:w="349"/>
        <w:gridCol w:w="5"/>
        <w:gridCol w:w="125"/>
        <w:gridCol w:w="349"/>
        <w:gridCol w:w="5"/>
        <w:gridCol w:w="542"/>
        <w:gridCol w:w="165"/>
        <w:gridCol w:w="722"/>
        <w:gridCol w:w="165"/>
      </w:tblGrid>
      <w:tr w:rsidR="00FB67F9" w14:paraId="606F880C" w14:textId="77777777">
        <w:tc>
          <w:tcPr>
            <w:tcW w:w="0" w:type="auto"/>
            <w:gridSpan w:val="22"/>
            <w:shd w:val="clear" w:color="auto" w:fill="auto"/>
            <w:vAlign w:val="center"/>
          </w:tcPr>
          <w:p w14:paraId="606F880B" w14:textId="77777777" w:rsidR="00FB67F9" w:rsidRDefault="00FB67F9">
            <w:pPr>
              <w:rPr>
                <w:rFonts w:ascii="Times New Roman" w:hAnsi="Times New Roman"/>
                <w:sz w:val="20"/>
                <w:szCs w:val="20"/>
              </w:rPr>
            </w:pPr>
          </w:p>
        </w:tc>
      </w:tr>
      <w:tr w:rsidR="00FB67F9" w14:paraId="606F8823" w14:textId="77777777">
        <w:tc>
          <w:tcPr>
            <w:tcW w:w="1350" w:type="pct"/>
            <w:shd w:val="clear" w:color="auto" w:fill="auto"/>
            <w:vAlign w:val="center"/>
          </w:tcPr>
          <w:p w14:paraId="606F880D" w14:textId="77777777" w:rsidR="00FB67F9" w:rsidRDefault="00FB67F9">
            <w:pPr>
              <w:rPr>
                <w:rFonts w:ascii="Times New Roman" w:hAnsi="Times New Roman"/>
                <w:sz w:val="20"/>
                <w:szCs w:val="20"/>
              </w:rPr>
            </w:pPr>
          </w:p>
        </w:tc>
        <w:tc>
          <w:tcPr>
            <w:tcW w:w="50" w:type="pct"/>
            <w:shd w:val="clear" w:color="auto" w:fill="auto"/>
            <w:vAlign w:val="center"/>
          </w:tcPr>
          <w:p w14:paraId="606F880E" w14:textId="77777777" w:rsidR="00FB67F9" w:rsidRDefault="00FB67F9">
            <w:pPr>
              <w:rPr>
                <w:rFonts w:ascii="Times New Roman" w:hAnsi="Times New Roman"/>
                <w:sz w:val="20"/>
                <w:szCs w:val="20"/>
              </w:rPr>
            </w:pPr>
          </w:p>
        </w:tc>
        <w:tc>
          <w:tcPr>
            <w:tcW w:w="350" w:type="pct"/>
            <w:shd w:val="clear" w:color="auto" w:fill="auto"/>
            <w:vAlign w:val="center"/>
          </w:tcPr>
          <w:p w14:paraId="606F880F" w14:textId="77777777" w:rsidR="00FB67F9" w:rsidRDefault="00FB67F9">
            <w:pPr>
              <w:rPr>
                <w:rFonts w:ascii="Times New Roman" w:hAnsi="Times New Roman"/>
                <w:sz w:val="20"/>
                <w:szCs w:val="20"/>
              </w:rPr>
            </w:pPr>
          </w:p>
        </w:tc>
        <w:tc>
          <w:tcPr>
            <w:tcW w:w="50" w:type="pct"/>
            <w:shd w:val="clear" w:color="auto" w:fill="auto"/>
            <w:vAlign w:val="center"/>
          </w:tcPr>
          <w:p w14:paraId="606F8810" w14:textId="77777777" w:rsidR="00FB67F9" w:rsidRDefault="00FB67F9">
            <w:pPr>
              <w:rPr>
                <w:rFonts w:ascii="Times New Roman" w:hAnsi="Times New Roman"/>
                <w:sz w:val="20"/>
                <w:szCs w:val="20"/>
              </w:rPr>
            </w:pPr>
          </w:p>
        </w:tc>
        <w:tc>
          <w:tcPr>
            <w:tcW w:w="50" w:type="pct"/>
            <w:shd w:val="clear" w:color="auto" w:fill="auto"/>
            <w:vAlign w:val="center"/>
          </w:tcPr>
          <w:p w14:paraId="606F8811" w14:textId="77777777" w:rsidR="00FB67F9" w:rsidRDefault="00FB67F9">
            <w:pPr>
              <w:rPr>
                <w:rFonts w:ascii="Times New Roman" w:hAnsi="Times New Roman"/>
                <w:sz w:val="20"/>
                <w:szCs w:val="20"/>
              </w:rPr>
            </w:pPr>
          </w:p>
        </w:tc>
        <w:tc>
          <w:tcPr>
            <w:tcW w:w="350" w:type="pct"/>
            <w:shd w:val="clear" w:color="auto" w:fill="auto"/>
            <w:vAlign w:val="center"/>
          </w:tcPr>
          <w:p w14:paraId="606F8812" w14:textId="77777777" w:rsidR="00FB67F9" w:rsidRDefault="00FB67F9">
            <w:pPr>
              <w:rPr>
                <w:rFonts w:ascii="Times New Roman" w:hAnsi="Times New Roman"/>
                <w:sz w:val="20"/>
                <w:szCs w:val="20"/>
              </w:rPr>
            </w:pPr>
          </w:p>
        </w:tc>
        <w:tc>
          <w:tcPr>
            <w:tcW w:w="50" w:type="pct"/>
            <w:shd w:val="clear" w:color="auto" w:fill="auto"/>
            <w:vAlign w:val="center"/>
          </w:tcPr>
          <w:p w14:paraId="606F8813" w14:textId="77777777" w:rsidR="00FB67F9" w:rsidRDefault="00FB67F9">
            <w:pPr>
              <w:rPr>
                <w:rFonts w:ascii="Times New Roman" w:hAnsi="Times New Roman"/>
                <w:sz w:val="20"/>
                <w:szCs w:val="20"/>
              </w:rPr>
            </w:pPr>
          </w:p>
        </w:tc>
        <w:tc>
          <w:tcPr>
            <w:tcW w:w="400" w:type="pct"/>
            <w:shd w:val="clear" w:color="auto" w:fill="auto"/>
            <w:vAlign w:val="center"/>
          </w:tcPr>
          <w:p w14:paraId="606F8814" w14:textId="77777777" w:rsidR="00FB67F9" w:rsidRDefault="00FB67F9">
            <w:pPr>
              <w:rPr>
                <w:rFonts w:ascii="Times New Roman" w:hAnsi="Times New Roman"/>
                <w:sz w:val="20"/>
                <w:szCs w:val="20"/>
              </w:rPr>
            </w:pPr>
          </w:p>
        </w:tc>
        <w:tc>
          <w:tcPr>
            <w:tcW w:w="50" w:type="pct"/>
            <w:shd w:val="clear" w:color="auto" w:fill="auto"/>
            <w:vAlign w:val="center"/>
          </w:tcPr>
          <w:p w14:paraId="606F8815" w14:textId="77777777" w:rsidR="00FB67F9" w:rsidRDefault="00FB67F9">
            <w:pPr>
              <w:rPr>
                <w:rFonts w:ascii="Times New Roman" w:hAnsi="Times New Roman"/>
                <w:sz w:val="20"/>
                <w:szCs w:val="20"/>
              </w:rPr>
            </w:pPr>
          </w:p>
        </w:tc>
        <w:tc>
          <w:tcPr>
            <w:tcW w:w="400" w:type="pct"/>
            <w:shd w:val="clear" w:color="auto" w:fill="auto"/>
            <w:vAlign w:val="center"/>
          </w:tcPr>
          <w:p w14:paraId="606F8816" w14:textId="77777777" w:rsidR="00FB67F9" w:rsidRDefault="00FB67F9">
            <w:pPr>
              <w:rPr>
                <w:rFonts w:ascii="Times New Roman" w:hAnsi="Times New Roman"/>
                <w:sz w:val="20"/>
                <w:szCs w:val="20"/>
              </w:rPr>
            </w:pPr>
          </w:p>
        </w:tc>
        <w:tc>
          <w:tcPr>
            <w:tcW w:w="50" w:type="pct"/>
            <w:shd w:val="clear" w:color="auto" w:fill="auto"/>
            <w:vAlign w:val="center"/>
          </w:tcPr>
          <w:p w14:paraId="606F8817" w14:textId="77777777" w:rsidR="00FB67F9" w:rsidRDefault="00FB67F9">
            <w:pPr>
              <w:rPr>
                <w:rFonts w:ascii="Times New Roman" w:hAnsi="Times New Roman"/>
                <w:sz w:val="20"/>
                <w:szCs w:val="20"/>
              </w:rPr>
            </w:pPr>
          </w:p>
        </w:tc>
        <w:tc>
          <w:tcPr>
            <w:tcW w:w="50" w:type="pct"/>
            <w:shd w:val="clear" w:color="auto" w:fill="auto"/>
            <w:vAlign w:val="center"/>
          </w:tcPr>
          <w:p w14:paraId="606F8818" w14:textId="77777777" w:rsidR="00FB67F9" w:rsidRDefault="00FB67F9">
            <w:pPr>
              <w:rPr>
                <w:rFonts w:ascii="Times New Roman" w:hAnsi="Times New Roman"/>
                <w:sz w:val="20"/>
                <w:szCs w:val="20"/>
              </w:rPr>
            </w:pPr>
          </w:p>
        </w:tc>
        <w:tc>
          <w:tcPr>
            <w:tcW w:w="50" w:type="pct"/>
            <w:shd w:val="clear" w:color="auto" w:fill="auto"/>
            <w:vAlign w:val="center"/>
          </w:tcPr>
          <w:p w14:paraId="606F8819" w14:textId="77777777" w:rsidR="00FB67F9" w:rsidRDefault="00FB67F9">
            <w:pPr>
              <w:rPr>
                <w:rFonts w:ascii="Times New Roman" w:hAnsi="Times New Roman"/>
                <w:sz w:val="20"/>
                <w:szCs w:val="20"/>
              </w:rPr>
            </w:pPr>
          </w:p>
        </w:tc>
        <w:tc>
          <w:tcPr>
            <w:tcW w:w="350" w:type="pct"/>
            <w:shd w:val="clear" w:color="auto" w:fill="auto"/>
            <w:vAlign w:val="center"/>
          </w:tcPr>
          <w:p w14:paraId="606F881A" w14:textId="77777777" w:rsidR="00FB67F9" w:rsidRDefault="00FB67F9">
            <w:pPr>
              <w:rPr>
                <w:rFonts w:ascii="Times New Roman" w:hAnsi="Times New Roman"/>
                <w:sz w:val="20"/>
                <w:szCs w:val="20"/>
              </w:rPr>
            </w:pPr>
          </w:p>
        </w:tc>
        <w:tc>
          <w:tcPr>
            <w:tcW w:w="50" w:type="pct"/>
            <w:shd w:val="clear" w:color="auto" w:fill="auto"/>
            <w:vAlign w:val="center"/>
          </w:tcPr>
          <w:p w14:paraId="606F881B" w14:textId="77777777" w:rsidR="00FB67F9" w:rsidRDefault="00FB67F9">
            <w:pPr>
              <w:rPr>
                <w:rFonts w:ascii="Times New Roman" w:hAnsi="Times New Roman"/>
                <w:sz w:val="20"/>
                <w:szCs w:val="20"/>
              </w:rPr>
            </w:pPr>
          </w:p>
        </w:tc>
        <w:tc>
          <w:tcPr>
            <w:tcW w:w="50" w:type="pct"/>
            <w:shd w:val="clear" w:color="auto" w:fill="auto"/>
            <w:vAlign w:val="center"/>
          </w:tcPr>
          <w:p w14:paraId="606F881C" w14:textId="77777777" w:rsidR="00FB67F9" w:rsidRDefault="00FB67F9">
            <w:pPr>
              <w:rPr>
                <w:rFonts w:ascii="Times New Roman" w:hAnsi="Times New Roman"/>
                <w:sz w:val="20"/>
                <w:szCs w:val="20"/>
              </w:rPr>
            </w:pPr>
          </w:p>
        </w:tc>
        <w:tc>
          <w:tcPr>
            <w:tcW w:w="350" w:type="pct"/>
            <w:shd w:val="clear" w:color="auto" w:fill="auto"/>
            <w:vAlign w:val="center"/>
          </w:tcPr>
          <w:p w14:paraId="606F881D" w14:textId="77777777" w:rsidR="00FB67F9" w:rsidRDefault="00FB67F9">
            <w:pPr>
              <w:rPr>
                <w:rFonts w:ascii="Times New Roman" w:hAnsi="Times New Roman"/>
                <w:sz w:val="20"/>
                <w:szCs w:val="20"/>
              </w:rPr>
            </w:pPr>
          </w:p>
        </w:tc>
        <w:tc>
          <w:tcPr>
            <w:tcW w:w="50" w:type="pct"/>
            <w:shd w:val="clear" w:color="auto" w:fill="auto"/>
            <w:vAlign w:val="center"/>
          </w:tcPr>
          <w:p w14:paraId="606F881E" w14:textId="77777777" w:rsidR="00FB67F9" w:rsidRDefault="00FB67F9">
            <w:pPr>
              <w:rPr>
                <w:rFonts w:ascii="Times New Roman" w:hAnsi="Times New Roman"/>
                <w:sz w:val="20"/>
                <w:szCs w:val="20"/>
              </w:rPr>
            </w:pPr>
          </w:p>
        </w:tc>
        <w:tc>
          <w:tcPr>
            <w:tcW w:w="400" w:type="pct"/>
            <w:shd w:val="clear" w:color="auto" w:fill="auto"/>
            <w:vAlign w:val="center"/>
          </w:tcPr>
          <w:p w14:paraId="606F881F" w14:textId="77777777" w:rsidR="00FB67F9" w:rsidRDefault="00FB67F9">
            <w:pPr>
              <w:rPr>
                <w:rFonts w:ascii="Times New Roman" w:hAnsi="Times New Roman"/>
                <w:sz w:val="20"/>
                <w:szCs w:val="20"/>
              </w:rPr>
            </w:pPr>
          </w:p>
        </w:tc>
        <w:tc>
          <w:tcPr>
            <w:tcW w:w="50" w:type="pct"/>
            <w:shd w:val="clear" w:color="auto" w:fill="auto"/>
            <w:vAlign w:val="center"/>
          </w:tcPr>
          <w:p w14:paraId="606F8820" w14:textId="77777777" w:rsidR="00FB67F9" w:rsidRDefault="00FB67F9">
            <w:pPr>
              <w:rPr>
                <w:rFonts w:ascii="Times New Roman" w:hAnsi="Times New Roman"/>
                <w:sz w:val="20"/>
                <w:szCs w:val="20"/>
              </w:rPr>
            </w:pPr>
          </w:p>
        </w:tc>
        <w:tc>
          <w:tcPr>
            <w:tcW w:w="400" w:type="pct"/>
            <w:shd w:val="clear" w:color="auto" w:fill="auto"/>
            <w:vAlign w:val="center"/>
          </w:tcPr>
          <w:p w14:paraId="606F8821" w14:textId="77777777" w:rsidR="00FB67F9" w:rsidRDefault="00FB67F9">
            <w:pPr>
              <w:rPr>
                <w:rFonts w:ascii="Times New Roman" w:hAnsi="Times New Roman"/>
                <w:sz w:val="20"/>
                <w:szCs w:val="20"/>
              </w:rPr>
            </w:pPr>
          </w:p>
        </w:tc>
        <w:tc>
          <w:tcPr>
            <w:tcW w:w="50" w:type="pct"/>
            <w:shd w:val="clear" w:color="auto" w:fill="auto"/>
            <w:vAlign w:val="center"/>
          </w:tcPr>
          <w:p w14:paraId="606F8822" w14:textId="77777777" w:rsidR="00FB67F9" w:rsidRDefault="00FB67F9">
            <w:pPr>
              <w:rPr>
                <w:rFonts w:ascii="Times New Roman" w:hAnsi="Times New Roman"/>
                <w:sz w:val="20"/>
                <w:szCs w:val="20"/>
              </w:rPr>
            </w:pPr>
          </w:p>
        </w:tc>
      </w:tr>
      <w:tr w:rsidR="00FB67F9" w14:paraId="606F8828" w14:textId="77777777">
        <w:tc>
          <w:tcPr>
            <w:tcW w:w="0" w:type="auto"/>
            <w:shd w:val="clear" w:color="auto" w:fill="auto"/>
            <w:tcMar>
              <w:top w:w="40" w:type="dxa"/>
              <w:left w:w="40" w:type="dxa"/>
              <w:bottom w:w="40" w:type="dxa"/>
              <w:right w:w="40" w:type="dxa"/>
            </w:tcMar>
            <w:vAlign w:val="bottom"/>
          </w:tcPr>
          <w:p w14:paraId="606F8824" w14:textId="77777777" w:rsidR="00FB67F9" w:rsidRDefault="00FB67F9">
            <w:pPr>
              <w:textAlignment w:val="bottom"/>
              <w:rPr>
                <w:rFonts w:ascii="Times New Roman" w:hAnsi="Times New Roman"/>
                <w:sz w:val="17"/>
                <w:szCs w:val="17"/>
              </w:rPr>
            </w:pPr>
          </w:p>
        </w:tc>
        <w:tc>
          <w:tcPr>
            <w:tcW w:w="0" w:type="auto"/>
            <w:gridSpan w:val="10"/>
            <w:tcBorders>
              <w:bottom w:val="single" w:sz="8" w:space="0" w:color="E87722"/>
            </w:tcBorders>
            <w:shd w:val="clear" w:color="auto" w:fill="auto"/>
            <w:tcMar>
              <w:top w:w="40" w:type="dxa"/>
              <w:left w:w="40" w:type="dxa"/>
              <w:bottom w:w="40" w:type="dxa"/>
            </w:tcMar>
            <w:vAlign w:val="bottom"/>
          </w:tcPr>
          <w:p w14:paraId="606F8825"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82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82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83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829"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2A"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2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82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82D"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82E"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82F"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83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3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3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83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83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83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836" w14:textId="77777777" w:rsidR="00FB67F9" w:rsidRDefault="00FB67F9">
            <w:pPr>
              <w:textAlignment w:val="bottom"/>
              <w:rPr>
                <w:rFonts w:ascii="Times New Roman" w:hAnsi="Times New Roman"/>
                <w:sz w:val="20"/>
                <w:szCs w:val="20"/>
              </w:rPr>
            </w:pPr>
          </w:p>
        </w:tc>
      </w:tr>
      <w:tr w:rsidR="00FB67F9" w14:paraId="606F8842" w14:textId="77777777">
        <w:tc>
          <w:tcPr>
            <w:tcW w:w="0" w:type="auto"/>
            <w:shd w:val="clear" w:color="auto" w:fill="auto"/>
            <w:tcMar>
              <w:top w:w="40" w:type="dxa"/>
              <w:left w:w="40" w:type="dxa"/>
              <w:bottom w:w="40" w:type="dxa"/>
              <w:right w:w="40" w:type="dxa"/>
            </w:tcMar>
            <w:vAlign w:val="bottom"/>
          </w:tcPr>
          <w:p w14:paraId="606F8838"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83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83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83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83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83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83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83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8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84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85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843"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884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8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2,426</w:t>
            </w:r>
          </w:p>
        </w:tc>
        <w:tc>
          <w:tcPr>
            <w:tcW w:w="0" w:type="auto"/>
            <w:tcBorders>
              <w:top w:val="single" w:sz="8" w:space="0" w:color="808080"/>
            </w:tcBorders>
            <w:shd w:val="clear" w:color="auto" w:fill="FFF1E7"/>
            <w:vAlign w:val="bottom"/>
          </w:tcPr>
          <w:p w14:paraId="606F8846"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84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84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2,245</w:t>
            </w:r>
          </w:p>
        </w:tc>
        <w:tc>
          <w:tcPr>
            <w:tcW w:w="0" w:type="auto"/>
            <w:tcBorders>
              <w:top w:val="single" w:sz="8" w:space="0" w:color="808080"/>
            </w:tcBorders>
            <w:shd w:val="clear" w:color="auto" w:fill="auto"/>
            <w:vAlign w:val="bottom"/>
          </w:tcPr>
          <w:p w14:paraId="606F8849"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84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606F884B"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8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606F884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84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884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8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5,095</w:t>
            </w:r>
          </w:p>
        </w:tc>
        <w:tc>
          <w:tcPr>
            <w:tcW w:w="0" w:type="auto"/>
            <w:tcBorders>
              <w:top w:val="single" w:sz="8" w:space="0" w:color="808080"/>
            </w:tcBorders>
            <w:shd w:val="clear" w:color="auto" w:fill="FFF1E7"/>
            <w:vAlign w:val="bottom"/>
          </w:tcPr>
          <w:p w14:paraId="606F8851"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85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85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4,800</w:t>
            </w:r>
          </w:p>
        </w:tc>
        <w:tc>
          <w:tcPr>
            <w:tcW w:w="0" w:type="auto"/>
            <w:tcBorders>
              <w:top w:val="single" w:sz="8" w:space="0" w:color="808080"/>
            </w:tcBorders>
            <w:shd w:val="clear" w:color="auto" w:fill="auto"/>
            <w:vAlign w:val="bottom"/>
          </w:tcPr>
          <w:p w14:paraId="606F8854"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85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606F885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8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606F885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86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85A"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85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1,417</w:t>
            </w:r>
          </w:p>
        </w:tc>
        <w:tc>
          <w:tcPr>
            <w:tcW w:w="0" w:type="auto"/>
            <w:tcBorders>
              <w:top w:val="single" w:sz="8" w:space="0" w:color="808080"/>
              <w:bottom w:val="single" w:sz="8" w:space="0" w:color="808080"/>
            </w:tcBorders>
            <w:shd w:val="clear" w:color="auto" w:fill="FFF1E7"/>
            <w:vAlign w:val="bottom"/>
          </w:tcPr>
          <w:p w14:paraId="606F885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85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1,405</w:t>
            </w:r>
          </w:p>
        </w:tc>
        <w:tc>
          <w:tcPr>
            <w:tcW w:w="0" w:type="auto"/>
            <w:tcBorders>
              <w:top w:val="single" w:sz="8" w:space="0" w:color="808080"/>
              <w:bottom w:val="single" w:sz="8" w:space="0" w:color="808080"/>
            </w:tcBorders>
            <w:shd w:val="clear" w:color="auto" w:fill="auto"/>
            <w:vAlign w:val="bottom"/>
          </w:tcPr>
          <w:p w14:paraId="606F885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5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60"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6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6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86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8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2,848</w:t>
            </w:r>
          </w:p>
        </w:tc>
        <w:tc>
          <w:tcPr>
            <w:tcW w:w="0" w:type="auto"/>
            <w:tcBorders>
              <w:top w:val="single" w:sz="8" w:space="0" w:color="808080"/>
              <w:bottom w:val="single" w:sz="8" w:space="0" w:color="808080"/>
            </w:tcBorders>
            <w:shd w:val="clear" w:color="auto" w:fill="FFF1E7"/>
            <w:vAlign w:val="bottom"/>
          </w:tcPr>
          <w:p w14:paraId="606F8865"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8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2,812</w:t>
            </w:r>
          </w:p>
        </w:tc>
        <w:tc>
          <w:tcPr>
            <w:tcW w:w="0" w:type="auto"/>
            <w:tcBorders>
              <w:top w:val="single" w:sz="8" w:space="0" w:color="808080"/>
              <w:bottom w:val="single" w:sz="8" w:space="0" w:color="808080"/>
            </w:tcBorders>
            <w:shd w:val="clear" w:color="auto" w:fill="auto"/>
            <w:vAlign w:val="bottom"/>
          </w:tcPr>
          <w:p w14:paraId="606F886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6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6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6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87F" w14:textId="77777777">
        <w:tc>
          <w:tcPr>
            <w:tcW w:w="0" w:type="auto"/>
            <w:shd w:val="clear" w:color="auto" w:fill="auto"/>
            <w:tcMar>
              <w:top w:w="40" w:type="dxa"/>
              <w:left w:w="240" w:type="dxa"/>
              <w:bottom w:w="40" w:type="dxa"/>
              <w:right w:w="40" w:type="dxa"/>
            </w:tcMar>
            <w:vAlign w:val="bottom"/>
          </w:tcPr>
          <w:p w14:paraId="606F886D" w14:textId="77777777" w:rsidR="00FB67F9" w:rsidRDefault="00E839DF">
            <w:pPr>
              <w:textAlignment w:val="bottom"/>
              <w:rPr>
                <w:rFonts w:ascii="Times New Roman" w:hAnsi="Times New Roman"/>
                <w:sz w:val="17"/>
                <w:szCs w:val="17"/>
              </w:rPr>
            </w:pPr>
            <w:r>
              <w:rPr>
                <w:rFonts w:ascii="Arial" w:eastAsia="宋体" w:hAnsi="Arial" w:cs="Arial"/>
                <w:sz w:val="17"/>
                <w:szCs w:val="17"/>
              </w:rPr>
              <w:t>Equi</w:t>
            </w:r>
            <w:r>
              <w:rPr>
                <w:rFonts w:ascii="Arial" w:eastAsia="宋体" w:hAnsi="Arial" w:cs="Arial"/>
                <w:sz w:val="17"/>
                <w:szCs w:val="17"/>
              </w:rPr>
              <w:t>pment</w:t>
            </w:r>
          </w:p>
        </w:tc>
        <w:tc>
          <w:tcPr>
            <w:tcW w:w="0" w:type="auto"/>
            <w:gridSpan w:val="2"/>
            <w:shd w:val="clear" w:color="auto" w:fill="FFF1E7"/>
            <w:tcMar>
              <w:top w:w="40" w:type="dxa"/>
              <w:left w:w="40" w:type="dxa"/>
              <w:bottom w:w="40" w:type="dxa"/>
            </w:tcMar>
            <w:vAlign w:val="bottom"/>
          </w:tcPr>
          <w:p w14:paraId="606F886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139</w:t>
            </w:r>
          </w:p>
        </w:tc>
        <w:tc>
          <w:tcPr>
            <w:tcW w:w="0" w:type="auto"/>
            <w:shd w:val="clear" w:color="auto" w:fill="FFF1E7"/>
            <w:vAlign w:val="bottom"/>
          </w:tcPr>
          <w:p w14:paraId="606F886F"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87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132</w:t>
            </w:r>
          </w:p>
        </w:tc>
        <w:tc>
          <w:tcPr>
            <w:tcW w:w="0" w:type="auto"/>
            <w:shd w:val="clear" w:color="auto" w:fill="auto"/>
            <w:vAlign w:val="bottom"/>
          </w:tcPr>
          <w:p w14:paraId="606F8871"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87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606F8873"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87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87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87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87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332</w:t>
            </w:r>
          </w:p>
        </w:tc>
        <w:tc>
          <w:tcPr>
            <w:tcW w:w="0" w:type="auto"/>
            <w:shd w:val="clear" w:color="auto" w:fill="FFF1E7"/>
            <w:vAlign w:val="bottom"/>
          </w:tcPr>
          <w:p w14:paraId="606F8878"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87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315</w:t>
            </w:r>
          </w:p>
        </w:tc>
        <w:tc>
          <w:tcPr>
            <w:tcW w:w="0" w:type="auto"/>
            <w:shd w:val="clear" w:color="auto" w:fill="auto"/>
            <w:vAlign w:val="bottom"/>
          </w:tcPr>
          <w:p w14:paraId="606F887A"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87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606F887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87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606F887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896"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8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88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88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3,982</w:t>
            </w:r>
          </w:p>
        </w:tc>
        <w:tc>
          <w:tcPr>
            <w:tcW w:w="0" w:type="auto"/>
            <w:tcBorders>
              <w:top w:val="single" w:sz="8" w:space="0" w:color="E87722"/>
              <w:bottom w:val="single" w:sz="8" w:space="0" w:color="E87722"/>
            </w:tcBorders>
            <w:shd w:val="clear" w:color="auto" w:fill="FFF1E7"/>
            <w:vAlign w:val="bottom"/>
          </w:tcPr>
          <w:p w14:paraId="606F888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8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88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3,782</w:t>
            </w:r>
          </w:p>
        </w:tc>
        <w:tc>
          <w:tcPr>
            <w:tcW w:w="0" w:type="auto"/>
            <w:tcBorders>
              <w:top w:val="single" w:sz="8" w:space="0" w:color="E87722"/>
              <w:bottom w:val="single" w:sz="8" w:space="0" w:color="E87722"/>
            </w:tcBorders>
            <w:shd w:val="clear" w:color="auto" w:fill="auto"/>
            <w:vAlign w:val="bottom"/>
          </w:tcPr>
          <w:p w14:paraId="606F888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8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8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8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8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8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88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88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8,275</w:t>
            </w:r>
          </w:p>
        </w:tc>
        <w:tc>
          <w:tcPr>
            <w:tcW w:w="0" w:type="auto"/>
            <w:tcBorders>
              <w:top w:val="single" w:sz="8" w:space="0" w:color="E87722"/>
              <w:bottom w:val="single" w:sz="8" w:space="0" w:color="E87722"/>
            </w:tcBorders>
            <w:shd w:val="clear" w:color="auto" w:fill="FFF1E7"/>
            <w:vAlign w:val="bottom"/>
          </w:tcPr>
          <w:p w14:paraId="606F888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8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89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7,927</w:t>
            </w:r>
          </w:p>
        </w:tc>
        <w:tc>
          <w:tcPr>
            <w:tcW w:w="0" w:type="auto"/>
            <w:tcBorders>
              <w:top w:val="single" w:sz="8" w:space="0" w:color="E87722"/>
              <w:bottom w:val="single" w:sz="8" w:space="0" w:color="E87722"/>
            </w:tcBorders>
            <w:shd w:val="clear" w:color="auto" w:fill="auto"/>
            <w:vAlign w:val="bottom"/>
          </w:tcPr>
          <w:p w14:paraId="606F889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9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9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9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9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8A1" w14:textId="77777777">
        <w:tc>
          <w:tcPr>
            <w:tcW w:w="0" w:type="auto"/>
            <w:shd w:val="clear" w:color="auto" w:fill="auto"/>
            <w:tcMar>
              <w:top w:w="40" w:type="dxa"/>
              <w:left w:w="40" w:type="dxa"/>
              <w:bottom w:w="40" w:type="dxa"/>
              <w:right w:w="40" w:type="dxa"/>
            </w:tcMar>
            <w:vAlign w:val="bottom"/>
          </w:tcPr>
          <w:p w14:paraId="606F8897"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898"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606F8899"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606F889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89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89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89D"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606F889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606F889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8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8B8"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8A2"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8A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8A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2,734</w:t>
            </w:r>
          </w:p>
        </w:tc>
        <w:tc>
          <w:tcPr>
            <w:tcW w:w="0" w:type="auto"/>
            <w:tcBorders>
              <w:top w:val="single" w:sz="8" w:space="0" w:color="808080"/>
              <w:bottom w:val="single" w:sz="8" w:space="0" w:color="808080"/>
            </w:tcBorders>
            <w:shd w:val="clear" w:color="auto" w:fill="FFF1E7"/>
            <w:vAlign w:val="bottom"/>
          </w:tcPr>
          <w:p w14:paraId="606F88A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A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8A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2,655</w:t>
            </w:r>
          </w:p>
        </w:tc>
        <w:tc>
          <w:tcPr>
            <w:tcW w:w="0" w:type="auto"/>
            <w:tcBorders>
              <w:top w:val="single" w:sz="8" w:space="0" w:color="808080"/>
              <w:bottom w:val="single" w:sz="8" w:space="0" w:color="808080"/>
            </w:tcBorders>
            <w:shd w:val="clear" w:color="auto" w:fill="auto"/>
            <w:vAlign w:val="bottom"/>
          </w:tcPr>
          <w:p w14:paraId="606F88A8"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A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AA"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A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8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8A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8A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5,598</w:t>
            </w:r>
          </w:p>
        </w:tc>
        <w:tc>
          <w:tcPr>
            <w:tcW w:w="0" w:type="auto"/>
            <w:tcBorders>
              <w:top w:val="single" w:sz="8" w:space="0" w:color="808080"/>
              <w:bottom w:val="single" w:sz="8" w:space="0" w:color="808080"/>
            </w:tcBorders>
            <w:shd w:val="clear" w:color="auto" w:fill="FFF1E7"/>
            <w:vAlign w:val="bottom"/>
          </w:tcPr>
          <w:p w14:paraId="606F88B0"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8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5,484</w:t>
            </w:r>
          </w:p>
        </w:tc>
        <w:tc>
          <w:tcPr>
            <w:tcW w:w="0" w:type="auto"/>
            <w:tcBorders>
              <w:top w:val="single" w:sz="8" w:space="0" w:color="808080"/>
              <w:bottom w:val="single" w:sz="8" w:space="0" w:color="808080"/>
            </w:tcBorders>
            <w:shd w:val="clear" w:color="auto" w:fill="auto"/>
            <w:vAlign w:val="bottom"/>
          </w:tcPr>
          <w:p w14:paraId="606F88B3"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B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8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8B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8CB" w14:textId="77777777">
        <w:tc>
          <w:tcPr>
            <w:tcW w:w="0" w:type="auto"/>
            <w:shd w:val="clear" w:color="auto" w:fill="auto"/>
            <w:tcMar>
              <w:top w:w="40" w:type="dxa"/>
              <w:left w:w="240" w:type="dxa"/>
              <w:bottom w:w="40" w:type="dxa"/>
              <w:right w:w="40" w:type="dxa"/>
            </w:tcMar>
            <w:vAlign w:val="bottom"/>
          </w:tcPr>
          <w:p w14:paraId="606F88B9"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606F88B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1,248</w:t>
            </w:r>
          </w:p>
        </w:tc>
        <w:tc>
          <w:tcPr>
            <w:tcW w:w="0" w:type="auto"/>
            <w:shd w:val="clear" w:color="auto" w:fill="FFF1E7"/>
            <w:vAlign w:val="bottom"/>
          </w:tcPr>
          <w:p w14:paraId="606F88B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8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1,127</w:t>
            </w:r>
          </w:p>
        </w:tc>
        <w:tc>
          <w:tcPr>
            <w:tcW w:w="0" w:type="auto"/>
            <w:shd w:val="clear" w:color="auto" w:fill="auto"/>
            <w:vAlign w:val="bottom"/>
          </w:tcPr>
          <w:p w14:paraId="606F88B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8B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8BF"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8C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8C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8C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8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2,677</w:t>
            </w:r>
          </w:p>
        </w:tc>
        <w:tc>
          <w:tcPr>
            <w:tcW w:w="0" w:type="auto"/>
            <w:shd w:val="clear" w:color="auto" w:fill="FFF1E7"/>
            <w:vAlign w:val="bottom"/>
          </w:tcPr>
          <w:p w14:paraId="606F88C4"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8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2,443</w:t>
            </w:r>
          </w:p>
        </w:tc>
        <w:tc>
          <w:tcPr>
            <w:tcW w:w="0" w:type="auto"/>
            <w:shd w:val="clear" w:color="auto" w:fill="auto"/>
            <w:vAlign w:val="bottom"/>
          </w:tcPr>
          <w:p w14:paraId="606F88C6"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8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606F88C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8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606F88C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8E2"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8C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8C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8C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3,982</w:t>
            </w:r>
          </w:p>
        </w:tc>
        <w:tc>
          <w:tcPr>
            <w:tcW w:w="0" w:type="auto"/>
            <w:tcBorders>
              <w:top w:val="single" w:sz="8" w:space="0" w:color="E87722"/>
              <w:bottom w:val="single" w:sz="8" w:space="0" w:color="E87722"/>
            </w:tcBorders>
            <w:shd w:val="clear" w:color="auto" w:fill="FFF1E7"/>
            <w:vAlign w:val="bottom"/>
          </w:tcPr>
          <w:p w14:paraId="606F88C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D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8D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3,782</w:t>
            </w:r>
          </w:p>
        </w:tc>
        <w:tc>
          <w:tcPr>
            <w:tcW w:w="0" w:type="auto"/>
            <w:tcBorders>
              <w:top w:val="single" w:sz="8" w:space="0" w:color="E87722"/>
              <w:bottom w:val="single" w:sz="8" w:space="0" w:color="E87722"/>
            </w:tcBorders>
            <w:shd w:val="clear" w:color="auto" w:fill="auto"/>
            <w:vAlign w:val="bottom"/>
          </w:tcPr>
          <w:p w14:paraId="606F88D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D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D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D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D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8D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FFF1E7"/>
            <w:tcMar>
              <w:top w:w="40" w:type="dxa"/>
              <w:left w:w="40" w:type="dxa"/>
              <w:bottom w:w="40" w:type="dxa"/>
            </w:tcMar>
            <w:vAlign w:val="bottom"/>
          </w:tcPr>
          <w:p w14:paraId="606F88D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FFF1E7"/>
            <w:tcMar>
              <w:top w:w="40" w:type="dxa"/>
              <w:bottom w:w="40" w:type="dxa"/>
            </w:tcMar>
            <w:vAlign w:val="bottom"/>
          </w:tcPr>
          <w:p w14:paraId="606F88D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8,275</w:t>
            </w:r>
          </w:p>
        </w:tc>
        <w:tc>
          <w:tcPr>
            <w:tcW w:w="0" w:type="auto"/>
            <w:tcBorders>
              <w:top w:val="single" w:sz="8" w:space="0" w:color="E87722"/>
            </w:tcBorders>
            <w:shd w:val="clear" w:color="auto" w:fill="FFF1E7"/>
            <w:vAlign w:val="bottom"/>
          </w:tcPr>
          <w:p w14:paraId="606F88DA"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8D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606F88D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7,927</w:t>
            </w:r>
          </w:p>
        </w:tc>
        <w:tc>
          <w:tcPr>
            <w:tcW w:w="0" w:type="auto"/>
            <w:tcBorders>
              <w:top w:val="single" w:sz="8" w:space="0" w:color="E87722"/>
            </w:tcBorders>
            <w:shd w:val="clear" w:color="auto" w:fill="auto"/>
            <w:vAlign w:val="bottom"/>
          </w:tcPr>
          <w:p w14:paraId="606F88DD"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8D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tcBorders>
            <w:shd w:val="clear" w:color="auto" w:fill="auto"/>
            <w:tcMar>
              <w:top w:w="40" w:type="dxa"/>
              <w:bottom w:w="40" w:type="dxa"/>
              <w:right w:w="40" w:type="dxa"/>
            </w:tcMar>
            <w:vAlign w:val="bottom"/>
          </w:tcPr>
          <w:p w14:paraId="606F88D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E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E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8F7"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E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8E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8E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875</w:t>
            </w:r>
          </w:p>
        </w:tc>
        <w:tc>
          <w:tcPr>
            <w:tcW w:w="0" w:type="auto"/>
            <w:tcBorders>
              <w:top w:val="single" w:sz="8" w:space="0" w:color="E87722"/>
              <w:bottom w:val="single" w:sz="8" w:space="0" w:color="E87722"/>
            </w:tcBorders>
            <w:shd w:val="clear" w:color="auto" w:fill="FFF1E7"/>
            <w:vAlign w:val="bottom"/>
          </w:tcPr>
          <w:p w14:paraId="606F88E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E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8E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884</w:t>
            </w:r>
          </w:p>
        </w:tc>
        <w:tc>
          <w:tcPr>
            <w:tcW w:w="0" w:type="auto"/>
            <w:tcBorders>
              <w:top w:val="single" w:sz="8" w:space="0" w:color="E87722"/>
              <w:bottom w:val="single" w:sz="8" w:space="0" w:color="E87722"/>
            </w:tcBorders>
            <w:shd w:val="clear" w:color="auto" w:fill="auto"/>
            <w:vAlign w:val="bottom"/>
          </w:tcPr>
          <w:p w14:paraId="606F88E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E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E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E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8E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8E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1,975</w:t>
            </w:r>
          </w:p>
        </w:tc>
        <w:tc>
          <w:tcPr>
            <w:tcW w:w="0" w:type="auto"/>
            <w:tcBorders>
              <w:top w:val="single" w:sz="8" w:space="0" w:color="E87722"/>
              <w:bottom w:val="single" w:sz="8" w:space="0" w:color="E87722"/>
            </w:tcBorders>
            <w:shd w:val="clear" w:color="auto" w:fill="FFF1E7"/>
            <w:vAlign w:val="bottom"/>
          </w:tcPr>
          <w:p w14:paraId="606F88F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F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8F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1,961</w:t>
            </w:r>
          </w:p>
        </w:tc>
        <w:tc>
          <w:tcPr>
            <w:tcW w:w="0" w:type="auto"/>
            <w:tcBorders>
              <w:top w:val="single" w:sz="8" w:space="0" w:color="E87722"/>
              <w:bottom w:val="single" w:sz="8" w:space="0" w:color="E87722"/>
            </w:tcBorders>
            <w:shd w:val="clear" w:color="auto" w:fill="auto"/>
            <w:vAlign w:val="bottom"/>
          </w:tcPr>
          <w:p w14:paraId="606F88F3"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8F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8F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8F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bl>
    <w:p w14:paraId="606F88F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In the current marketplace environment, we believe there continues to be a meaningful shift in the way consumers shop for product and make purchasing decisions. Consumers are demanding a constant flow of fresh and innovative product, and </w:t>
      </w:r>
      <w:r>
        <w:rPr>
          <w:rFonts w:ascii="Arial" w:eastAsia="宋体" w:hAnsi="Arial" w:cs="Arial"/>
          <w:sz w:val="17"/>
          <w:szCs w:val="17"/>
        </w:rPr>
        <w:t xml:space="preserve">have an expectation for superior service and rapid delivery, all fueled by the shift toward digital and mono-brand experiences in NIKE Direct. Specifically, in North America we anticipate continued evolution within the retail landscape, driven by shifting </w:t>
      </w:r>
      <w:r>
        <w:rPr>
          <w:rFonts w:ascii="Arial" w:eastAsia="宋体" w:hAnsi="Arial" w:cs="Arial"/>
          <w:sz w:val="17"/>
          <w:szCs w:val="17"/>
        </w:rPr>
        <w:t>consumer traffic patterns across digital and physical channels. The evolution of the North America marketplace is resulting in third-party retail store closures; however, we are currently seeing stabilization and momentum building with our differentiated s</w:t>
      </w:r>
      <w:r>
        <w:rPr>
          <w:rFonts w:ascii="Arial" w:eastAsia="宋体" w:hAnsi="Arial" w:cs="Arial"/>
          <w:sz w:val="17"/>
          <w:szCs w:val="17"/>
        </w:rPr>
        <w:t>trategic wholesale customers, fueled by our deliberate shifts in product allocations and investments in enhanced consumer experiences leveraging digital.</w:t>
      </w:r>
    </w:p>
    <w:p w14:paraId="606F88F9"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8F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N</w:t>
      </w:r>
      <w:r>
        <w:rPr>
          <w:rFonts w:ascii="Arial" w:eastAsia="宋体" w:hAnsi="Arial" w:cs="Arial"/>
          <w:sz w:val="17"/>
          <w:szCs w:val="17"/>
        </w:rPr>
        <w:t>orth America revenues for the second quarter of fiscal 2020 increased 5% due to growth in Sportswear and the Jordan Brand. NIKE Direct revenues increased 11%, primarily due to digital commerce sales growth of 32% and the addition of new stores, while compa</w:t>
      </w:r>
      <w:r>
        <w:rPr>
          <w:rFonts w:ascii="Arial" w:eastAsia="宋体" w:hAnsi="Arial" w:cs="Arial"/>
          <w:sz w:val="17"/>
          <w:szCs w:val="17"/>
        </w:rPr>
        <w:t xml:space="preserve">rable store sales growth was flat. </w:t>
      </w:r>
    </w:p>
    <w:p w14:paraId="606F88F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Footwear revenues increased 8% on a currency-neutral basis, driven by growth in several key categories, most notably the Jordan Brand and Sportswear. Unit sales of footwear increased 5% and higher ASP per pair contribute</w:t>
      </w:r>
      <w:r>
        <w:rPr>
          <w:rFonts w:ascii="Arial" w:eastAsia="宋体" w:hAnsi="Arial" w:cs="Arial"/>
          <w:sz w:val="17"/>
          <w:szCs w:val="17"/>
        </w:rPr>
        <w:t>d approximately 3 percentage points of footwear revenue growth. Higher ASP per pair was primarily due to higher NIKE Direct, off-price and full-price ASPs.</w:t>
      </w:r>
    </w:p>
    <w:p w14:paraId="606F88FC" w14:textId="77777777" w:rsidR="00FB67F9" w:rsidRDefault="00FB67F9">
      <w:pPr>
        <w:rPr>
          <w:rFonts w:ascii="Times New Roman" w:hAnsi="Times New Roman"/>
          <w:sz w:val="20"/>
          <w:szCs w:val="20"/>
        </w:rPr>
      </w:pPr>
    </w:p>
    <w:p w14:paraId="606F88FD"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32</w:t>
      </w:r>
      <w:r>
        <w:rPr>
          <w:rFonts w:ascii="sans-serif" w:eastAsia="sans-serif" w:hAnsi="sans-serif" w:cs="sans-serif"/>
          <w:sz w:val="17"/>
          <w:szCs w:val="17"/>
        </w:rPr>
        <w:t xml:space="preserve"> </w:t>
      </w:r>
    </w:p>
    <w:p w14:paraId="606F88FE" w14:textId="77777777" w:rsidR="00FB67F9" w:rsidRDefault="00E839DF">
      <w:r>
        <w:rPr>
          <w:rFonts w:ascii="Times New Roman" w:hAnsi="Times New Roman"/>
          <w:sz w:val="17"/>
          <w:szCs w:val="17"/>
        </w:rPr>
        <w:pict w14:anchorId="606F8F9D">
          <v:rect id="_x0000_i1058" style="width:415.3pt;height:1.5pt" o:hralign="center" o:hrstd="t" o:hr="t" fillcolor="#a0a0a0" stroked="f"/>
        </w:pict>
      </w:r>
    </w:p>
    <w:p w14:paraId="606F88FF" w14:textId="77777777" w:rsidR="00FB67F9" w:rsidRDefault="00FB67F9">
      <w:pPr>
        <w:rPr>
          <w:rFonts w:ascii="Times New Roman" w:hAnsi="Times New Roman"/>
          <w:sz w:val="17"/>
          <w:szCs w:val="17"/>
        </w:rPr>
      </w:pPr>
    </w:p>
    <w:p w14:paraId="606F8900" w14:textId="77777777" w:rsidR="00FB67F9" w:rsidRDefault="00E839DF">
      <w:pPr>
        <w:rPr>
          <w:rFonts w:ascii="Times New Roman" w:hAnsi="Times New Roman"/>
          <w:sz w:val="17"/>
          <w:szCs w:val="17"/>
        </w:rPr>
      </w:pPr>
      <w:hyperlink r:id="rId102" w:anchor="s42C493F7582652B69E70047AB812E6A5" w:history="1">
        <w:r>
          <w:rPr>
            <w:rStyle w:val="a5"/>
            <w:rFonts w:ascii="sans-serif" w:eastAsia="sans-serif" w:hAnsi="sans-serif" w:cs="sans-serif"/>
            <w:sz w:val="17"/>
            <w:szCs w:val="17"/>
          </w:rPr>
          <w:t>Table of Contents</w:t>
        </w:r>
      </w:hyperlink>
    </w:p>
    <w:p w14:paraId="606F8901" w14:textId="77777777" w:rsidR="00FB67F9" w:rsidRDefault="00FB67F9">
      <w:pPr>
        <w:rPr>
          <w:rFonts w:ascii="Times New Roman" w:hAnsi="Times New Roman"/>
          <w:sz w:val="17"/>
          <w:szCs w:val="17"/>
        </w:rPr>
      </w:pPr>
    </w:p>
    <w:p w14:paraId="606F8902" w14:textId="77777777" w:rsidR="00FB67F9" w:rsidRDefault="00FB67F9">
      <w:pPr>
        <w:rPr>
          <w:rFonts w:ascii="Times New Roman" w:hAnsi="Times New Roman"/>
          <w:sz w:val="20"/>
          <w:szCs w:val="20"/>
        </w:rPr>
      </w:pPr>
    </w:p>
    <w:p w14:paraId="606F890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apparel revenues increased 1%, driven by higher revenu</w:t>
      </w:r>
      <w:r>
        <w:rPr>
          <w:rFonts w:ascii="Arial" w:eastAsia="宋体" w:hAnsi="Arial" w:cs="Arial"/>
          <w:sz w:val="17"/>
          <w:szCs w:val="17"/>
        </w:rPr>
        <w:t xml:space="preserve">es in Sportswear. Unit sales of apparel decreased 1%, while higher ASP per unit contributed approximately 2 percentage points of apparel revenue growth. The increase in ASP per unit was driven by higher full-price ASP, primarily due to lower discounts, as </w:t>
      </w:r>
      <w:r>
        <w:rPr>
          <w:rFonts w:ascii="Arial" w:eastAsia="宋体" w:hAnsi="Arial" w:cs="Arial"/>
          <w:sz w:val="17"/>
          <w:szCs w:val="17"/>
        </w:rPr>
        <w:t>well as the favorable impact of growth and higher ASP in our NIKE Direct business.</w:t>
      </w:r>
    </w:p>
    <w:p w14:paraId="606F8904"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Reported EBIT decreased 1% as lower gross margin was partially offset by higher revenues and selling and administrative expense leverage. Gross margin decreased </w:t>
      </w:r>
      <w:r>
        <w:rPr>
          <w:rFonts w:ascii="Arial" w:eastAsia="宋体" w:hAnsi="Arial" w:cs="Arial"/>
          <w:sz w:val="17"/>
          <w:szCs w:val="17"/>
        </w:rPr>
        <w:t>approximately 190 basis points primarily due to higher product costs, reflecting the impact of incremental tariffs in the United States on product imported from China, as well as higher inventory obsolescence, in part due to our transition of certain leagu</w:t>
      </w:r>
      <w:r>
        <w:rPr>
          <w:rFonts w:ascii="Arial" w:eastAsia="宋体" w:hAnsi="Arial" w:cs="Arial"/>
          <w:sz w:val="17"/>
          <w:szCs w:val="17"/>
        </w:rPr>
        <w:t>e product to a licensing business model, which were partially offset by higher margins in NIKE Direct and higher full-price ASP. Selling and administrative expense grew due to higher operating overhead expense, partially offset by lower demand creation exp</w:t>
      </w:r>
      <w:r>
        <w:rPr>
          <w:rFonts w:ascii="Arial" w:eastAsia="宋体" w:hAnsi="Arial" w:cs="Arial"/>
          <w:sz w:val="17"/>
          <w:szCs w:val="17"/>
        </w:rPr>
        <w:t>ense. Operating overhead expense increased primarily as a result of higher wage-related expenses within our NIKE Direct operations and higher administrative costs. The decrease in demand creation expense was primarily due to lower retail brand presentation</w:t>
      </w:r>
      <w:r>
        <w:rPr>
          <w:rFonts w:ascii="Arial" w:eastAsia="宋体" w:hAnsi="Arial" w:cs="Arial"/>
          <w:sz w:val="17"/>
          <w:szCs w:val="17"/>
        </w:rPr>
        <w:t xml:space="preserve"> costs, as well as lower advertising and marketing expenses in part due to a timing shift of investments in certain brand campaigns.</w:t>
      </w:r>
    </w:p>
    <w:p w14:paraId="606F8905"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FIRST SIX MONTHS OF FISCAL 2020 COMPARED TO FIRST SIX MONTHS OF FISCAL 2019</w:t>
      </w:r>
    </w:p>
    <w:p w14:paraId="606F890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North America reve</w:t>
      </w:r>
      <w:r>
        <w:rPr>
          <w:rFonts w:ascii="Arial" w:eastAsia="宋体" w:hAnsi="Arial" w:cs="Arial"/>
          <w:sz w:val="17"/>
          <w:szCs w:val="17"/>
        </w:rPr>
        <w:t>nues for the first six months of fiscal 2020 increased 4% driven by growth in Sportswear and the Jordan Brand, partially offset by a decline in Running. NIKE Direct revenues increased 10%, primarily due to digital commerce sales growth of 32% and the addit</w:t>
      </w:r>
      <w:r>
        <w:rPr>
          <w:rFonts w:ascii="Arial" w:eastAsia="宋体" w:hAnsi="Arial" w:cs="Arial"/>
          <w:sz w:val="17"/>
          <w:szCs w:val="17"/>
        </w:rPr>
        <w:t xml:space="preserve">ion of new stores, while comparable store sales growth was flat. </w:t>
      </w:r>
    </w:p>
    <w:p w14:paraId="606F890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Footwear revenues increased 6% on a currency-neutral basis, driven by growth in several key categories, most notably Sportswear and the Jordan Brand. Unit sales of footwear increased 2%, whi</w:t>
      </w:r>
      <w:r>
        <w:rPr>
          <w:rFonts w:ascii="Arial" w:eastAsia="宋体" w:hAnsi="Arial" w:cs="Arial"/>
          <w:sz w:val="17"/>
          <w:szCs w:val="17"/>
        </w:rPr>
        <w:t>le higher ASP per pair contributed approximately 4 percentage points of footwear revenue growth. Higher ASP per pair was primarily due to higher full-price and NIKE Direct ASPs.</w:t>
      </w:r>
    </w:p>
    <w:p w14:paraId="606F890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apparel revenues increased 1%, driven by higher r</w:t>
      </w:r>
      <w:r>
        <w:rPr>
          <w:rFonts w:ascii="Arial" w:eastAsia="宋体" w:hAnsi="Arial" w:cs="Arial"/>
          <w:sz w:val="17"/>
          <w:szCs w:val="17"/>
        </w:rPr>
        <w:t xml:space="preserve">evenues in Sportswear. Unit sales of apparel were flat, while higher ASP per unit contributed approximately 1 percentage point of apparel revenue growth. The increase in ASP per unit was driven by higher full-price ASP, in part reflecting lower discounts, </w:t>
      </w:r>
      <w:r>
        <w:rPr>
          <w:rFonts w:ascii="Arial" w:eastAsia="宋体" w:hAnsi="Arial" w:cs="Arial"/>
          <w:sz w:val="17"/>
          <w:szCs w:val="17"/>
        </w:rPr>
        <w:t>and the favorable impact of growth in our NIKE Direct business partially offset by lower off-price ASP.</w:t>
      </w:r>
    </w:p>
    <w:p w14:paraId="606F890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Reported EBIT increased 1% as higher revenues more than offset a decline in gross margin and higher selling and administrative expense. Gross margin dec</w:t>
      </w:r>
      <w:r>
        <w:rPr>
          <w:rFonts w:ascii="Arial" w:eastAsia="宋体" w:hAnsi="Arial" w:cs="Arial"/>
          <w:sz w:val="17"/>
          <w:szCs w:val="17"/>
        </w:rPr>
        <w:t>reased approximately 80 basis points as higher product costs, partly reflecting the impact of incremental tariffs beginning in the second quarter, as well as higher inventory obsolescence more than offset higher full-price ASP and the favorable impact of g</w:t>
      </w:r>
      <w:r>
        <w:rPr>
          <w:rFonts w:ascii="Arial" w:eastAsia="宋体" w:hAnsi="Arial" w:cs="Arial"/>
          <w:sz w:val="17"/>
          <w:szCs w:val="17"/>
        </w:rPr>
        <w:t>rowth in our NIKE Direct business. Selling and administrative expense grew due to higher operating overhead expense, partially offset by lower demand creation expense. Operating overhead expense increased primarily as a result of higher wage-related expens</w:t>
      </w:r>
      <w:r>
        <w:rPr>
          <w:rFonts w:ascii="Arial" w:eastAsia="宋体" w:hAnsi="Arial" w:cs="Arial"/>
          <w:sz w:val="17"/>
          <w:szCs w:val="17"/>
        </w:rPr>
        <w:t xml:space="preserve">es within our NIKE Direct operations, as well as higher administrative costs. The decrease in demand creation expense was primarily due to lower retail brand presentation costs, partially offset by higher sports marketing costs. </w:t>
      </w:r>
    </w:p>
    <w:p w14:paraId="606F890A" w14:textId="77777777" w:rsidR="00FB67F9" w:rsidRDefault="00FB67F9">
      <w:pPr>
        <w:rPr>
          <w:rFonts w:ascii="Times New Roman" w:hAnsi="Times New Roman"/>
          <w:sz w:val="20"/>
          <w:szCs w:val="20"/>
        </w:rPr>
      </w:pPr>
    </w:p>
    <w:p w14:paraId="606F890B"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33</w:t>
      </w:r>
    </w:p>
    <w:p w14:paraId="606F890C" w14:textId="77777777" w:rsidR="00FB67F9" w:rsidRDefault="00E839DF">
      <w:r>
        <w:rPr>
          <w:rFonts w:ascii="Times New Roman" w:hAnsi="Times New Roman"/>
          <w:sz w:val="17"/>
          <w:szCs w:val="17"/>
        </w:rPr>
        <w:pict w14:anchorId="606F8F9E">
          <v:rect id="_x0000_i1059" style="width:415.3pt;height:1.5pt" o:hralign="center" o:hrstd="t" o:hr="t" fillcolor="#a0a0a0" stroked="f"/>
        </w:pict>
      </w:r>
    </w:p>
    <w:p w14:paraId="606F890D" w14:textId="77777777" w:rsidR="00FB67F9" w:rsidRDefault="00FB67F9">
      <w:pPr>
        <w:rPr>
          <w:rFonts w:ascii="Times New Roman" w:hAnsi="Times New Roman"/>
          <w:sz w:val="17"/>
          <w:szCs w:val="17"/>
        </w:rPr>
      </w:pPr>
    </w:p>
    <w:p w14:paraId="606F890E" w14:textId="77777777" w:rsidR="00FB67F9" w:rsidRDefault="00E839DF">
      <w:pPr>
        <w:rPr>
          <w:rFonts w:ascii="Times New Roman" w:hAnsi="Times New Roman"/>
          <w:sz w:val="17"/>
          <w:szCs w:val="17"/>
        </w:rPr>
      </w:pPr>
      <w:hyperlink r:id="rId103" w:anchor="s42C493F7582652B69E70047AB812E6A5" w:history="1">
        <w:r>
          <w:rPr>
            <w:rStyle w:val="a5"/>
            <w:rFonts w:ascii="sans-serif" w:eastAsia="sans-serif" w:hAnsi="sans-serif" w:cs="sans-serif"/>
            <w:sz w:val="17"/>
            <w:szCs w:val="17"/>
          </w:rPr>
          <w:t>Table of Contents</w:t>
        </w:r>
      </w:hyperlink>
    </w:p>
    <w:p w14:paraId="606F890F" w14:textId="77777777" w:rsidR="00FB67F9" w:rsidRDefault="00FB67F9">
      <w:pPr>
        <w:rPr>
          <w:rFonts w:ascii="Times New Roman" w:hAnsi="Times New Roman"/>
          <w:sz w:val="17"/>
          <w:szCs w:val="17"/>
        </w:rPr>
      </w:pPr>
    </w:p>
    <w:p w14:paraId="606F8910" w14:textId="77777777" w:rsidR="00FB67F9" w:rsidRDefault="00FB67F9">
      <w:pPr>
        <w:rPr>
          <w:rFonts w:ascii="Times New Roman" w:hAnsi="Times New Roman"/>
          <w:sz w:val="20"/>
          <w:szCs w:val="20"/>
        </w:rPr>
      </w:pPr>
    </w:p>
    <w:p w14:paraId="606F8911"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EUROPE, MIDDLE EAST &amp; AFRICA</w:t>
      </w:r>
    </w:p>
    <w:tbl>
      <w:tblPr>
        <w:tblW w:w="5000" w:type="pct"/>
        <w:tblCellMar>
          <w:left w:w="0" w:type="dxa"/>
          <w:right w:w="0" w:type="dxa"/>
        </w:tblCellMar>
        <w:tblLook w:val="04A0" w:firstRow="1" w:lastRow="0" w:firstColumn="1" w:lastColumn="0" w:noHBand="0" w:noVBand="1"/>
      </w:tblPr>
      <w:tblGrid>
        <w:gridCol w:w="2107"/>
        <w:gridCol w:w="135"/>
        <w:gridCol w:w="445"/>
        <w:gridCol w:w="6"/>
        <w:gridCol w:w="135"/>
        <w:gridCol w:w="426"/>
        <w:gridCol w:w="6"/>
        <w:gridCol w:w="644"/>
        <w:gridCol w:w="192"/>
        <w:gridCol w:w="863"/>
        <w:gridCol w:w="192"/>
        <w:gridCol w:w="130"/>
        <w:gridCol w:w="135"/>
        <w:gridCol w:w="426"/>
        <w:gridCol w:w="6"/>
        <w:gridCol w:w="135"/>
        <w:gridCol w:w="426"/>
        <w:gridCol w:w="6"/>
        <w:gridCol w:w="644"/>
        <w:gridCol w:w="192"/>
        <w:gridCol w:w="863"/>
        <w:gridCol w:w="192"/>
      </w:tblGrid>
      <w:tr w:rsidR="00FB67F9" w14:paraId="606F8913" w14:textId="77777777">
        <w:tc>
          <w:tcPr>
            <w:tcW w:w="0" w:type="auto"/>
            <w:gridSpan w:val="22"/>
            <w:shd w:val="clear" w:color="auto" w:fill="auto"/>
            <w:vAlign w:val="center"/>
          </w:tcPr>
          <w:p w14:paraId="606F8912" w14:textId="77777777" w:rsidR="00FB67F9" w:rsidRDefault="00FB67F9">
            <w:pPr>
              <w:rPr>
                <w:rFonts w:ascii="Times New Roman" w:hAnsi="Times New Roman"/>
                <w:sz w:val="20"/>
                <w:szCs w:val="20"/>
              </w:rPr>
            </w:pPr>
          </w:p>
        </w:tc>
      </w:tr>
      <w:tr w:rsidR="00FB67F9" w14:paraId="606F892A" w14:textId="77777777">
        <w:tc>
          <w:tcPr>
            <w:tcW w:w="1350" w:type="pct"/>
            <w:shd w:val="clear" w:color="auto" w:fill="auto"/>
            <w:vAlign w:val="center"/>
          </w:tcPr>
          <w:p w14:paraId="606F8914" w14:textId="77777777" w:rsidR="00FB67F9" w:rsidRDefault="00FB67F9">
            <w:pPr>
              <w:rPr>
                <w:rFonts w:ascii="Times New Roman" w:hAnsi="Times New Roman"/>
                <w:sz w:val="20"/>
                <w:szCs w:val="20"/>
              </w:rPr>
            </w:pPr>
          </w:p>
        </w:tc>
        <w:tc>
          <w:tcPr>
            <w:tcW w:w="50" w:type="pct"/>
            <w:shd w:val="clear" w:color="auto" w:fill="auto"/>
            <w:vAlign w:val="center"/>
          </w:tcPr>
          <w:p w14:paraId="606F8915" w14:textId="77777777" w:rsidR="00FB67F9" w:rsidRDefault="00FB67F9">
            <w:pPr>
              <w:rPr>
                <w:rFonts w:ascii="Times New Roman" w:hAnsi="Times New Roman"/>
                <w:sz w:val="20"/>
                <w:szCs w:val="20"/>
              </w:rPr>
            </w:pPr>
          </w:p>
        </w:tc>
        <w:tc>
          <w:tcPr>
            <w:tcW w:w="350" w:type="pct"/>
            <w:shd w:val="clear" w:color="auto" w:fill="auto"/>
            <w:vAlign w:val="center"/>
          </w:tcPr>
          <w:p w14:paraId="606F8916" w14:textId="77777777" w:rsidR="00FB67F9" w:rsidRDefault="00FB67F9">
            <w:pPr>
              <w:rPr>
                <w:rFonts w:ascii="Times New Roman" w:hAnsi="Times New Roman"/>
                <w:sz w:val="20"/>
                <w:szCs w:val="20"/>
              </w:rPr>
            </w:pPr>
          </w:p>
        </w:tc>
        <w:tc>
          <w:tcPr>
            <w:tcW w:w="50" w:type="pct"/>
            <w:shd w:val="clear" w:color="auto" w:fill="auto"/>
            <w:vAlign w:val="center"/>
          </w:tcPr>
          <w:p w14:paraId="606F8917" w14:textId="77777777" w:rsidR="00FB67F9" w:rsidRDefault="00FB67F9">
            <w:pPr>
              <w:rPr>
                <w:rFonts w:ascii="Times New Roman" w:hAnsi="Times New Roman"/>
                <w:sz w:val="20"/>
                <w:szCs w:val="20"/>
              </w:rPr>
            </w:pPr>
          </w:p>
        </w:tc>
        <w:tc>
          <w:tcPr>
            <w:tcW w:w="50" w:type="pct"/>
            <w:shd w:val="clear" w:color="auto" w:fill="auto"/>
            <w:vAlign w:val="center"/>
          </w:tcPr>
          <w:p w14:paraId="606F8918" w14:textId="77777777" w:rsidR="00FB67F9" w:rsidRDefault="00FB67F9">
            <w:pPr>
              <w:rPr>
                <w:rFonts w:ascii="Times New Roman" w:hAnsi="Times New Roman"/>
                <w:sz w:val="20"/>
                <w:szCs w:val="20"/>
              </w:rPr>
            </w:pPr>
          </w:p>
        </w:tc>
        <w:tc>
          <w:tcPr>
            <w:tcW w:w="350" w:type="pct"/>
            <w:shd w:val="clear" w:color="auto" w:fill="auto"/>
            <w:vAlign w:val="center"/>
          </w:tcPr>
          <w:p w14:paraId="606F8919" w14:textId="77777777" w:rsidR="00FB67F9" w:rsidRDefault="00FB67F9">
            <w:pPr>
              <w:rPr>
                <w:rFonts w:ascii="Times New Roman" w:hAnsi="Times New Roman"/>
                <w:sz w:val="20"/>
                <w:szCs w:val="20"/>
              </w:rPr>
            </w:pPr>
          </w:p>
        </w:tc>
        <w:tc>
          <w:tcPr>
            <w:tcW w:w="50" w:type="pct"/>
            <w:shd w:val="clear" w:color="auto" w:fill="auto"/>
            <w:vAlign w:val="center"/>
          </w:tcPr>
          <w:p w14:paraId="606F891A" w14:textId="77777777" w:rsidR="00FB67F9" w:rsidRDefault="00FB67F9">
            <w:pPr>
              <w:rPr>
                <w:rFonts w:ascii="Times New Roman" w:hAnsi="Times New Roman"/>
                <w:sz w:val="20"/>
                <w:szCs w:val="20"/>
              </w:rPr>
            </w:pPr>
          </w:p>
        </w:tc>
        <w:tc>
          <w:tcPr>
            <w:tcW w:w="400" w:type="pct"/>
            <w:shd w:val="clear" w:color="auto" w:fill="auto"/>
            <w:vAlign w:val="center"/>
          </w:tcPr>
          <w:p w14:paraId="606F891B" w14:textId="77777777" w:rsidR="00FB67F9" w:rsidRDefault="00FB67F9">
            <w:pPr>
              <w:rPr>
                <w:rFonts w:ascii="Times New Roman" w:hAnsi="Times New Roman"/>
                <w:sz w:val="20"/>
                <w:szCs w:val="20"/>
              </w:rPr>
            </w:pPr>
          </w:p>
        </w:tc>
        <w:tc>
          <w:tcPr>
            <w:tcW w:w="50" w:type="pct"/>
            <w:shd w:val="clear" w:color="auto" w:fill="auto"/>
            <w:vAlign w:val="center"/>
          </w:tcPr>
          <w:p w14:paraId="606F891C" w14:textId="77777777" w:rsidR="00FB67F9" w:rsidRDefault="00FB67F9">
            <w:pPr>
              <w:rPr>
                <w:rFonts w:ascii="Times New Roman" w:hAnsi="Times New Roman"/>
                <w:sz w:val="20"/>
                <w:szCs w:val="20"/>
              </w:rPr>
            </w:pPr>
          </w:p>
        </w:tc>
        <w:tc>
          <w:tcPr>
            <w:tcW w:w="400" w:type="pct"/>
            <w:shd w:val="clear" w:color="auto" w:fill="auto"/>
            <w:vAlign w:val="center"/>
          </w:tcPr>
          <w:p w14:paraId="606F891D" w14:textId="77777777" w:rsidR="00FB67F9" w:rsidRDefault="00FB67F9">
            <w:pPr>
              <w:rPr>
                <w:rFonts w:ascii="Times New Roman" w:hAnsi="Times New Roman"/>
                <w:sz w:val="20"/>
                <w:szCs w:val="20"/>
              </w:rPr>
            </w:pPr>
          </w:p>
        </w:tc>
        <w:tc>
          <w:tcPr>
            <w:tcW w:w="50" w:type="pct"/>
            <w:shd w:val="clear" w:color="auto" w:fill="auto"/>
            <w:vAlign w:val="center"/>
          </w:tcPr>
          <w:p w14:paraId="606F891E" w14:textId="77777777" w:rsidR="00FB67F9" w:rsidRDefault="00FB67F9">
            <w:pPr>
              <w:rPr>
                <w:rFonts w:ascii="Times New Roman" w:hAnsi="Times New Roman"/>
                <w:sz w:val="20"/>
                <w:szCs w:val="20"/>
              </w:rPr>
            </w:pPr>
          </w:p>
        </w:tc>
        <w:tc>
          <w:tcPr>
            <w:tcW w:w="50" w:type="pct"/>
            <w:shd w:val="clear" w:color="auto" w:fill="auto"/>
            <w:vAlign w:val="center"/>
          </w:tcPr>
          <w:p w14:paraId="606F891F" w14:textId="77777777" w:rsidR="00FB67F9" w:rsidRDefault="00FB67F9">
            <w:pPr>
              <w:rPr>
                <w:rFonts w:ascii="Times New Roman" w:hAnsi="Times New Roman"/>
                <w:sz w:val="20"/>
                <w:szCs w:val="20"/>
              </w:rPr>
            </w:pPr>
          </w:p>
        </w:tc>
        <w:tc>
          <w:tcPr>
            <w:tcW w:w="50" w:type="pct"/>
            <w:shd w:val="clear" w:color="auto" w:fill="auto"/>
            <w:vAlign w:val="center"/>
          </w:tcPr>
          <w:p w14:paraId="606F8920" w14:textId="77777777" w:rsidR="00FB67F9" w:rsidRDefault="00FB67F9">
            <w:pPr>
              <w:rPr>
                <w:rFonts w:ascii="Times New Roman" w:hAnsi="Times New Roman"/>
                <w:sz w:val="20"/>
                <w:szCs w:val="20"/>
              </w:rPr>
            </w:pPr>
          </w:p>
        </w:tc>
        <w:tc>
          <w:tcPr>
            <w:tcW w:w="350" w:type="pct"/>
            <w:shd w:val="clear" w:color="auto" w:fill="auto"/>
            <w:vAlign w:val="center"/>
          </w:tcPr>
          <w:p w14:paraId="606F8921" w14:textId="77777777" w:rsidR="00FB67F9" w:rsidRDefault="00FB67F9">
            <w:pPr>
              <w:rPr>
                <w:rFonts w:ascii="Times New Roman" w:hAnsi="Times New Roman"/>
                <w:sz w:val="20"/>
                <w:szCs w:val="20"/>
              </w:rPr>
            </w:pPr>
          </w:p>
        </w:tc>
        <w:tc>
          <w:tcPr>
            <w:tcW w:w="50" w:type="pct"/>
            <w:shd w:val="clear" w:color="auto" w:fill="auto"/>
            <w:vAlign w:val="center"/>
          </w:tcPr>
          <w:p w14:paraId="606F8922" w14:textId="77777777" w:rsidR="00FB67F9" w:rsidRDefault="00FB67F9">
            <w:pPr>
              <w:rPr>
                <w:rFonts w:ascii="Times New Roman" w:hAnsi="Times New Roman"/>
                <w:sz w:val="20"/>
                <w:szCs w:val="20"/>
              </w:rPr>
            </w:pPr>
          </w:p>
        </w:tc>
        <w:tc>
          <w:tcPr>
            <w:tcW w:w="50" w:type="pct"/>
            <w:shd w:val="clear" w:color="auto" w:fill="auto"/>
            <w:vAlign w:val="center"/>
          </w:tcPr>
          <w:p w14:paraId="606F8923" w14:textId="77777777" w:rsidR="00FB67F9" w:rsidRDefault="00FB67F9">
            <w:pPr>
              <w:rPr>
                <w:rFonts w:ascii="Times New Roman" w:hAnsi="Times New Roman"/>
                <w:sz w:val="20"/>
                <w:szCs w:val="20"/>
              </w:rPr>
            </w:pPr>
          </w:p>
        </w:tc>
        <w:tc>
          <w:tcPr>
            <w:tcW w:w="350" w:type="pct"/>
            <w:shd w:val="clear" w:color="auto" w:fill="auto"/>
            <w:vAlign w:val="center"/>
          </w:tcPr>
          <w:p w14:paraId="606F8924" w14:textId="77777777" w:rsidR="00FB67F9" w:rsidRDefault="00FB67F9">
            <w:pPr>
              <w:rPr>
                <w:rFonts w:ascii="Times New Roman" w:hAnsi="Times New Roman"/>
                <w:sz w:val="20"/>
                <w:szCs w:val="20"/>
              </w:rPr>
            </w:pPr>
          </w:p>
        </w:tc>
        <w:tc>
          <w:tcPr>
            <w:tcW w:w="50" w:type="pct"/>
            <w:shd w:val="clear" w:color="auto" w:fill="auto"/>
            <w:vAlign w:val="center"/>
          </w:tcPr>
          <w:p w14:paraId="606F8925" w14:textId="77777777" w:rsidR="00FB67F9" w:rsidRDefault="00FB67F9">
            <w:pPr>
              <w:rPr>
                <w:rFonts w:ascii="Times New Roman" w:hAnsi="Times New Roman"/>
                <w:sz w:val="20"/>
                <w:szCs w:val="20"/>
              </w:rPr>
            </w:pPr>
          </w:p>
        </w:tc>
        <w:tc>
          <w:tcPr>
            <w:tcW w:w="400" w:type="pct"/>
            <w:shd w:val="clear" w:color="auto" w:fill="auto"/>
            <w:vAlign w:val="center"/>
          </w:tcPr>
          <w:p w14:paraId="606F8926" w14:textId="77777777" w:rsidR="00FB67F9" w:rsidRDefault="00FB67F9">
            <w:pPr>
              <w:rPr>
                <w:rFonts w:ascii="Times New Roman" w:hAnsi="Times New Roman"/>
                <w:sz w:val="20"/>
                <w:szCs w:val="20"/>
              </w:rPr>
            </w:pPr>
          </w:p>
        </w:tc>
        <w:tc>
          <w:tcPr>
            <w:tcW w:w="50" w:type="pct"/>
            <w:shd w:val="clear" w:color="auto" w:fill="auto"/>
            <w:vAlign w:val="center"/>
          </w:tcPr>
          <w:p w14:paraId="606F8927" w14:textId="77777777" w:rsidR="00FB67F9" w:rsidRDefault="00FB67F9">
            <w:pPr>
              <w:rPr>
                <w:rFonts w:ascii="Times New Roman" w:hAnsi="Times New Roman"/>
                <w:sz w:val="20"/>
                <w:szCs w:val="20"/>
              </w:rPr>
            </w:pPr>
          </w:p>
        </w:tc>
        <w:tc>
          <w:tcPr>
            <w:tcW w:w="400" w:type="pct"/>
            <w:shd w:val="clear" w:color="auto" w:fill="auto"/>
            <w:vAlign w:val="center"/>
          </w:tcPr>
          <w:p w14:paraId="606F8928" w14:textId="77777777" w:rsidR="00FB67F9" w:rsidRDefault="00FB67F9">
            <w:pPr>
              <w:rPr>
                <w:rFonts w:ascii="Times New Roman" w:hAnsi="Times New Roman"/>
                <w:sz w:val="20"/>
                <w:szCs w:val="20"/>
              </w:rPr>
            </w:pPr>
          </w:p>
        </w:tc>
        <w:tc>
          <w:tcPr>
            <w:tcW w:w="50" w:type="pct"/>
            <w:shd w:val="clear" w:color="auto" w:fill="auto"/>
            <w:vAlign w:val="center"/>
          </w:tcPr>
          <w:p w14:paraId="606F8929" w14:textId="77777777" w:rsidR="00FB67F9" w:rsidRDefault="00FB67F9">
            <w:pPr>
              <w:rPr>
                <w:rFonts w:ascii="Times New Roman" w:hAnsi="Times New Roman"/>
                <w:sz w:val="20"/>
                <w:szCs w:val="20"/>
              </w:rPr>
            </w:pPr>
          </w:p>
        </w:tc>
      </w:tr>
      <w:tr w:rsidR="00FB67F9" w14:paraId="606F892F" w14:textId="77777777">
        <w:tc>
          <w:tcPr>
            <w:tcW w:w="0" w:type="auto"/>
            <w:shd w:val="clear" w:color="auto" w:fill="auto"/>
            <w:tcMar>
              <w:top w:w="40" w:type="dxa"/>
              <w:left w:w="40" w:type="dxa"/>
              <w:bottom w:w="40" w:type="dxa"/>
              <w:right w:w="40" w:type="dxa"/>
            </w:tcMar>
            <w:vAlign w:val="bottom"/>
          </w:tcPr>
          <w:p w14:paraId="606F892B" w14:textId="77777777" w:rsidR="00FB67F9" w:rsidRDefault="00FB67F9">
            <w:pPr>
              <w:textAlignment w:val="bottom"/>
              <w:rPr>
                <w:rFonts w:ascii="Times New Roman" w:hAnsi="Times New Roman"/>
                <w:sz w:val="17"/>
                <w:szCs w:val="17"/>
              </w:rPr>
            </w:pPr>
          </w:p>
        </w:tc>
        <w:tc>
          <w:tcPr>
            <w:tcW w:w="0" w:type="auto"/>
            <w:gridSpan w:val="10"/>
            <w:tcBorders>
              <w:bottom w:val="single" w:sz="8" w:space="0" w:color="E87722"/>
            </w:tcBorders>
            <w:shd w:val="clear" w:color="auto" w:fill="auto"/>
            <w:tcMar>
              <w:top w:w="40" w:type="dxa"/>
              <w:left w:w="40" w:type="dxa"/>
              <w:bottom w:w="40" w:type="dxa"/>
            </w:tcMar>
            <w:vAlign w:val="bottom"/>
          </w:tcPr>
          <w:p w14:paraId="606F892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9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92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93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930"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3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3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93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93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93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93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93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3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3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93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93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93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93D" w14:textId="77777777" w:rsidR="00FB67F9" w:rsidRDefault="00FB67F9">
            <w:pPr>
              <w:textAlignment w:val="bottom"/>
              <w:rPr>
                <w:rFonts w:ascii="Times New Roman" w:hAnsi="Times New Roman"/>
                <w:sz w:val="20"/>
                <w:szCs w:val="20"/>
              </w:rPr>
            </w:pPr>
          </w:p>
        </w:tc>
      </w:tr>
      <w:tr w:rsidR="00FB67F9" w14:paraId="606F8949" w14:textId="77777777">
        <w:tc>
          <w:tcPr>
            <w:tcW w:w="0" w:type="auto"/>
            <w:shd w:val="clear" w:color="auto" w:fill="auto"/>
            <w:tcMar>
              <w:top w:w="40" w:type="dxa"/>
              <w:left w:w="40" w:type="dxa"/>
              <w:bottom w:w="40" w:type="dxa"/>
              <w:right w:w="40" w:type="dxa"/>
            </w:tcMar>
            <w:vAlign w:val="bottom"/>
          </w:tcPr>
          <w:p w14:paraId="606F893F"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9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94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94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94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94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9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94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94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94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96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94A"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894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9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1,536</w:t>
            </w:r>
          </w:p>
        </w:tc>
        <w:tc>
          <w:tcPr>
            <w:tcW w:w="0" w:type="auto"/>
            <w:tcBorders>
              <w:top w:val="single" w:sz="8" w:space="0" w:color="808080"/>
            </w:tcBorders>
            <w:shd w:val="clear" w:color="auto" w:fill="FFF1E7"/>
            <w:vAlign w:val="bottom"/>
          </w:tcPr>
          <w:p w14:paraId="606F894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94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9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1,419</w:t>
            </w:r>
          </w:p>
        </w:tc>
        <w:tc>
          <w:tcPr>
            <w:tcW w:w="0" w:type="auto"/>
            <w:tcBorders>
              <w:top w:val="single" w:sz="8" w:space="0" w:color="808080"/>
            </w:tcBorders>
            <w:shd w:val="clear" w:color="auto" w:fill="auto"/>
            <w:vAlign w:val="bottom"/>
          </w:tcPr>
          <w:p w14:paraId="606F895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95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606F895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95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606F895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95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895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9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3,294</w:t>
            </w:r>
          </w:p>
        </w:tc>
        <w:tc>
          <w:tcPr>
            <w:tcW w:w="0" w:type="auto"/>
            <w:tcBorders>
              <w:top w:val="single" w:sz="8" w:space="0" w:color="808080"/>
            </w:tcBorders>
            <w:shd w:val="clear" w:color="auto" w:fill="FFF1E7"/>
            <w:vAlign w:val="bottom"/>
          </w:tcPr>
          <w:p w14:paraId="606F895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95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95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3,061</w:t>
            </w:r>
          </w:p>
        </w:tc>
        <w:tc>
          <w:tcPr>
            <w:tcW w:w="0" w:type="auto"/>
            <w:tcBorders>
              <w:top w:val="single" w:sz="8" w:space="0" w:color="808080"/>
            </w:tcBorders>
            <w:shd w:val="clear" w:color="auto" w:fill="auto"/>
            <w:vAlign w:val="bottom"/>
          </w:tcPr>
          <w:p w14:paraId="606F895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9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606F895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95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606F895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97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961"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96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897</w:t>
            </w:r>
          </w:p>
        </w:tc>
        <w:tc>
          <w:tcPr>
            <w:tcW w:w="0" w:type="auto"/>
            <w:tcBorders>
              <w:top w:val="single" w:sz="8" w:space="0" w:color="808080"/>
              <w:bottom w:val="single" w:sz="8" w:space="0" w:color="808080"/>
            </w:tcBorders>
            <w:shd w:val="clear" w:color="auto" w:fill="FFF1E7"/>
            <w:vAlign w:val="bottom"/>
          </w:tcPr>
          <w:p w14:paraId="606F896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9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794</w:t>
            </w:r>
          </w:p>
        </w:tc>
        <w:tc>
          <w:tcPr>
            <w:tcW w:w="0" w:type="auto"/>
            <w:tcBorders>
              <w:top w:val="single" w:sz="8" w:space="0" w:color="808080"/>
              <w:bottom w:val="single" w:sz="8" w:space="0" w:color="808080"/>
            </w:tcBorders>
            <w:shd w:val="clear" w:color="auto" w:fill="auto"/>
            <w:vAlign w:val="bottom"/>
          </w:tcPr>
          <w:p w14:paraId="606F896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6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6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96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96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1,766</w:t>
            </w:r>
          </w:p>
        </w:tc>
        <w:tc>
          <w:tcPr>
            <w:tcW w:w="0" w:type="auto"/>
            <w:tcBorders>
              <w:top w:val="single" w:sz="8" w:space="0" w:color="808080"/>
              <w:bottom w:val="single" w:sz="8" w:space="0" w:color="808080"/>
            </w:tcBorders>
            <w:shd w:val="clear" w:color="auto" w:fill="FFF1E7"/>
            <w:vAlign w:val="bottom"/>
          </w:tcPr>
          <w:p w14:paraId="606F896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96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1,624</w:t>
            </w:r>
          </w:p>
        </w:tc>
        <w:tc>
          <w:tcPr>
            <w:tcW w:w="0" w:type="auto"/>
            <w:tcBorders>
              <w:top w:val="single" w:sz="8" w:space="0" w:color="808080"/>
              <w:bottom w:val="single" w:sz="8" w:space="0" w:color="808080"/>
            </w:tcBorders>
            <w:shd w:val="clear" w:color="auto" w:fill="auto"/>
            <w:vAlign w:val="bottom"/>
          </w:tcPr>
          <w:p w14:paraId="606F896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6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7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7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7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986" w14:textId="77777777">
        <w:tc>
          <w:tcPr>
            <w:tcW w:w="0" w:type="auto"/>
            <w:shd w:val="clear" w:color="auto" w:fill="auto"/>
            <w:tcMar>
              <w:top w:w="40" w:type="dxa"/>
              <w:left w:w="240" w:type="dxa"/>
              <w:bottom w:w="40" w:type="dxa"/>
              <w:right w:w="40" w:type="dxa"/>
            </w:tcMar>
            <w:vAlign w:val="bottom"/>
          </w:tcPr>
          <w:p w14:paraId="606F8974" w14:textId="77777777" w:rsidR="00FB67F9" w:rsidRDefault="00E839DF">
            <w:pPr>
              <w:textAlignment w:val="bottom"/>
              <w:rPr>
                <w:rFonts w:ascii="Times New Roman" w:hAnsi="Times New Roman"/>
                <w:sz w:val="17"/>
                <w:szCs w:val="17"/>
              </w:rPr>
            </w:pPr>
            <w:r>
              <w:rPr>
                <w:rFonts w:ascii="Arial" w:eastAsia="宋体" w:hAnsi="Arial" w:cs="Arial"/>
                <w:sz w:val="17"/>
                <w:szCs w:val="17"/>
              </w:rPr>
              <w:t>Equi</w:t>
            </w:r>
            <w:r>
              <w:rPr>
                <w:rFonts w:ascii="Arial" w:eastAsia="宋体" w:hAnsi="Arial" w:cs="Arial"/>
                <w:sz w:val="17"/>
                <w:szCs w:val="17"/>
              </w:rPr>
              <w:t>pment</w:t>
            </w:r>
          </w:p>
        </w:tc>
        <w:tc>
          <w:tcPr>
            <w:tcW w:w="0" w:type="auto"/>
            <w:gridSpan w:val="2"/>
            <w:shd w:val="clear" w:color="auto" w:fill="FFF1E7"/>
            <w:tcMar>
              <w:top w:w="40" w:type="dxa"/>
              <w:left w:w="40" w:type="dxa"/>
              <w:bottom w:w="40" w:type="dxa"/>
            </w:tcMar>
            <w:vAlign w:val="bottom"/>
          </w:tcPr>
          <w:p w14:paraId="606F897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104</w:t>
            </w:r>
          </w:p>
        </w:tc>
        <w:tc>
          <w:tcPr>
            <w:tcW w:w="0" w:type="auto"/>
            <w:shd w:val="clear" w:color="auto" w:fill="FFF1E7"/>
            <w:vAlign w:val="bottom"/>
          </w:tcPr>
          <w:p w14:paraId="606F897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97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100</w:t>
            </w:r>
          </w:p>
        </w:tc>
        <w:tc>
          <w:tcPr>
            <w:tcW w:w="0" w:type="auto"/>
            <w:shd w:val="clear" w:color="auto" w:fill="auto"/>
            <w:vAlign w:val="bottom"/>
          </w:tcPr>
          <w:p w14:paraId="606F897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97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tcMar>
              <w:top w:w="40" w:type="dxa"/>
              <w:bottom w:w="40" w:type="dxa"/>
              <w:right w:w="40" w:type="dxa"/>
            </w:tcMar>
            <w:vAlign w:val="bottom"/>
          </w:tcPr>
          <w:p w14:paraId="606F897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97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shd w:val="clear" w:color="auto" w:fill="auto"/>
            <w:tcMar>
              <w:top w:w="40" w:type="dxa"/>
              <w:bottom w:w="40" w:type="dxa"/>
              <w:right w:w="40" w:type="dxa"/>
            </w:tcMar>
            <w:vAlign w:val="bottom"/>
          </w:tcPr>
          <w:p w14:paraId="606F897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97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97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250</w:t>
            </w:r>
          </w:p>
        </w:tc>
        <w:tc>
          <w:tcPr>
            <w:tcW w:w="0" w:type="auto"/>
            <w:shd w:val="clear" w:color="auto" w:fill="FFF1E7"/>
            <w:vAlign w:val="bottom"/>
          </w:tcPr>
          <w:p w14:paraId="606F897F"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9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235</w:t>
            </w:r>
          </w:p>
        </w:tc>
        <w:tc>
          <w:tcPr>
            <w:tcW w:w="0" w:type="auto"/>
            <w:shd w:val="clear" w:color="auto" w:fill="auto"/>
            <w:vAlign w:val="bottom"/>
          </w:tcPr>
          <w:p w14:paraId="606F8981"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9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98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9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98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99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8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98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98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2,537</w:t>
            </w:r>
          </w:p>
        </w:tc>
        <w:tc>
          <w:tcPr>
            <w:tcW w:w="0" w:type="auto"/>
            <w:tcBorders>
              <w:top w:val="single" w:sz="8" w:space="0" w:color="E87722"/>
              <w:bottom w:val="single" w:sz="8" w:space="0" w:color="E87722"/>
            </w:tcBorders>
            <w:shd w:val="clear" w:color="auto" w:fill="FFF1E7"/>
            <w:vAlign w:val="bottom"/>
          </w:tcPr>
          <w:p w14:paraId="606F898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8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98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2,313</w:t>
            </w:r>
          </w:p>
        </w:tc>
        <w:tc>
          <w:tcPr>
            <w:tcW w:w="0" w:type="auto"/>
            <w:tcBorders>
              <w:top w:val="single" w:sz="8" w:space="0" w:color="E87722"/>
              <w:bottom w:val="single" w:sz="8" w:space="0" w:color="E87722"/>
            </w:tcBorders>
            <w:shd w:val="clear" w:color="auto" w:fill="auto"/>
            <w:vAlign w:val="bottom"/>
          </w:tcPr>
          <w:p w14:paraId="606F898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8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8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9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9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9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99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99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5,310</w:t>
            </w:r>
          </w:p>
        </w:tc>
        <w:tc>
          <w:tcPr>
            <w:tcW w:w="0" w:type="auto"/>
            <w:tcBorders>
              <w:top w:val="single" w:sz="8" w:space="0" w:color="E87722"/>
              <w:bottom w:val="single" w:sz="8" w:space="0" w:color="E87722"/>
            </w:tcBorders>
            <w:shd w:val="clear" w:color="auto" w:fill="FFF1E7"/>
            <w:vAlign w:val="bottom"/>
          </w:tcPr>
          <w:p w14:paraId="606F899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9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99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4,920</w:t>
            </w:r>
          </w:p>
        </w:tc>
        <w:tc>
          <w:tcPr>
            <w:tcW w:w="0" w:type="auto"/>
            <w:tcBorders>
              <w:top w:val="single" w:sz="8" w:space="0" w:color="E87722"/>
              <w:bottom w:val="single" w:sz="8" w:space="0" w:color="E87722"/>
            </w:tcBorders>
            <w:shd w:val="clear" w:color="auto" w:fill="auto"/>
            <w:vAlign w:val="bottom"/>
          </w:tcPr>
          <w:p w14:paraId="606F899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9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9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9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9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9A8" w14:textId="77777777">
        <w:tc>
          <w:tcPr>
            <w:tcW w:w="0" w:type="auto"/>
            <w:shd w:val="clear" w:color="auto" w:fill="auto"/>
            <w:tcMar>
              <w:top w:w="40" w:type="dxa"/>
              <w:left w:w="40" w:type="dxa"/>
              <w:bottom w:w="40" w:type="dxa"/>
              <w:right w:w="40" w:type="dxa"/>
            </w:tcMar>
            <w:vAlign w:val="bottom"/>
          </w:tcPr>
          <w:p w14:paraId="606F899E"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99F"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606F89A0"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606F89A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9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9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9A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606F89A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606F89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9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9B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9A9"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9A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9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1,794</w:t>
            </w:r>
          </w:p>
        </w:tc>
        <w:tc>
          <w:tcPr>
            <w:tcW w:w="0" w:type="auto"/>
            <w:tcBorders>
              <w:top w:val="single" w:sz="8" w:space="0" w:color="808080"/>
              <w:bottom w:val="single" w:sz="8" w:space="0" w:color="808080"/>
            </w:tcBorders>
            <w:shd w:val="clear" w:color="auto" w:fill="FFF1E7"/>
            <w:vAlign w:val="bottom"/>
          </w:tcPr>
          <w:p w14:paraId="606F89A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A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9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1,617</w:t>
            </w:r>
          </w:p>
        </w:tc>
        <w:tc>
          <w:tcPr>
            <w:tcW w:w="0" w:type="auto"/>
            <w:tcBorders>
              <w:top w:val="single" w:sz="8" w:space="0" w:color="808080"/>
              <w:bottom w:val="single" w:sz="8" w:space="0" w:color="808080"/>
            </w:tcBorders>
            <w:shd w:val="clear" w:color="auto" w:fill="auto"/>
            <w:vAlign w:val="bottom"/>
          </w:tcPr>
          <w:p w14:paraId="606F89A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B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9B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9B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9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3,836</w:t>
            </w:r>
          </w:p>
        </w:tc>
        <w:tc>
          <w:tcPr>
            <w:tcW w:w="0" w:type="auto"/>
            <w:tcBorders>
              <w:top w:val="single" w:sz="8" w:space="0" w:color="808080"/>
              <w:bottom w:val="single" w:sz="8" w:space="0" w:color="808080"/>
            </w:tcBorders>
            <w:shd w:val="clear" w:color="auto" w:fill="FFF1E7"/>
            <w:vAlign w:val="bottom"/>
          </w:tcPr>
          <w:p w14:paraId="606F89B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9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3,533</w:t>
            </w:r>
          </w:p>
        </w:tc>
        <w:tc>
          <w:tcPr>
            <w:tcW w:w="0" w:type="auto"/>
            <w:tcBorders>
              <w:top w:val="single" w:sz="8" w:space="0" w:color="808080"/>
              <w:bottom w:val="single" w:sz="8" w:space="0" w:color="808080"/>
            </w:tcBorders>
            <w:shd w:val="clear" w:color="auto" w:fill="auto"/>
            <w:vAlign w:val="bottom"/>
          </w:tcPr>
          <w:p w14:paraId="606F89B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B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9B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9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9D2" w14:textId="77777777">
        <w:tc>
          <w:tcPr>
            <w:tcW w:w="0" w:type="auto"/>
            <w:shd w:val="clear" w:color="auto" w:fill="auto"/>
            <w:tcMar>
              <w:top w:w="40" w:type="dxa"/>
              <w:left w:w="240" w:type="dxa"/>
              <w:bottom w:w="40" w:type="dxa"/>
              <w:right w:w="40" w:type="dxa"/>
            </w:tcMar>
            <w:vAlign w:val="bottom"/>
          </w:tcPr>
          <w:p w14:paraId="606F89C0"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606F89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743</w:t>
            </w:r>
          </w:p>
        </w:tc>
        <w:tc>
          <w:tcPr>
            <w:tcW w:w="0" w:type="auto"/>
            <w:shd w:val="clear" w:color="auto" w:fill="FFF1E7"/>
            <w:vAlign w:val="bottom"/>
          </w:tcPr>
          <w:p w14:paraId="606F89C2"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9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696</w:t>
            </w:r>
          </w:p>
        </w:tc>
        <w:tc>
          <w:tcPr>
            <w:tcW w:w="0" w:type="auto"/>
            <w:shd w:val="clear" w:color="auto" w:fill="auto"/>
            <w:vAlign w:val="bottom"/>
          </w:tcPr>
          <w:p w14:paraId="606F89C4"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9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606F89C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9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9C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9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9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1,474</w:t>
            </w:r>
          </w:p>
        </w:tc>
        <w:tc>
          <w:tcPr>
            <w:tcW w:w="0" w:type="auto"/>
            <w:shd w:val="clear" w:color="auto" w:fill="FFF1E7"/>
            <w:vAlign w:val="bottom"/>
          </w:tcPr>
          <w:p w14:paraId="606F89C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9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1,387</w:t>
            </w:r>
          </w:p>
        </w:tc>
        <w:tc>
          <w:tcPr>
            <w:tcW w:w="0" w:type="auto"/>
            <w:shd w:val="clear" w:color="auto" w:fill="auto"/>
            <w:vAlign w:val="bottom"/>
          </w:tcPr>
          <w:p w14:paraId="606F89C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9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9C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9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606F89D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9E9"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9D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9D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9D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2,537</w:t>
            </w:r>
          </w:p>
        </w:tc>
        <w:tc>
          <w:tcPr>
            <w:tcW w:w="0" w:type="auto"/>
            <w:tcBorders>
              <w:top w:val="single" w:sz="8" w:space="0" w:color="E87722"/>
              <w:bottom w:val="single" w:sz="8" w:space="0" w:color="E87722"/>
            </w:tcBorders>
            <w:shd w:val="clear" w:color="auto" w:fill="FFF1E7"/>
            <w:vAlign w:val="bottom"/>
          </w:tcPr>
          <w:p w14:paraId="606F89D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D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9D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2,313</w:t>
            </w:r>
          </w:p>
        </w:tc>
        <w:tc>
          <w:tcPr>
            <w:tcW w:w="0" w:type="auto"/>
            <w:tcBorders>
              <w:top w:val="single" w:sz="8" w:space="0" w:color="E87722"/>
              <w:bottom w:val="single" w:sz="8" w:space="0" w:color="E87722"/>
            </w:tcBorders>
            <w:shd w:val="clear" w:color="auto" w:fill="auto"/>
            <w:vAlign w:val="bottom"/>
          </w:tcPr>
          <w:p w14:paraId="606F89D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D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D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D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D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9D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9D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9E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5,310</w:t>
            </w:r>
          </w:p>
        </w:tc>
        <w:tc>
          <w:tcPr>
            <w:tcW w:w="0" w:type="auto"/>
            <w:tcBorders>
              <w:top w:val="single" w:sz="8" w:space="0" w:color="E87722"/>
              <w:bottom w:val="single" w:sz="8" w:space="0" w:color="E87722"/>
            </w:tcBorders>
            <w:shd w:val="clear" w:color="auto" w:fill="FFF1E7"/>
            <w:vAlign w:val="bottom"/>
          </w:tcPr>
          <w:p w14:paraId="606F89E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E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9E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4,920</w:t>
            </w:r>
          </w:p>
        </w:tc>
        <w:tc>
          <w:tcPr>
            <w:tcW w:w="0" w:type="auto"/>
            <w:tcBorders>
              <w:top w:val="single" w:sz="8" w:space="0" w:color="E87722"/>
              <w:bottom w:val="single" w:sz="8" w:space="0" w:color="E87722"/>
            </w:tcBorders>
            <w:shd w:val="clear" w:color="auto" w:fill="auto"/>
            <w:vAlign w:val="bottom"/>
          </w:tcPr>
          <w:p w14:paraId="606F89E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E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E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E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E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9FE"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E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9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9E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510</w:t>
            </w:r>
          </w:p>
        </w:tc>
        <w:tc>
          <w:tcPr>
            <w:tcW w:w="0" w:type="auto"/>
            <w:tcBorders>
              <w:top w:val="single" w:sz="8" w:space="0" w:color="E87722"/>
              <w:bottom w:val="single" w:sz="8" w:space="0" w:color="E87722"/>
            </w:tcBorders>
            <w:shd w:val="clear" w:color="auto" w:fill="FFF1E7"/>
            <w:vAlign w:val="bottom"/>
          </w:tcPr>
          <w:p w14:paraId="606F89E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E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9E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450</w:t>
            </w:r>
          </w:p>
        </w:tc>
        <w:tc>
          <w:tcPr>
            <w:tcW w:w="0" w:type="auto"/>
            <w:tcBorders>
              <w:top w:val="single" w:sz="8" w:space="0" w:color="E87722"/>
              <w:bottom w:val="single" w:sz="8" w:space="0" w:color="E87722"/>
            </w:tcBorders>
            <w:shd w:val="clear" w:color="auto" w:fill="auto"/>
            <w:vAlign w:val="bottom"/>
          </w:tcPr>
          <w:p w14:paraId="606F89F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F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F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F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F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9F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9F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1,119</w:t>
            </w:r>
          </w:p>
        </w:tc>
        <w:tc>
          <w:tcPr>
            <w:tcW w:w="0" w:type="auto"/>
            <w:tcBorders>
              <w:top w:val="single" w:sz="8" w:space="0" w:color="E87722"/>
              <w:bottom w:val="single" w:sz="8" w:space="0" w:color="E87722"/>
            </w:tcBorders>
            <w:shd w:val="clear" w:color="auto" w:fill="FFF1E7"/>
            <w:vAlign w:val="bottom"/>
          </w:tcPr>
          <w:p w14:paraId="606F89F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F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9F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951</w:t>
            </w:r>
          </w:p>
        </w:tc>
        <w:tc>
          <w:tcPr>
            <w:tcW w:w="0" w:type="auto"/>
            <w:tcBorders>
              <w:top w:val="single" w:sz="8" w:space="0" w:color="E87722"/>
              <w:bottom w:val="single" w:sz="8" w:space="0" w:color="E87722"/>
            </w:tcBorders>
            <w:shd w:val="clear" w:color="auto" w:fill="auto"/>
            <w:vAlign w:val="bottom"/>
          </w:tcPr>
          <w:p w14:paraId="606F89F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9F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9F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9F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bl>
    <w:p w14:paraId="606F89FF"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A0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EMEA revenues for the second quarter of fiscal 2020 grew 14%, driven by higher revenues across all territories, most notably UK &amp; Ireland and C</w:t>
      </w:r>
      <w:r>
        <w:rPr>
          <w:rFonts w:ascii="Arial" w:eastAsia="宋体" w:hAnsi="Arial" w:cs="Arial"/>
          <w:sz w:val="17"/>
          <w:szCs w:val="17"/>
        </w:rPr>
        <w:t>entral Europe, which grew 16% and 20%, respectively. Revenues increased in nearly all key categories, led by Sportswear and to a lesser extent the Jordan Brand. NIKE Direct revenues increased 11% as digital commerce sales growth of 27% and comparable store</w:t>
      </w:r>
      <w:r>
        <w:rPr>
          <w:rFonts w:ascii="Arial" w:eastAsia="宋体" w:hAnsi="Arial" w:cs="Arial"/>
          <w:sz w:val="17"/>
          <w:szCs w:val="17"/>
        </w:rPr>
        <w:t xml:space="preserve"> sales growth of 4% more than offset declines from certain store closures as we continually optimize our fleet to meet consumer demand in both physical and digital channels.</w:t>
      </w:r>
    </w:p>
    <w:p w14:paraId="606F8A0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footwear revenues grew 12%, driven by higher revenues in nearly a</w:t>
      </w:r>
      <w:r>
        <w:rPr>
          <w:rFonts w:ascii="Arial" w:eastAsia="宋体" w:hAnsi="Arial" w:cs="Arial"/>
          <w:sz w:val="17"/>
          <w:szCs w:val="17"/>
        </w:rPr>
        <w:t xml:space="preserve">ll key categories, led by Sportswear and the Jordan Brand, partially offset by a decline in Football (Soccer). Unit sales of footwear increased 6% and higher ASP per pair contributed approximately 6 percentage points of footwear revenue growth. Higher ASP </w:t>
      </w:r>
      <w:r>
        <w:rPr>
          <w:rFonts w:ascii="Arial" w:eastAsia="宋体" w:hAnsi="Arial" w:cs="Arial"/>
          <w:sz w:val="17"/>
          <w:szCs w:val="17"/>
        </w:rPr>
        <w:t>per pair primarily resulted from higher full-price, NIKE Direct and off-price ASPs.</w:t>
      </w:r>
    </w:p>
    <w:p w14:paraId="606F8A0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apparel revenues increased 17% due to growth in nearly all key categories, led by Sportswear. Unit sales of apparel increased 16% and higher ASP per unit c</w:t>
      </w:r>
      <w:r>
        <w:rPr>
          <w:rFonts w:ascii="Arial" w:eastAsia="宋体" w:hAnsi="Arial" w:cs="Arial"/>
          <w:sz w:val="17"/>
          <w:szCs w:val="17"/>
        </w:rPr>
        <w:t>ontributed approximately 1 percentage point of apparel revenue growth. Higher ASP per unit was primarily due to higher full-price and off-price ASPs.</w:t>
      </w:r>
    </w:p>
    <w:p w14:paraId="606F8A0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Reported EBIT increased 13% as higher revenues and lower selling and administrative expense more than </w:t>
      </w:r>
      <w:r>
        <w:rPr>
          <w:rFonts w:ascii="Arial" w:eastAsia="宋体" w:hAnsi="Arial" w:cs="Arial"/>
          <w:sz w:val="17"/>
          <w:szCs w:val="17"/>
        </w:rPr>
        <w:t>offset a decline in gross margin. Gross margin decreased approximately 100 basis points primarily due to unfavorable standard foreign currency exchange rates and higher product costs which more than offset higher full-price ASP and higher off-price margin.</w:t>
      </w:r>
      <w:r>
        <w:rPr>
          <w:rFonts w:ascii="Arial" w:eastAsia="宋体" w:hAnsi="Arial" w:cs="Arial"/>
          <w:sz w:val="17"/>
          <w:szCs w:val="17"/>
        </w:rPr>
        <w:t xml:space="preserve"> Selling and administrative expense decreased due to lower demand creation expense, partially offset by higher operating overhead expense. The decrease in demand creation expense was driven by lower retail brand presentation and sports marketing costs part</w:t>
      </w:r>
      <w:r>
        <w:rPr>
          <w:rFonts w:ascii="Arial" w:eastAsia="宋体" w:hAnsi="Arial" w:cs="Arial"/>
          <w:sz w:val="17"/>
          <w:szCs w:val="17"/>
        </w:rPr>
        <w:t>ially offset by higher advertising and marketing expenses. Growth in operating overhead expense was primarily due to higher wage-related costs.</w:t>
      </w:r>
    </w:p>
    <w:p w14:paraId="606F8A04"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FIRST SIX MONTHS OF FISCAL 2020 COMPARED TO FIRST SIX MONTHS OF FISCAL 2019</w:t>
      </w:r>
    </w:p>
    <w:p w14:paraId="606F8A0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On a </w:t>
      </w:r>
      <w:r>
        <w:rPr>
          <w:rFonts w:ascii="Arial" w:eastAsia="宋体" w:hAnsi="Arial" w:cs="Arial"/>
          <w:sz w:val="17"/>
          <w:szCs w:val="17"/>
        </w:rPr>
        <w:t>currency-neutral basis, EMEA revenues for the first six months of fiscal 2020 grew 13%, driven by higher revenues across all territories, most notably UK &amp; Ireland, Eastern Europe and Central Europe, which grew 16%, 20% and 12%, respectively. Revenues incr</w:t>
      </w:r>
      <w:r>
        <w:rPr>
          <w:rFonts w:ascii="Arial" w:eastAsia="宋体" w:hAnsi="Arial" w:cs="Arial"/>
          <w:sz w:val="17"/>
          <w:szCs w:val="17"/>
        </w:rPr>
        <w:t>eased in most key categories, led by Sportswear and the Jordan Brand. NIKE Direct revenues increased 11% as digital commerce sales growth of 27% and comparable store sales growth of 6% more than offset declines from certain store closures as we continually</w:t>
      </w:r>
      <w:r>
        <w:rPr>
          <w:rFonts w:ascii="Arial" w:eastAsia="宋体" w:hAnsi="Arial" w:cs="Arial"/>
          <w:sz w:val="17"/>
          <w:szCs w:val="17"/>
        </w:rPr>
        <w:t xml:space="preserve"> optimize our fleet to meet consumer demand in both physical and digital channels.</w:t>
      </w:r>
    </w:p>
    <w:p w14:paraId="606F8A0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footwear revenues grew 12%, driven by higher revenues in most key categories, led by Sportswear and the Jordan Brand. Unit sales of footwear increased 5% an</w:t>
      </w:r>
      <w:r>
        <w:rPr>
          <w:rFonts w:ascii="Arial" w:eastAsia="宋体" w:hAnsi="Arial" w:cs="Arial"/>
          <w:sz w:val="17"/>
          <w:szCs w:val="17"/>
        </w:rPr>
        <w:t>d higher ASP per pair contributed approximately 7 percentage points of footwear revenue growth. Higher ASP per pair primarily resulted from higher full-price and NIKE Direct ASPs.</w:t>
      </w:r>
    </w:p>
    <w:p w14:paraId="606F8A0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Currency-neutral apparel revenues increased 13% due to growth in nearly all </w:t>
      </w:r>
      <w:r>
        <w:rPr>
          <w:rFonts w:ascii="Arial" w:eastAsia="宋体" w:hAnsi="Arial" w:cs="Arial"/>
          <w:sz w:val="17"/>
          <w:szCs w:val="17"/>
        </w:rPr>
        <w:t>key categories, led by Sportswear. Unit sales of apparel increased 11% and higher ASP per unit contributed approximately 2 percentage points of apparel revenue growth. Higher ASP per unit was primarily due to higher full-price and off-price ASPs.</w:t>
      </w:r>
    </w:p>
    <w:p w14:paraId="606F8A0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Reported </w:t>
      </w:r>
      <w:r>
        <w:rPr>
          <w:rFonts w:ascii="Arial" w:eastAsia="宋体" w:hAnsi="Arial" w:cs="Arial"/>
          <w:sz w:val="17"/>
          <w:szCs w:val="17"/>
        </w:rPr>
        <w:t>EBIT increased 18% for the first six months of fiscal 2020, driven by higher revenues, gross margin expansion and selling and administrative expense leverage. Gross margin increased approximately 110 basis points as higher full-price ASP, higher NIKE Direc</w:t>
      </w:r>
      <w:r>
        <w:rPr>
          <w:rFonts w:ascii="Arial" w:eastAsia="宋体" w:hAnsi="Arial" w:cs="Arial"/>
          <w:sz w:val="17"/>
          <w:szCs w:val="17"/>
        </w:rPr>
        <w:t xml:space="preserve">t margins, lower product costs and higher off-price margins more than offset unfavorable standard foreign </w:t>
      </w:r>
    </w:p>
    <w:p w14:paraId="606F8A09" w14:textId="77777777" w:rsidR="00FB67F9" w:rsidRDefault="00FB67F9">
      <w:pPr>
        <w:rPr>
          <w:rFonts w:ascii="Times New Roman" w:hAnsi="Times New Roman"/>
          <w:sz w:val="20"/>
          <w:szCs w:val="20"/>
        </w:rPr>
      </w:pPr>
    </w:p>
    <w:p w14:paraId="606F8A0A"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34</w:t>
      </w:r>
      <w:r>
        <w:rPr>
          <w:rFonts w:ascii="sans-serif" w:eastAsia="sans-serif" w:hAnsi="sans-serif" w:cs="sans-serif"/>
          <w:sz w:val="17"/>
          <w:szCs w:val="17"/>
        </w:rPr>
        <w:t xml:space="preserve"> </w:t>
      </w:r>
    </w:p>
    <w:p w14:paraId="606F8A0B" w14:textId="77777777" w:rsidR="00FB67F9" w:rsidRDefault="00E839DF">
      <w:r>
        <w:rPr>
          <w:rFonts w:ascii="Times New Roman" w:hAnsi="Times New Roman"/>
          <w:sz w:val="17"/>
          <w:szCs w:val="17"/>
        </w:rPr>
        <w:pict w14:anchorId="606F8F9F">
          <v:rect id="_x0000_i1060" style="width:415.3pt;height:1.5pt" o:hralign="center" o:hrstd="t" o:hr="t" fillcolor="#a0a0a0" stroked="f"/>
        </w:pict>
      </w:r>
    </w:p>
    <w:p w14:paraId="606F8A0C" w14:textId="77777777" w:rsidR="00FB67F9" w:rsidRDefault="00FB67F9">
      <w:pPr>
        <w:rPr>
          <w:rFonts w:ascii="Times New Roman" w:hAnsi="Times New Roman"/>
          <w:sz w:val="17"/>
          <w:szCs w:val="17"/>
        </w:rPr>
      </w:pPr>
    </w:p>
    <w:p w14:paraId="606F8A0D" w14:textId="77777777" w:rsidR="00FB67F9" w:rsidRDefault="00E839DF">
      <w:pPr>
        <w:rPr>
          <w:rFonts w:ascii="Times New Roman" w:hAnsi="Times New Roman"/>
          <w:sz w:val="17"/>
          <w:szCs w:val="17"/>
        </w:rPr>
      </w:pPr>
      <w:hyperlink r:id="rId104" w:anchor="s42C493F7582652B69E70047AB812E6A5" w:history="1">
        <w:r>
          <w:rPr>
            <w:rStyle w:val="a5"/>
            <w:rFonts w:ascii="sans-serif" w:eastAsia="sans-serif" w:hAnsi="sans-serif" w:cs="sans-serif"/>
            <w:sz w:val="17"/>
            <w:szCs w:val="17"/>
          </w:rPr>
          <w:t>Table of Contents</w:t>
        </w:r>
      </w:hyperlink>
    </w:p>
    <w:p w14:paraId="606F8A0E" w14:textId="77777777" w:rsidR="00FB67F9" w:rsidRDefault="00FB67F9">
      <w:pPr>
        <w:rPr>
          <w:rFonts w:ascii="Times New Roman" w:hAnsi="Times New Roman"/>
          <w:sz w:val="17"/>
          <w:szCs w:val="17"/>
        </w:rPr>
      </w:pPr>
    </w:p>
    <w:p w14:paraId="606F8A0F" w14:textId="77777777" w:rsidR="00FB67F9" w:rsidRDefault="00FB67F9">
      <w:pPr>
        <w:rPr>
          <w:rFonts w:ascii="Times New Roman" w:hAnsi="Times New Roman"/>
          <w:sz w:val="20"/>
          <w:szCs w:val="20"/>
        </w:rPr>
      </w:pPr>
    </w:p>
    <w:p w14:paraId="606F8A1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currency exchange rates. Selling and administrative expense increased due to higher demand creation and operating overhead expense. The increase in demand creation expense was driven by higher advertising and </w:t>
      </w:r>
      <w:r>
        <w:rPr>
          <w:rFonts w:ascii="Arial" w:eastAsia="宋体" w:hAnsi="Arial" w:cs="Arial"/>
          <w:sz w:val="17"/>
          <w:szCs w:val="17"/>
        </w:rPr>
        <w:t>marketing costs, as well as higher sports marketing expense, partially offset by lower retail brand presentation costs. Growth in operating overhead expense was primarily due to higher wage-related costs.</w:t>
      </w:r>
    </w:p>
    <w:p w14:paraId="606F8A11"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GREATER CHINA</w:t>
      </w:r>
    </w:p>
    <w:tbl>
      <w:tblPr>
        <w:tblW w:w="5000" w:type="pct"/>
        <w:tblCellMar>
          <w:left w:w="0" w:type="dxa"/>
          <w:right w:w="0" w:type="dxa"/>
        </w:tblCellMar>
        <w:tblLook w:val="04A0" w:firstRow="1" w:lastRow="0" w:firstColumn="1" w:lastColumn="0" w:noHBand="0" w:noVBand="1"/>
      </w:tblPr>
      <w:tblGrid>
        <w:gridCol w:w="2107"/>
        <w:gridCol w:w="135"/>
        <w:gridCol w:w="445"/>
        <w:gridCol w:w="6"/>
        <w:gridCol w:w="135"/>
        <w:gridCol w:w="426"/>
        <w:gridCol w:w="6"/>
        <w:gridCol w:w="644"/>
        <w:gridCol w:w="192"/>
        <w:gridCol w:w="863"/>
        <w:gridCol w:w="192"/>
        <w:gridCol w:w="130"/>
        <w:gridCol w:w="135"/>
        <w:gridCol w:w="426"/>
        <w:gridCol w:w="6"/>
        <w:gridCol w:w="135"/>
        <w:gridCol w:w="426"/>
        <w:gridCol w:w="6"/>
        <w:gridCol w:w="644"/>
        <w:gridCol w:w="192"/>
        <w:gridCol w:w="863"/>
        <w:gridCol w:w="192"/>
      </w:tblGrid>
      <w:tr w:rsidR="00FB67F9" w14:paraId="606F8A13" w14:textId="77777777">
        <w:tc>
          <w:tcPr>
            <w:tcW w:w="0" w:type="auto"/>
            <w:gridSpan w:val="22"/>
            <w:shd w:val="clear" w:color="auto" w:fill="auto"/>
            <w:vAlign w:val="center"/>
          </w:tcPr>
          <w:p w14:paraId="606F8A12" w14:textId="77777777" w:rsidR="00FB67F9" w:rsidRDefault="00FB67F9">
            <w:pPr>
              <w:rPr>
                <w:rFonts w:ascii="Times New Roman" w:hAnsi="Times New Roman"/>
                <w:sz w:val="20"/>
                <w:szCs w:val="20"/>
              </w:rPr>
            </w:pPr>
          </w:p>
        </w:tc>
      </w:tr>
      <w:tr w:rsidR="00FB67F9" w14:paraId="606F8A2A" w14:textId="77777777">
        <w:tc>
          <w:tcPr>
            <w:tcW w:w="1350" w:type="pct"/>
            <w:shd w:val="clear" w:color="auto" w:fill="auto"/>
            <w:vAlign w:val="center"/>
          </w:tcPr>
          <w:p w14:paraId="606F8A14" w14:textId="77777777" w:rsidR="00FB67F9" w:rsidRDefault="00FB67F9">
            <w:pPr>
              <w:rPr>
                <w:rFonts w:ascii="Times New Roman" w:hAnsi="Times New Roman"/>
                <w:sz w:val="20"/>
                <w:szCs w:val="20"/>
              </w:rPr>
            </w:pPr>
          </w:p>
        </w:tc>
        <w:tc>
          <w:tcPr>
            <w:tcW w:w="50" w:type="pct"/>
            <w:shd w:val="clear" w:color="auto" w:fill="auto"/>
            <w:vAlign w:val="center"/>
          </w:tcPr>
          <w:p w14:paraId="606F8A15" w14:textId="77777777" w:rsidR="00FB67F9" w:rsidRDefault="00FB67F9">
            <w:pPr>
              <w:rPr>
                <w:rFonts w:ascii="Times New Roman" w:hAnsi="Times New Roman"/>
                <w:sz w:val="20"/>
                <w:szCs w:val="20"/>
              </w:rPr>
            </w:pPr>
          </w:p>
        </w:tc>
        <w:tc>
          <w:tcPr>
            <w:tcW w:w="350" w:type="pct"/>
            <w:shd w:val="clear" w:color="auto" w:fill="auto"/>
            <w:vAlign w:val="center"/>
          </w:tcPr>
          <w:p w14:paraId="606F8A16" w14:textId="77777777" w:rsidR="00FB67F9" w:rsidRDefault="00FB67F9">
            <w:pPr>
              <w:rPr>
                <w:rFonts w:ascii="Times New Roman" w:hAnsi="Times New Roman"/>
                <w:sz w:val="20"/>
                <w:szCs w:val="20"/>
              </w:rPr>
            </w:pPr>
          </w:p>
        </w:tc>
        <w:tc>
          <w:tcPr>
            <w:tcW w:w="50" w:type="pct"/>
            <w:shd w:val="clear" w:color="auto" w:fill="auto"/>
            <w:vAlign w:val="center"/>
          </w:tcPr>
          <w:p w14:paraId="606F8A17" w14:textId="77777777" w:rsidR="00FB67F9" w:rsidRDefault="00FB67F9">
            <w:pPr>
              <w:rPr>
                <w:rFonts w:ascii="Times New Roman" w:hAnsi="Times New Roman"/>
                <w:sz w:val="20"/>
                <w:szCs w:val="20"/>
              </w:rPr>
            </w:pPr>
          </w:p>
        </w:tc>
        <w:tc>
          <w:tcPr>
            <w:tcW w:w="50" w:type="pct"/>
            <w:shd w:val="clear" w:color="auto" w:fill="auto"/>
            <w:vAlign w:val="center"/>
          </w:tcPr>
          <w:p w14:paraId="606F8A18" w14:textId="77777777" w:rsidR="00FB67F9" w:rsidRDefault="00FB67F9">
            <w:pPr>
              <w:rPr>
                <w:rFonts w:ascii="Times New Roman" w:hAnsi="Times New Roman"/>
                <w:sz w:val="20"/>
                <w:szCs w:val="20"/>
              </w:rPr>
            </w:pPr>
          </w:p>
        </w:tc>
        <w:tc>
          <w:tcPr>
            <w:tcW w:w="350" w:type="pct"/>
            <w:shd w:val="clear" w:color="auto" w:fill="auto"/>
            <w:vAlign w:val="center"/>
          </w:tcPr>
          <w:p w14:paraId="606F8A19" w14:textId="77777777" w:rsidR="00FB67F9" w:rsidRDefault="00FB67F9">
            <w:pPr>
              <w:rPr>
                <w:rFonts w:ascii="Times New Roman" w:hAnsi="Times New Roman"/>
                <w:sz w:val="20"/>
                <w:szCs w:val="20"/>
              </w:rPr>
            </w:pPr>
          </w:p>
        </w:tc>
        <w:tc>
          <w:tcPr>
            <w:tcW w:w="50" w:type="pct"/>
            <w:shd w:val="clear" w:color="auto" w:fill="auto"/>
            <w:vAlign w:val="center"/>
          </w:tcPr>
          <w:p w14:paraId="606F8A1A" w14:textId="77777777" w:rsidR="00FB67F9" w:rsidRDefault="00FB67F9">
            <w:pPr>
              <w:rPr>
                <w:rFonts w:ascii="Times New Roman" w:hAnsi="Times New Roman"/>
                <w:sz w:val="20"/>
                <w:szCs w:val="20"/>
              </w:rPr>
            </w:pPr>
          </w:p>
        </w:tc>
        <w:tc>
          <w:tcPr>
            <w:tcW w:w="400" w:type="pct"/>
            <w:shd w:val="clear" w:color="auto" w:fill="auto"/>
            <w:vAlign w:val="center"/>
          </w:tcPr>
          <w:p w14:paraId="606F8A1B" w14:textId="77777777" w:rsidR="00FB67F9" w:rsidRDefault="00FB67F9">
            <w:pPr>
              <w:rPr>
                <w:rFonts w:ascii="Times New Roman" w:hAnsi="Times New Roman"/>
                <w:sz w:val="20"/>
                <w:szCs w:val="20"/>
              </w:rPr>
            </w:pPr>
          </w:p>
        </w:tc>
        <w:tc>
          <w:tcPr>
            <w:tcW w:w="50" w:type="pct"/>
            <w:shd w:val="clear" w:color="auto" w:fill="auto"/>
            <w:vAlign w:val="center"/>
          </w:tcPr>
          <w:p w14:paraId="606F8A1C" w14:textId="77777777" w:rsidR="00FB67F9" w:rsidRDefault="00FB67F9">
            <w:pPr>
              <w:rPr>
                <w:rFonts w:ascii="Times New Roman" w:hAnsi="Times New Roman"/>
                <w:sz w:val="20"/>
                <w:szCs w:val="20"/>
              </w:rPr>
            </w:pPr>
          </w:p>
        </w:tc>
        <w:tc>
          <w:tcPr>
            <w:tcW w:w="400" w:type="pct"/>
            <w:shd w:val="clear" w:color="auto" w:fill="auto"/>
            <w:vAlign w:val="center"/>
          </w:tcPr>
          <w:p w14:paraId="606F8A1D" w14:textId="77777777" w:rsidR="00FB67F9" w:rsidRDefault="00FB67F9">
            <w:pPr>
              <w:rPr>
                <w:rFonts w:ascii="Times New Roman" w:hAnsi="Times New Roman"/>
                <w:sz w:val="20"/>
                <w:szCs w:val="20"/>
              </w:rPr>
            </w:pPr>
          </w:p>
        </w:tc>
        <w:tc>
          <w:tcPr>
            <w:tcW w:w="50" w:type="pct"/>
            <w:shd w:val="clear" w:color="auto" w:fill="auto"/>
            <w:vAlign w:val="center"/>
          </w:tcPr>
          <w:p w14:paraId="606F8A1E" w14:textId="77777777" w:rsidR="00FB67F9" w:rsidRDefault="00FB67F9">
            <w:pPr>
              <w:rPr>
                <w:rFonts w:ascii="Times New Roman" w:hAnsi="Times New Roman"/>
                <w:sz w:val="20"/>
                <w:szCs w:val="20"/>
              </w:rPr>
            </w:pPr>
          </w:p>
        </w:tc>
        <w:tc>
          <w:tcPr>
            <w:tcW w:w="50" w:type="pct"/>
            <w:shd w:val="clear" w:color="auto" w:fill="auto"/>
            <w:vAlign w:val="center"/>
          </w:tcPr>
          <w:p w14:paraId="606F8A1F" w14:textId="77777777" w:rsidR="00FB67F9" w:rsidRDefault="00FB67F9">
            <w:pPr>
              <w:rPr>
                <w:rFonts w:ascii="Times New Roman" w:hAnsi="Times New Roman"/>
                <w:sz w:val="20"/>
                <w:szCs w:val="20"/>
              </w:rPr>
            </w:pPr>
          </w:p>
        </w:tc>
        <w:tc>
          <w:tcPr>
            <w:tcW w:w="50" w:type="pct"/>
            <w:shd w:val="clear" w:color="auto" w:fill="auto"/>
            <w:vAlign w:val="center"/>
          </w:tcPr>
          <w:p w14:paraId="606F8A20" w14:textId="77777777" w:rsidR="00FB67F9" w:rsidRDefault="00FB67F9">
            <w:pPr>
              <w:rPr>
                <w:rFonts w:ascii="Times New Roman" w:hAnsi="Times New Roman"/>
                <w:sz w:val="20"/>
                <w:szCs w:val="20"/>
              </w:rPr>
            </w:pPr>
          </w:p>
        </w:tc>
        <w:tc>
          <w:tcPr>
            <w:tcW w:w="350" w:type="pct"/>
            <w:shd w:val="clear" w:color="auto" w:fill="auto"/>
            <w:vAlign w:val="center"/>
          </w:tcPr>
          <w:p w14:paraId="606F8A21" w14:textId="77777777" w:rsidR="00FB67F9" w:rsidRDefault="00FB67F9">
            <w:pPr>
              <w:rPr>
                <w:rFonts w:ascii="Times New Roman" w:hAnsi="Times New Roman"/>
                <w:sz w:val="20"/>
                <w:szCs w:val="20"/>
              </w:rPr>
            </w:pPr>
          </w:p>
        </w:tc>
        <w:tc>
          <w:tcPr>
            <w:tcW w:w="50" w:type="pct"/>
            <w:shd w:val="clear" w:color="auto" w:fill="auto"/>
            <w:vAlign w:val="center"/>
          </w:tcPr>
          <w:p w14:paraId="606F8A22" w14:textId="77777777" w:rsidR="00FB67F9" w:rsidRDefault="00FB67F9">
            <w:pPr>
              <w:rPr>
                <w:rFonts w:ascii="Times New Roman" w:hAnsi="Times New Roman"/>
                <w:sz w:val="20"/>
                <w:szCs w:val="20"/>
              </w:rPr>
            </w:pPr>
          </w:p>
        </w:tc>
        <w:tc>
          <w:tcPr>
            <w:tcW w:w="50" w:type="pct"/>
            <w:shd w:val="clear" w:color="auto" w:fill="auto"/>
            <w:vAlign w:val="center"/>
          </w:tcPr>
          <w:p w14:paraId="606F8A23" w14:textId="77777777" w:rsidR="00FB67F9" w:rsidRDefault="00FB67F9">
            <w:pPr>
              <w:rPr>
                <w:rFonts w:ascii="Times New Roman" w:hAnsi="Times New Roman"/>
                <w:sz w:val="20"/>
                <w:szCs w:val="20"/>
              </w:rPr>
            </w:pPr>
          </w:p>
        </w:tc>
        <w:tc>
          <w:tcPr>
            <w:tcW w:w="350" w:type="pct"/>
            <w:shd w:val="clear" w:color="auto" w:fill="auto"/>
            <w:vAlign w:val="center"/>
          </w:tcPr>
          <w:p w14:paraId="606F8A24" w14:textId="77777777" w:rsidR="00FB67F9" w:rsidRDefault="00FB67F9">
            <w:pPr>
              <w:rPr>
                <w:rFonts w:ascii="Times New Roman" w:hAnsi="Times New Roman"/>
                <w:sz w:val="20"/>
                <w:szCs w:val="20"/>
              </w:rPr>
            </w:pPr>
          </w:p>
        </w:tc>
        <w:tc>
          <w:tcPr>
            <w:tcW w:w="50" w:type="pct"/>
            <w:shd w:val="clear" w:color="auto" w:fill="auto"/>
            <w:vAlign w:val="center"/>
          </w:tcPr>
          <w:p w14:paraId="606F8A25" w14:textId="77777777" w:rsidR="00FB67F9" w:rsidRDefault="00FB67F9">
            <w:pPr>
              <w:rPr>
                <w:rFonts w:ascii="Times New Roman" w:hAnsi="Times New Roman"/>
                <w:sz w:val="20"/>
                <w:szCs w:val="20"/>
              </w:rPr>
            </w:pPr>
          </w:p>
        </w:tc>
        <w:tc>
          <w:tcPr>
            <w:tcW w:w="400" w:type="pct"/>
            <w:shd w:val="clear" w:color="auto" w:fill="auto"/>
            <w:vAlign w:val="center"/>
          </w:tcPr>
          <w:p w14:paraId="606F8A26" w14:textId="77777777" w:rsidR="00FB67F9" w:rsidRDefault="00FB67F9">
            <w:pPr>
              <w:rPr>
                <w:rFonts w:ascii="Times New Roman" w:hAnsi="Times New Roman"/>
                <w:sz w:val="20"/>
                <w:szCs w:val="20"/>
              </w:rPr>
            </w:pPr>
          </w:p>
        </w:tc>
        <w:tc>
          <w:tcPr>
            <w:tcW w:w="50" w:type="pct"/>
            <w:shd w:val="clear" w:color="auto" w:fill="auto"/>
            <w:vAlign w:val="center"/>
          </w:tcPr>
          <w:p w14:paraId="606F8A27" w14:textId="77777777" w:rsidR="00FB67F9" w:rsidRDefault="00FB67F9">
            <w:pPr>
              <w:rPr>
                <w:rFonts w:ascii="Times New Roman" w:hAnsi="Times New Roman"/>
                <w:sz w:val="20"/>
                <w:szCs w:val="20"/>
              </w:rPr>
            </w:pPr>
          </w:p>
        </w:tc>
        <w:tc>
          <w:tcPr>
            <w:tcW w:w="400" w:type="pct"/>
            <w:shd w:val="clear" w:color="auto" w:fill="auto"/>
            <w:vAlign w:val="center"/>
          </w:tcPr>
          <w:p w14:paraId="606F8A28" w14:textId="77777777" w:rsidR="00FB67F9" w:rsidRDefault="00FB67F9">
            <w:pPr>
              <w:rPr>
                <w:rFonts w:ascii="Times New Roman" w:hAnsi="Times New Roman"/>
                <w:sz w:val="20"/>
                <w:szCs w:val="20"/>
              </w:rPr>
            </w:pPr>
          </w:p>
        </w:tc>
        <w:tc>
          <w:tcPr>
            <w:tcW w:w="50" w:type="pct"/>
            <w:shd w:val="clear" w:color="auto" w:fill="auto"/>
            <w:vAlign w:val="center"/>
          </w:tcPr>
          <w:p w14:paraId="606F8A29" w14:textId="77777777" w:rsidR="00FB67F9" w:rsidRDefault="00FB67F9">
            <w:pPr>
              <w:rPr>
                <w:rFonts w:ascii="Times New Roman" w:hAnsi="Times New Roman"/>
                <w:sz w:val="20"/>
                <w:szCs w:val="20"/>
              </w:rPr>
            </w:pPr>
          </w:p>
        </w:tc>
      </w:tr>
      <w:tr w:rsidR="00FB67F9" w14:paraId="606F8A2F" w14:textId="77777777">
        <w:tc>
          <w:tcPr>
            <w:tcW w:w="0" w:type="auto"/>
            <w:shd w:val="clear" w:color="auto" w:fill="auto"/>
            <w:tcMar>
              <w:top w:w="40" w:type="dxa"/>
              <w:left w:w="40" w:type="dxa"/>
              <w:bottom w:w="40" w:type="dxa"/>
              <w:right w:w="40" w:type="dxa"/>
            </w:tcMar>
            <w:vAlign w:val="bottom"/>
          </w:tcPr>
          <w:p w14:paraId="606F8A2B" w14:textId="77777777" w:rsidR="00FB67F9" w:rsidRDefault="00FB67F9">
            <w:pPr>
              <w:textAlignment w:val="bottom"/>
              <w:rPr>
                <w:rFonts w:ascii="Times New Roman" w:hAnsi="Times New Roman"/>
                <w:sz w:val="17"/>
                <w:szCs w:val="17"/>
              </w:rPr>
            </w:pPr>
          </w:p>
        </w:tc>
        <w:tc>
          <w:tcPr>
            <w:tcW w:w="0" w:type="auto"/>
            <w:gridSpan w:val="10"/>
            <w:tcBorders>
              <w:bottom w:val="single" w:sz="8" w:space="0" w:color="E87722"/>
            </w:tcBorders>
            <w:shd w:val="clear" w:color="auto" w:fill="auto"/>
            <w:tcMar>
              <w:top w:w="40" w:type="dxa"/>
              <w:left w:w="40" w:type="dxa"/>
              <w:bottom w:w="40" w:type="dxa"/>
            </w:tcMar>
            <w:vAlign w:val="bottom"/>
          </w:tcPr>
          <w:p w14:paraId="606F8A2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A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A2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A3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A30"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3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3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A3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A3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A3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A3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A3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3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3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A3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A3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A3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A3D" w14:textId="77777777" w:rsidR="00FB67F9" w:rsidRDefault="00FB67F9">
            <w:pPr>
              <w:textAlignment w:val="bottom"/>
              <w:rPr>
                <w:rFonts w:ascii="Times New Roman" w:hAnsi="Times New Roman"/>
                <w:sz w:val="20"/>
                <w:szCs w:val="20"/>
              </w:rPr>
            </w:pPr>
          </w:p>
        </w:tc>
      </w:tr>
      <w:tr w:rsidR="00FB67F9" w14:paraId="606F8A49" w14:textId="77777777">
        <w:tc>
          <w:tcPr>
            <w:tcW w:w="0" w:type="auto"/>
            <w:shd w:val="clear" w:color="auto" w:fill="auto"/>
            <w:tcMar>
              <w:top w:w="40" w:type="dxa"/>
              <w:left w:w="40" w:type="dxa"/>
              <w:bottom w:w="40" w:type="dxa"/>
              <w:right w:w="40" w:type="dxa"/>
            </w:tcMar>
            <w:vAlign w:val="bottom"/>
          </w:tcPr>
          <w:p w14:paraId="606F8A3F"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A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A4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A4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A4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A4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A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A4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A4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A4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A6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A4A"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8A4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A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1,247</w:t>
            </w:r>
          </w:p>
        </w:tc>
        <w:tc>
          <w:tcPr>
            <w:tcW w:w="0" w:type="auto"/>
            <w:tcBorders>
              <w:top w:val="single" w:sz="8" w:space="0" w:color="808080"/>
            </w:tcBorders>
            <w:shd w:val="clear" w:color="auto" w:fill="FFF1E7"/>
            <w:vAlign w:val="bottom"/>
          </w:tcPr>
          <w:p w14:paraId="606F8A4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A4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A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1,022</w:t>
            </w:r>
          </w:p>
        </w:tc>
        <w:tc>
          <w:tcPr>
            <w:tcW w:w="0" w:type="auto"/>
            <w:tcBorders>
              <w:top w:val="single" w:sz="8" w:space="0" w:color="808080"/>
            </w:tcBorders>
            <w:shd w:val="clear" w:color="auto" w:fill="auto"/>
            <w:vAlign w:val="bottom"/>
          </w:tcPr>
          <w:p w14:paraId="606F8A5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A5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tcBorders>
            <w:shd w:val="clear" w:color="auto" w:fill="auto"/>
            <w:tcMar>
              <w:top w:w="40" w:type="dxa"/>
              <w:bottom w:w="40" w:type="dxa"/>
              <w:right w:w="40" w:type="dxa"/>
            </w:tcMar>
            <w:vAlign w:val="bottom"/>
          </w:tcPr>
          <w:p w14:paraId="606F8A5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A5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w:t>
            </w:r>
          </w:p>
        </w:tc>
        <w:tc>
          <w:tcPr>
            <w:tcW w:w="0" w:type="auto"/>
            <w:tcBorders>
              <w:top w:val="single" w:sz="8" w:space="0" w:color="808080"/>
            </w:tcBorders>
            <w:shd w:val="clear" w:color="auto" w:fill="auto"/>
            <w:tcMar>
              <w:top w:w="40" w:type="dxa"/>
              <w:bottom w:w="40" w:type="dxa"/>
              <w:right w:w="40" w:type="dxa"/>
            </w:tcMar>
            <w:vAlign w:val="bottom"/>
          </w:tcPr>
          <w:p w14:paraId="606F8A5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A5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8A5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A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2,411</w:t>
            </w:r>
          </w:p>
        </w:tc>
        <w:tc>
          <w:tcPr>
            <w:tcW w:w="0" w:type="auto"/>
            <w:tcBorders>
              <w:top w:val="single" w:sz="8" w:space="0" w:color="808080"/>
            </w:tcBorders>
            <w:shd w:val="clear" w:color="auto" w:fill="FFF1E7"/>
            <w:vAlign w:val="bottom"/>
          </w:tcPr>
          <w:p w14:paraId="606F8A5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A5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A5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1,980</w:t>
            </w:r>
          </w:p>
        </w:tc>
        <w:tc>
          <w:tcPr>
            <w:tcW w:w="0" w:type="auto"/>
            <w:tcBorders>
              <w:top w:val="single" w:sz="8" w:space="0" w:color="808080"/>
            </w:tcBorders>
            <w:shd w:val="clear" w:color="auto" w:fill="auto"/>
            <w:vAlign w:val="bottom"/>
          </w:tcPr>
          <w:p w14:paraId="606F8A5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A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tcBorders>
            <w:shd w:val="clear" w:color="auto" w:fill="auto"/>
            <w:tcMar>
              <w:top w:w="40" w:type="dxa"/>
              <w:bottom w:w="40" w:type="dxa"/>
              <w:right w:w="40" w:type="dxa"/>
            </w:tcMar>
            <w:vAlign w:val="bottom"/>
          </w:tcPr>
          <w:p w14:paraId="606F8A5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A5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w:t>
            </w:r>
          </w:p>
        </w:tc>
        <w:tc>
          <w:tcPr>
            <w:tcW w:w="0" w:type="auto"/>
            <w:tcBorders>
              <w:top w:val="single" w:sz="8" w:space="0" w:color="808080"/>
            </w:tcBorders>
            <w:shd w:val="clear" w:color="auto" w:fill="auto"/>
            <w:tcMar>
              <w:top w:w="40" w:type="dxa"/>
              <w:bottom w:w="40" w:type="dxa"/>
              <w:right w:w="40" w:type="dxa"/>
            </w:tcMar>
            <w:vAlign w:val="bottom"/>
          </w:tcPr>
          <w:p w14:paraId="606F8A5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A7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A61"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A6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563</w:t>
            </w:r>
          </w:p>
        </w:tc>
        <w:tc>
          <w:tcPr>
            <w:tcW w:w="0" w:type="auto"/>
            <w:tcBorders>
              <w:top w:val="single" w:sz="8" w:space="0" w:color="808080"/>
              <w:bottom w:val="single" w:sz="8" w:space="0" w:color="808080"/>
            </w:tcBorders>
            <w:shd w:val="clear" w:color="auto" w:fill="FFF1E7"/>
            <w:vAlign w:val="bottom"/>
          </w:tcPr>
          <w:p w14:paraId="606F8A6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A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490</w:t>
            </w:r>
          </w:p>
        </w:tc>
        <w:tc>
          <w:tcPr>
            <w:tcW w:w="0" w:type="auto"/>
            <w:tcBorders>
              <w:top w:val="single" w:sz="8" w:space="0" w:color="808080"/>
              <w:bottom w:val="single" w:sz="8" w:space="0" w:color="808080"/>
            </w:tcBorders>
            <w:shd w:val="clear" w:color="auto" w:fill="auto"/>
            <w:vAlign w:val="bottom"/>
          </w:tcPr>
          <w:p w14:paraId="606F8A6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6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6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A6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A6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1,028</w:t>
            </w:r>
          </w:p>
        </w:tc>
        <w:tc>
          <w:tcPr>
            <w:tcW w:w="0" w:type="auto"/>
            <w:tcBorders>
              <w:top w:val="single" w:sz="8" w:space="0" w:color="808080"/>
              <w:bottom w:val="single" w:sz="8" w:space="0" w:color="808080"/>
            </w:tcBorders>
            <w:shd w:val="clear" w:color="auto" w:fill="FFF1E7"/>
            <w:vAlign w:val="bottom"/>
          </w:tcPr>
          <w:p w14:paraId="606F8A6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A6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870</w:t>
            </w:r>
          </w:p>
        </w:tc>
        <w:tc>
          <w:tcPr>
            <w:tcW w:w="0" w:type="auto"/>
            <w:tcBorders>
              <w:top w:val="single" w:sz="8" w:space="0" w:color="808080"/>
              <w:bottom w:val="single" w:sz="8" w:space="0" w:color="808080"/>
            </w:tcBorders>
            <w:shd w:val="clear" w:color="auto" w:fill="auto"/>
            <w:vAlign w:val="bottom"/>
          </w:tcPr>
          <w:p w14:paraId="606F8A6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6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7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7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7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A86" w14:textId="77777777">
        <w:tc>
          <w:tcPr>
            <w:tcW w:w="0" w:type="auto"/>
            <w:shd w:val="clear" w:color="auto" w:fill="auto"/>
            <w:tcMar>
              <w:top w:w="40" w:type="dxa"/>
              <w:left w:w="240" w:type="dxa"/>
              <w:bottom w:w="40" w:type="dxa"/>
              <w:right w:w="40" w:type="dxa"/>
            </w:tcMar>
            <w:vAlign w:val="bottom"/>
          </w:tcPr>
          <w:p w14:paraId="606F8A74" w14:textId="77777777" w:rsidR="00FB67F9" w:rsidRDefault="00E839DF">
            <w:pPr>
              <w:textAlignment w:val="bottom"/>
              <w:rPr>
                <w:rFonts w:ascii="Times New Roman" w:hAnsi="Times New Roman"/>
                <w:sz w:val="17"/>
                <w:szCs w:val="17"/>
              </w:rPr>
            </w:pPr>
            <w:r>
              <w:rPr>
                <w:rFonts w:ascii="Arial" w:eastAsia="宋体" w:hAnsi="Arial" w:cs="Arial"/>
                <w:sz w:val="17"/>
                <w:szCs w:val="17"/>
              </w:rPr>
              <w:t>Equi</w:t>
            </w:r>
            <w:r>
              <w:rPr>
                <w:rFonts w:ascii="Arial" w:eastAsia="宋体" w:hAnsi="Arial" w:cs="Arial"/>
                <w:sz w:val="17"/>
                <w:szCs w:val="17"/>
              </w:rPr>
              <w:t>pment</w:t>
            </w:r>
          </w:p>
        </w:tc>
        <w:tc>
          <w:tcPr>
            <w:tcW w:w="0" w:type="auto"/>
            <w:gridSpan w:val="2"/>
            <w:shd w:val="clear" w:color="auto" w:fill="FFF1E7"/>
            <w:tcMar>
              <w:top w:w="40" w:type="dxa"/>
              <w:left w:w="40" w:type="dxa"/>
              <w:bottom w:w="40" w:type="dxa"/>
            </w:tcMar>
            <w:vAlign w:val="bottom"/>
          </w:tcPr>
          <w:p w14:paraId="606F8A7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37</w:t>
            </w:r>
          </w:p>
        </w:tc>
        <w:tc>
          <w:tcPr>
            <w:tcW w:w="0" w:type="auto"/>
            <w:shd w:val="clear" w:color="auto" w:fill="FFF1E7"/>
            <w:vAlign w:val="bottom"/>
          </w:tcPr>
          <w:p w14:paraId="606F8A7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A7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32</w:t>
            </w:r>
          </w:p>
        </w:tc>
        <w:tc>
          <w:tcPr>
            <w:tcW w:w="0" w:type="auto"/>
            <w:shd w:val="clear" w:color="auto" w:fill="auto"/>
            <w:vAlign w:val="bottom"/>
          </w:tcPr>
          <w:p w14:paraId="606F8A7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A7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auto"/>
            <w:tcMar>
              <w:top w:w="40" w:type="dxa"/>
              <w:bottom w:w="40" w:type="dxa"/>
              <w:right w:w="40" w:type="dxa"/>
            </w:tcMar>
            <w:vAlign w:val="bottom"/>
          </w:tcPr>
          <w:p w14:paraId="606F8A7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A7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w:t>
            </w:r>
          </w:p>
        </w:tc>
        <w:tc>
          <w:tcPr>
            <w:tcW w:w="0" w:type="auto"/>
            <w:shd w:val="clear" w:color="auto" w:fill="auto"/>
            <w:tcMar>
              <w:top w:w="40" w:type="dxa"/>
              <w:bottom w:w="40" w:type="dxa"/>
              <w:right w:w="40" w:type="dxa"/>
            </w:tcMar>
            <w:vAlign w:val="bottom"/>
          </w:tcPr>
          <w:p w14:paraId="606F8A7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A7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A7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w:t>
            </w:r>
          </w:p>
        </w:tc>
        <w:tc>
          <w:tcPr>
            <w:tcW w:w="0" w:type="auto"/>
            <w:shd w:val="clear" w:color="auto" w:fill="FFF1E7"/>
            <w:vAlign w:val="bottom"/>
          </w:tcPr>
          <w:p w14:paraId="606F8A7F"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A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73</w:t>
            </w:r>
          </w:p>
        </w:tc>
        <w:tc>
          <w:tcPr>
            <w:tcW w:w="0" w:type="auto"/>
            <w:shd w:val="clear" w:color="auto" w:fill="auto"/>
            <w:vAlign w:val="bottom"/>
          </w:tcPr>
          <w:p w14:paraId="606F8A81"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A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shd w:val="clear" w:color="auto" w:fill="auto"/>
            <w:tcMar>
              <w:top w:w="40" w:type="dxa"/>
              <w:bottom w:w="40" w:type="dxa"/>
              <w:right w:w="40" w:type="dxa"/>
            </w:tcMar>
            <w:vAlign w:val="bottom"/>
          </w:tcPr>
          <w:p w14:paraId="606F8A8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A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tcMar>
              <w:top w:w="40" w:type="dxa"/>
              <w:bottom w:w="40" w:type="dxa"/>
              <w:right w:w="40" w:type="dxa"/>
            </w:tcMar>
            <w:vAlign w:val="bottom"/>
          </w:tcPr>
          <w:p w14:paraId="606F8A8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A9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8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A8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A8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1,847</w:t>
            </w:r>
          </w:p>
        </w:tc>
        <w:tc>
          <w:tcPr>
            <w:tcW w:w="0" w:type="auto"/>
            <w:tcBorders>
              <w:top w:val="single" w:sz="8" w:space="0" w:color="E87722"/>
              <w:bottom w:val="single" w:sz="8" w:space="0" w:color="E87722"/>
            </w:tcBorders>
            <w:shd w:val="clear" w:color="auto" w:fill="FFF1E7"/>
            <w:vAlign w:val="bottom"/>
          </w:tcPr>
          <w:p w14:paraId="606F8A8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8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A8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1,544</w:t>
            </w:r>
          </w:p>
        </w:tc>
        <w:tc>
          <w:tcPr>
            <w:tcW w:w="0" w:type="auto"/>
            <w:tcBorders>
              <w:top w:val="single" w:sz="8" w:space="0" w:color="E87722"/>
              <w:bottom w:val="single" w:sz="8" w:space="0" w:color="E87722"/>
            </w:tcBorders>
            <w:shd w:val="clear" w:color="auto" w:fill="auto"/>
            <w:vAlign w:val="bottom"/>
          </w:tcPr>
          <w:p w14:paraId="606F8A8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8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8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9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9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9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A9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A9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3,526</w:t>
            </w:r>
          </w:p>
        </w:tc>
        <w:tc>
          <w:tcPr>
            <w:tcW w:w="0" w:type="auto"/>
            <w:tcBorders>
              <w:top w:val="single" w:sz="8" w:space="0" w:color="E87722"/>
              <w:bottom w:val="single" w:sz="8" w:space="0" w:color="E87722"/>
            </w:tcBorders>
            <w:shd w:val="clear" w:color="auto" w:fill="FFF1E7"/>
            <w:vAlign w:val="bottom"/>
          </w:tcPr>
          <w:p w14:paraId="606F8A9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9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A9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2,923</w:t>
            </w:r>
          </w:p>
        </w:tc>
        <w:tc>
          <w:tcPr>
            <w:tcW w:w="0" w:type="auto"/>
            <w:tcBorders>
              <w:top w:val="single" w:sz="8" w:space="0" w:color="E87722"/>
              <w:bottom w:val="single" w:sz="8" w:space="0" w:color="E87722"/>
            </w:tcBorders>
            <w:shd w:val="clear" w:color="auto" w:fill="auto"/>
            <w:vAlign w:val="bottom"/>
          </w:tcPr>
          <w:p w14:paraId="606F8A9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9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9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9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9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AA8" w14:textId="77777777">
        <w:tc>
          <w:tcPr>
            <w:tcW w:w="0" w:type="auto"/>
            <w:shd w:val="clear" w:color="auto" w:fill="auto"/>
            <w:tcMar>
              <w:top w:w="40" w:type="dxa"/>
              <w:left w:w="40" w:type="dxa"/>
              <w:bottom w:w="40" w:type="dxa"/>
              <w:right w:w="40" w:type="dxa"/>
            </w:tcMar>
            <w:vAlign w:val="bottom"/>
          </w:tcPr>
          <w:p w14:paraId="606F8A9E"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A9F"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606F8AA0"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606F8AA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A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A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AA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606F8AA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606F8A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A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AB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AA9"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AA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A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1,028</w:t>
            </w:r>
          </w:p>
        </w:tc>
        <w:tc>
          <w:tcPr>
            <w:tcW w:w="0" w:type="auto"/>
            <w:tcBorders>
              <w:top w:val="single" w:sz="8" w:space="0" w:color="808080"/>
              <w:bottom w:val="single" w:sz="8" w:space="0" w:color="808080"/>
            </w:tcBorders>
            <w:shd w:val="clear" w:color="auto" w:fill="FFF1E7"/>
            <w:vAlign w:val="bottom"/>
          </w:tcPr>
          <w:p w14:paraId="606F8AA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A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A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897</w:t>
            </w:r>
          </w:p>
        </w:tc>
        <w:tc>
          <w:tcPr>
            <w:tcW w:w="0" w:type="auto"/>
            <w:tcBorders>
              <w:top w:val="single" w:sz="8" w:space="0" w:color="808080"/>
              <w:bottom w:val="single" w:sz="8" w:space="0" w:color="808080"/>
            </w:tcBorders>
            <w:shd w:val="clear" w:color="auto" w:fill="auto"/>
            <w:vAlign w:val="bottom"/>
          </w:tcPr>
          <w:p w14:paraId="606F8AA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B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AB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AB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A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2,014</w:t>
            </w:r>
          </w:p>
        </w:tc>
        <w:tc>
          <w:tcPr>
            <w:tcW w:w="0" w:type="auto"/>
            <w:tcBorders>
              <w:top w:val="single" w:sz="8" w:space="0" w:color="808080"/>
              <w:bottom w:val="single" w:sz="8" w:space="0" w:color="808080"/>
            </w:tcBorders>
            <w:shd w:val="clear" w:color="auto" w:fill="FFF1E7"/>
            <w:vAlign w:val="bottom"/>
          </w:tcPr>
          <w:p w14:paraId="606F8AB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A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1,768</w:t>
            </w:r>
          </w:p>
        </w:tc>
        <w:tc>
          <w:tcPr>
            <w:tcW w:w="0" w:type="auto"/>
            <w:tcBorders>
              <w:top w:val="single" w:sz="8" w:space="0" w:color="808080"/>
              <w:bottom w:val="single" w:sz="8" w:space="0" w:color="808080"/>
            </w:tcBorders>
            <w:shd w:val="clear" w:color="auto" w:fill="auto"/>
            <w:vAlign w:val="bottom"/>
          </w:tcPr>
          <w:p w14:paraId="606F8AB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B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AB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A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AD2" w14:textId="77777777">
        <w:tc>
          <w:tcPr>
            <w:tcW w:w="0" w:type="auto"/>
            <w:shd w:val="clear" w:color="auto" w:fill="auto"/>
            <w:tcMar>
              <w:top w:w="40" w:type="dxa"/>
              <w:left w:w="240" w:type="dxa"/>
              <w:bottom w:w="40" w:type="dxa"/>
              <w:right w:w="40" w:type="dxa"/>
            </w:tcMar>
            <w:vAlign w:val="bottom"/>
          </w:tcPr>
          <w:p w14:paraId="606F8AC0"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606F8A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819</w:t>
            </w:r>
          </w:p>
        </w:tc>
        <w:tc>
          <w:tcPr>
            <w:tcW w:w="0" w:type="auto"/>
            <w:shd w:val="clear" w:color="auto" w:fill="FFF1E7"/>
            <w:vAlign w:val="bottom"/>
          </w:tcPr>
          <w:p w14:paraId="606F8AC2"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A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647</w:t>
            </w:r>
          </w:p>
        </w:tc>
        <w:tc>
          <w:tcPr>
            <w:tcW w:w="0" w:type="auto"/>
            <w:shd w:val="clear" w:color="auto" w:fill="auto"/>
            <w:vAlign w:val="bottom"/>
          </w:tcPr>
          <w:p w14:paraId="606F8AC4"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A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w:t>
            </w:r>
          </w:p>
        </w:tc>
        <w:tc>
          <w:tcPr>
            <w:tcW w:w="0" w:type="auto"/>
            <w:shd w:val="clear" w:color="auto" w:fill="auto"/>
            <w:tcMar>
              <w:top w:w="40" w:type="dxa"/>
              <w:bottom w:w="40" w:type="dxa"/>
              <w:right w:w="40" w:type="dxa"/>
            </w:tcMar>
            <w:vAlign w:val="bottom"/>
          </w:tcPr>
          <w:p w14:paraId="606F8AC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A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auto"/>
            <w:tcMar>
              <w:top w:w="40" w:type="dxa"/>
              <w:bottom w:w="40" w:type="dxa"/>
              <w:right w:w="40" w:type="dxa"/>
            </w:tcMar>
            <w:vAlign w:val="bottom"/>
          </w:tcPr>
          <w:p w14:paraId="606F8AC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A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A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1,512</w:t>
            </w:r>
          </w:p>
        </w:tc>
        <w:tc>
          <w:tcPr>
            <w:tcW w:w="0" w:type="auto"/>
            <w:shd w:val="clear" w:color="auto" w:fill="FFF1E7"/>
            <w:vAlign w:val="bottom"/>
          </w:tcPr>
          <w:p w14:paraId="606F8AC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A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1,155</w:t>
            </w:r>
          </w:p>
        </w:tc>
        <w:tc>
          <w:tcPr>
            <w:tcW w:w="0" w:type="auto"/>
            <w:shd w:val="clear" w:color="auto" w:fill="auto"/>
            <w:vAlign w:val="bottom"/>
          </w:tcPr>
          <w:p w14:paraId="606F8AC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A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31</w:t>
            </w:r>
          </w:p>
        </w:tc>
        <w:tc>
          <w:tcPr>
            <w:tcW w:w="0" w:type="auto"/>
            <w:shd w:val="clear" w:color="auto" w:fill="auto"/>
            <w:tcMar>
              <w:top w:w="40" w:type="dxa"/>
              <w:bottom w:w="40" w:type="dxa"/>
              <w:right w:w="40" w:type="dxa"/>
            </w:tcMar>
            <w:vAlign w:val="bottom"/>
          </w:tcPr>
          <w:p w14:paraId="606F8AC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A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w:t>
            </w:r>
          </w:p>
        </w:tc>
        <w:tc>
          <w:tcPr>
            <w:tcW w:w="0" w:type="auto"/>
            <w:shd w:val="clear" w:color="auto" w:fill="auto"/>
            <w:tcMar>
              <w:top w:w="40" w:type="dxa"/>
              <w:bottom w:w="40" w:type="dxa"/>
              <w:right w:w="40" w:type="dxa"/>
            </w:tcMar>
            <w:vAlign w:val="bottom"/>
          </w:tcPr>
          <w:p w14:paraId="606F8AD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AE9"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AD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AD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AD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1,847</w:t>
            </w:r>
          </w:p>
        </w:tc>
        <w:tc>
          <w:tcPr>
            <w:tcW w:w="0" w:type="auto"/>
            <w:tcBorders>
              <w:top w:val="single" w:sz="8" w:space="0" w:color="E87722"/>
              <w:bottom w:val="single" w:sz="8" w:space="0" w:color="E87722"/>
            </w:tcBorders>
            <w:shd w:val="clear" w:color="auto" w:fill="FFF1E7"/>
            <w:vAlign w:val="bottom"/>
          </w:tcPr>
          <w:p w14:paraId="606F8AD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D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AD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1,544</w:t>
            </w:r>
          </w:p>
        </w:tc>
        <w:tc>
          <w:tcPr>
            <w:tcW w:w="0" w:type="auto"/>
            <w:tcBorders>
              <w:top w:val="single" w:sz="8" w:space="0" w:color="E87722"/>
              <w:bottom w:val="single" w:sz="8" w:space="0" w:color="E87722"/>
            </w:tcBorders>
            <w:shd w:val="clear" w:color="auto" w:fill="auto"/>
            <w:vAlign w:val="bottom"/>
          </w:tcPr>
          <w:p w14:paraId="606F8AD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D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D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D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D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AD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AD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AE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3,526</w:t>
            </w:r>
          </w:p>
        </w:tc>
        <w:tc>
          <w:tcPr>
            <w:tcW w:w="0" w:type="auto"/>
            <w:tcBorders>
              <w:top w:val="single" w:sz="8" w:space="0" w:color="E87722"/>
              <w:bottom w:val="single" w:sz="8" w:space="0" w:color="E87722"/>
            </w:tcBorders>
            <w:shd w:val="clear" w:color="auto" w:fill="FFF1E7"/>
            <w:vAlign w:val="bottom"/>
          </w:tcPr>
          <w:p w14:paraId="606F8AE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E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AE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2,923</w:t>
            </w:r>
          </w:p>
        </w:tc>
        <w:tc>
          <w:tcPr>
            <w:tcW w:w="0" w:type="auto"/>
            <w:tcBorders>
              <w:top w:val="single" w:sz="8" w:space="0" w:color="E87722"/>
              <w:bottom w:val="single" w:sz="8" w:space="0" w:color="E87722"/>
            </w:tcBorders>
            <w:shd w:val="clear" w:color="auto" w:fill="auto"/>
            <w:vAlign w:val="bottom"/>
          </w:tcPr>
          <w:p w14:paraId="606F8AE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E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E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E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E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AFE"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E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A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AE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694</w:t>
            </w:r>
          </w:p>
        </w:tc>
        <w:tc>
          <w:tcPr>
            <w:tcW w:w="0" w:type="auto"/>
            <w:tcBorders>
              <w:top w:val="single" w:sz="8" w:space="0" w:color="E87722"/>
              <w:bottom w:val="single" w:sz="8" w:space="0" w:color="E87722"/>
            </w:tcBorders>
            <w:shd w:val="clear" w:color="auto" w:fill="FFF1E7"/>
            <w:vAlign w:val="bottom"/>
          </w:tcPr>
          <w:p w14:paraId="606F8AE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E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AE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561</w:t>
            </w:r>
          </w:p>
        </w:tc>
        <w:tc>
          <w:tcPr>
            <w:tcW w:w="0" w:type="auto"/>
            <w:tcBorders>
              <w:top w:val="single" w:sz="8" w:space="0" w:color="E87722"/>
              <w:bottom w:val="single" w:sz="8" w:space="0" w:color="E87722"/>
            </w:tcBorders>
            <w:shd w:val="clear" w:color="auto" w:fill="auto"/>
            <w:vAlign w:val="bottom"/>
          </w:tcPr>
          <w:p w14:paraId="606F8AF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F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F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F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F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AF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AF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1,363</w:t>
            </w:r>
          </w:p>
        </w:tc>
        <w:tc>
          <w:tcPr>
            <w:tcW w:w="0" w:type="auto"/>
            <w:tcBorders>
              <w:top w:val="single" w:sz="8" w:space="0" w:color="E87722"/>
              <w:bottom w:val="single" w:sz="8" w:space="0" w:color="E87722"/>
            </w:tcBorders>
            <w:shd w:val="clear" w:color="auto" w:fill="FFF1E7"/>
            <w:vAlign w:val="bottom"/>
          </w:tcPr>
          <w:p w14:paraId="606F8AF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F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AF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1,063</w:t>
            </w:r>
          </w:p>
        </w:tc>
        <w:tc>
          <w:tcPr>
            <w:tcW w:w="0" w:type="auto"/>
            <w:tcBorders>
              <w:top w:val="single" w:sz="8" w:space="0" w:color="E87722"/>
              <w:bottom w:val="single" w:sz="8" w:space="0" w:color="E87722"/>
            </w:tcBorders>
            <w:shd w:val="clear" w:color="auto" w:fill="auto"/>
            <w:vAlign w:val="bottom"/>
          </w:tcPr>
          <w:p w14:paraId="606F8AF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AF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AF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AF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bl>
    <w:p w14:paraId="606F8AFF"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B0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On a currency-neutral basis, Greater China revenues for the second quarter of fiscal 2020 increased 23%, driven by higher revenues in all key categories, led by </w:t>
      </w:r>
      <w:r>
        <w:rPr>
          <w:rFonts w:ascii="Arial" w:eastAsia="宋体" w:hAnsi="Arial" w:cs="Arial"/>
          <w:sz w:val="17"/>
          <w:szCs w:val="17"/>
        </w:rPr>
        <w:t>Sportswear and the Jordan Brand. NIKE Direct revenues increased 30%, driven by digital commerce sales growth of 44%, comparable store sales growth of 16% and the addition of new stores.</w:t>
      </w:r>
    </w:p>
    <w:p w14:paraId="606F8B0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footwear revenues increased 26% for the second quarte</w:t>
      </w:r>
      <w:r>
        <w:rPr>
          <w:rFonts w:ascii="Arial" w:eastAsia="宋体" w:hAnsi="Arial" w:cs="Arial"/>
          <w:sz w:val="17"/>
          <w:szCs w:val="17"/>
        </w:rPr>
        <w:t>r of fiscal 2020, driven by growth in nearly all key categories, led by the Jordan Brand and Sportswear. Unit sales of footwear increased 19% and higher ASP per pair contributed approximately 7 percentage points of footwear revenue growth, driven by higher</w:t>
      </w:r>
      <w:r>
        <w:rPr>
          <w:rFonts w:ascii="Arial" w:eastAsia="宋体" w:hAnsi="Arial" w:cs="Arial"/>
          <w:sz w:val="17"/>
          <w:szCs w:val="17"/>
        </w:rPr>
        <w:t xml:space="preserve"> full-price and NIKE Direct ASPs.</w:t>
      </w:r>
    </w:p>
    <w:p w14:paraId="606F8B0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currency-neutral apparel revenue growth of 18% for the second quarter of fiscal 2020 was fueled by higher revenues in all key categories, most notably Sportswear, the Jordan Brand and Training. Unit sales of apparel in</w:t>
      </w:r>
      <w:r>
        <w:rPr>
          <w:rFonts w:ascii="Arial" w:eastAsia="宋体" w:hAnsi="Arial" w:cs="Arial"/>
          <w:sz w:val="17"/>
          <w:szCs w:val="17"/>
        </w:rPr>
        <w:t>creased 18% and ASP per unit was flat as higher full-price and off-price ASPs were offset by unfavorable full-price mix.</w:t>
      </w:r>
    </w:p>
    <w:p w14:paraId="606F8B0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Reported EBIT increased 24% for the second quarter of fiscal 2020, driven by revenue growth and selling and administrative expense leve</w:t>
      </w:r>
      <w:r>
        <w:rPr>
          <w:rFonts w:ascii="Arial" w:eastAsia="宋体" w:hAnsi="Arial" w:cs="Arial"/>
          <w:sz w:val="17"/>
          <w:szCs w:val="17"/>
        </w:rPr>
        <w:t>rage. Gross margin was flat as higher full-price ASP was offset by unfavorable standard foreign currency exchange rates and lower off-price ASP. Selling and administrative expense increased due to higher operating overhead and demand creation expense. Grow</w:t>
      </w:r>
      <w:r>
        <w:rPr>
          <w:rFonts w:ascii="Arial" w:eastAsia="宋体" w:hAnsi="Arial" w:cs="Arial"/>
          <w:sz w:val="17"/>
          <w:szCs w:val="17"/>
        </w:rPr>
        <w:t>th in operating overhead expense was driven by higher investments in our NIKE Direct operations. Demand creation expense increased primarily due to higher retail brand presentation costs, as well as higher advertising and marketing expenses.</w:t>
      </w:r>
    </w:p>
    <w:p w14:paraId="606F8B04"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 xml:space="preserve">FIRST SIX </w:t>
      </w:r>
      <w:r>
        <w:rPr>
          <w:rFonts w:ascii="sans-serif" w:eastAsia="sans-serif" w:hAnsi="sans-serif" w:cs="sans-serif"/>
          <w:b/>
          <w:bCs/>
          <w:color w:val="808080"/>
          <w:sz w:val="22"/>
          <w:szCs w:val="22"/>
        </w:rPr>
        <w:t>MONTHS OF FISCAL 2020 COMPARED TO FIRST SIX MONTHS OF FISCAL 2019</w:t>
      </w:r>
    </w:p>
    <w:p w14:paraId="606F8B0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Greater China revenues for the first six months of fiscal 2020 increased 25%, driven by higher revenues in all key categories, led by Sportswear, the Jordan Bran</w:t>
      </w:r>
      <w:r>
        <w:rPr>
          <w:rFonts w:ascii="Arial" w:eastAsia="宋体" w:hAnsi="Arial" w:cs="Arial"/>
          <w:sz w:val="17"/>
          <w:szCs w:val="17"/>
        </w:rPr>
        <w:t>d and Running. NIKE Direct revenues increased 35%, driven by digital commerce sales growth of 55%, comparable store sales growth of 19% and the addition of new stores.</w:t>
      </w:r>
    </w:p>
    <w:p w14:paraId="606F8B0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footwear revenues increased 26%, driven by growth in all key categories</w:t>
      </w:r>
      <w:r>
        <w:rPr>
          <w:rFonts w:ascii="Arial" w:eastAsia="宋体" w:hAnsi="Arial" w:cs="Arial"/>
          <w:sz w:val="17"/>
          <w:szCs w:val="17"/>
        </w:rPr>
        <w:t>, led by Sportswear, the Jordan Brand and Running. Unit sales of footwear increased 18% and higher ASP per pair contributed approximately 8 percentage points of footwear revenue growth, driven by higher full-price and NIKE Direct ASPs.</w:t>
      </w:r>
    </w:p>
    <w:p w14:paraId="606F8B0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currency-neutral</w:t>
      </w:r>
      <w:r>
        <w:rPr>
          <w:rFonts w:ascii="Arial" w:eastAsia="宋体" w:hAnsi="Arial" w:cs="Arial"/>
          <w:sz w:val="17"/>
          <w:szCs w:val="17"/>
        </w:rPr>
        <w:t xml:space="preserve"> apparel revenue growth of 23% was fueled by higher revenues in all key categories, most notably Sportswear and the Jordan Brand. Unit sales of apparel increased 19% and higher ASP per unit contributed approximately 4 percentage points of revenue growth, d</w:t>
      </w:r>
      <w:r>
        <w:rPr>
          <w:rFonts w:ascii="Arial" w:eastAsia="宋体" w:hAnsi="Arial" w:cs="Arial"/>
          <w:sz w:val="17"/>
          <w:szCs w:val="17"/>
        </w:rPr>
        <w:t>riven by higher full-price ASP, in part reflecting lower discounts, as well as higher off-price ASP.</w:t>
      </w:r>
    </w:p>
    <w:p w14:paraId="606F8B0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Reported EBIT increased 28%, driven by revenue growth, gross margin expansion and selling and administrative expense leverage. Gross margin increased appro</w:t>
      </w:r>
      <w:r>
        <w:rPr>
          <w:rFonts w:ascii="Arial" w:eastAsia="宋体" w:hAnsi="Arial" w:cs="Arial"/>
          <w:sz w:val="17"/>
          <w:szCs w:val="17"/>
        </w:rPr>
        <w:t xml:space="preserve">ximately 110 basis points primarily due to higher full-price ASP and the favorable impact of growth in our NIKE Direct business. Selling and administrative expense increased due to higher operating overhead and demand creation expense. Growth in operating </w:t>
      </w:r>
      <w:r>
        <w:rPr>
          <w:rFonts w:ascii="Arial" w:eastAsia="宋体" w:hAnsi="Arial" w:cs="Arial"/>
          <w:sz w:val="17"/>
          <w:szCs w:val="17"/>
        </w:rPr>
        <w:t xml:space="preserve">overhead expense was driven by higher investments within our NIKE Direct </w:t>
      </w:r>
    </w:p>
    <w:p w14:paraId="606F8B09" w14:textId="77777777" w:rsidR="00FB67F9" w:rsidRDefault="00FB67F9">
      <w:pPr>
        <w:rPr>
          <w:rFonts w:ascii="Times New Roman" w:hAnsi="Times New Roman"/>
          <w:sz w:val="20"/>
          <w:szCs w:val="20"/>
        </w:rPr>
      </w:pPr>
    </w:p>
    <w:p w14:paraId="606F8B0A"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35</w:t>
      </w:r>
    </w:p>
    <w:p w14:paraId="606F8B0B" w14:textId="77777777" w:rsidR="00FB67F9" w:rsidRDefault="00E839DF">
      <w:r>
        <w:rPr>
          <w:rFonts w:ascii="Times New Roman" w:hAnsi="Times New Roman"/>
          <w:sz w:val="17"/>
          <w:szCs w:val="17"/>
        </w:rPr>
        <w:pict w14:anchorId="606F8FA0">
          <v:rect id="_x0000_i1061" style="width:415.3pt;height:1.5pt" o:hralign="center" o:hrstd="t" o:hr="t" fillcolor="#a0a0a0" stroked="f"/>
        </w:pict>
      </w:r>
    </w:p>
    <w:p w14:paraId="606F8B0C" w14:textId="77777777" w:rsidR="00FB67F9" w:rsidRDefault="00FB67F9">
      <w:pPr>
        <w:rPr>
          <w:rFonts w:ascii="Times New Roman" w:hAnsi="Times New Roman"/>
          <w:sz w:val="17"/>
          <w:szCs w:val="17"/>
        </w:rPr>
      </w:pPr>
    </w:p>
    <w:p w14:paraId="606F8B0D" w14:textId="77777777" w:rsidR="00FB67F9" w:rsidRDefault="00E839DF">
      <w:pPr>
        <w:rPr>
          <w:rFonts w:ascii="Times New Roman" w:hAnsi="Times New Roman"/>
          <w:sz w:val="17"/>
          <w:szCs w:val="17"/>
        </w:rPr>
      </w:pPr>
      <w:hyperlink r:id="rId105" w:anchor="s42C493F7582652B69E70047AB812E6A5" w:history="1">
        <w:r>
          <w:rPr>
            <w:rStyle w:val="a5"/>
            <w:rFonts w:ascii="sans-serif" w:eastAsia="sans-serif" w:hAnsi="sans-serif" w:cs="sans-serif"/>
            <w:sz w:val="17"/>
            <w:szCs w:val="17"/>
          </w:rPr>
          <w:t>Table of Contents</w:t>
        </w:r>
      </w:hyperlink>
    </w:p>
    <w:p w14:paraId="606F8B0E" w14:textId="77777777" w:rsidR="00FB67F9" w:rsidRDefault="00FB67F9">
      <w:pPr>
        <w:rPr>
          <w:rFonts w:ascii="Times New Roman" w:hAnsi="Times New Roman"/>
          <w:sz w:val="17"/>
          <w:szCs w:val="17"/>
        </w:rPr>
      </w:pPr>
    </w:p>
    <w:p w14:paraId="606F8B0F" w14:textId="77777777" w:rsidR="00FB67F9" w:rsidRDefault="00FB67F9">
      <w:pPr>
        <w:rPr>
          <w:rFonts w:ascii="Times New Roman" w:hAnsi="Times New Roman"/>
          <w:sz w:val="20"/>
          <w:szCs w:val="20"/>
        </w:rPr>
      </w:pPr>
    </w:p>
    <w:p w14:paraId="606F8B1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operations. Demand creation expense increased primarily due to higher retail brand presentation costs, as well as higher advertising and marketing expenses.</w:t>
      </w:r>
    </w:p>
    <w:p w14:paraId="606F8B11"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ASIA PACIFIC &amp; LATIN AMERICA</w:t>
      </w:r>
    </w:p>
    <w:tbl>
      <w:tblPr>
        <w:tblW w:w="5000" w:type="pct"/>
        <w:tblCellMar>
          <w:left w:w="0" w:type="dxa"/>
          <w:right w:w="0" w:type="dxa"/>
        </w:tblCellMar>
        <w:tblLook w:val="04A0" w:firstRow="1" w:lastRow="0" w:firstColumn="1" w:lastColumn="0" w:noHBand="0" w:noVBand="1"/>
      </w:tblPr>
      <w:tblGrid>
        <w:gridCol w:w="2470"/>
        <w:gridCol w:w="132"/>
        <w:gridCol w:w="399"/>
        <w:gridCol w:w="7"/>
        <w:gridCol w:w="131"/>
        <w:gridCol w:w="398"/>
        <w:gridCol w:w="6"/>
        <w:gridCol w:w="607"/>
        <w:gridCol w:w="182"/>
        <w:gridCol w:w="812"/>
        <w:gridCol w:w="182"/>
        <w:gridCol w:w="127"/>
        <w:gridCol w:w="131"/>
        <w:gridCol w:w="398"/>
        <w:gridCol w:w="6"/>
        <w:gridCol w:w="131"/>
        <w:gridCol w:w="398"/>
        <w:gridCol w:w="6"/>
        <w:gridCol w:w="607"/>
        <w:gridCol w:w="182"/>
        <w:gridCol w:w="812"/>
        <w:gridCol w:w="182"/>
      </w:tblGrid>
      <w:tr w:rsidR="00FB67F9" w14:paraId="606F8B13" w14:textId="77777777">
        <w:tc>
          <w:tcPr>
            <w:tcW w:w="0" w:type="auto"/>
            <w:gridSpan w:val="22"/>
            <w:shd w:val="clear" w:color="auto" w:fill="auto"/>
            <w:vAlign w:val="center"/>
          </w:tcPr>
          <w:p w14:paraId="606F8B12" w14:textId="77777777" w:rsidR="00FB67F9" w:rsidRDefault="00FB67F9">
            <w:pPr>
              <w:rPr>
                <w:rFonts w:ascii="Times New Roman" w:hAnsi="Times New Roman"/>
                <w:sz w:val="20"/>
                <w:szCs w:val="20"/>
              </w:rPr>
            </w:pPr>
          </w:p>
        </w:tc>
      </w:tr>
      <w:tr w:rsidR="00FB67F9" w14:paraId="606F8B2A" w14:textId="77777777">
        <w:tc>
          <w:tcPr>
            <w:tcW w:w="1350" w:type="pct"/>
            <w:shd w:val="clear" w:color="auto" w:fill="auto"/>
            <w:vAlign w:val="center"/>
          </w:tcPr>
          <w:p w14:paraId="606F8B14" w14:textId="77777777" w:rsidR="00FB67F9" w:rsidRDefault="00FB67F9">
            <w:pPr>
              <w:rPr>
                <w:rFonts w:ascii="Times New Roman" w:hAnsi="Times New Roman"/>
                <w:sz w:val="20"/>
                <w:szCs w:val="20"/>
              </w:rPr>
            </w:pPr>
          </w:p>
        </w:tc>
        <w:tc>
          <w:tcPr>
            <w:tcW w:w="50" w:type="pct"/>
            <w:shd w:val="clear" w:color="auto" w:fill="auto"/>
            <w:vAlign w:val="center"/>
          </w:tcPr>
          <w:p w14:paraId="606F8B15" w14:textId="77777777" w:rsidR="00FB67F9" w:rsidRDefault="00FB67F9">
            <w:pPr>
              <w:rPr>
                <w:rFonts w:ascii="Times New Roman" w:hAnsi="Times New Roman"/>
                <w:sz w:val="20"/>
                <w:szCs w:val="20"/>
              </w:rPr>
            </w:pPr>
          </w:p>
        </w:tc>
        <w:tc>
          <w:tcPr>
            <w:tcW w:w="350" w:type="pct"/>
            <w:shd w:val="clear" w:color="auto" w:fill="auto"/>
            <w:vAlign w:val="center"/>
          </w:tcPr>
          <w:p w14:paraId="606F8B16" w14:textId="77777777" w:rsidR="00FB67F9" w:rsidRDefault="00FB67F9">
            <w:pPr>
              <w:rPr>
                <w:rFonts w:ascii="Times New Roman" w:hAnsi="Times New Roman"/>
                <w:sz w:val="20"/>
                <w:szCs w:val="20"/>
              </w:rPr>
            </w:pPr>
          </w:p>
        </w:tc>
        <w:tc>
          <w:tcPr>
            <w:tcW w:w="50" w:type="pct"/>
            <w:shd w:val="clear" w:color="auto" w:fill="auto"/>
            <w:vAlign w:val="center"/>
          </w:tcPr>
          <w:p w14:paraId="606F8B17" w14:textId="77777777" w:rsidR="00FB67F9" w:rsidRDefault="00FB67F9">
            <w:pPr>
              <w:rPr>
                <w:rFonts w:ascii="Times New Roman" w:hAnsi="Times New Roman"/>
                <w:sz w:val="20"/>
                <w:szCs w:val="20"/>
              </w:rPr>
            </w:pPr>
          </w:p>
        </w:tc>
        <w:tc>
          <w:tcPr>
            <w:tcW w:w="50" w:type="pct"/>
            <w:shd w:val="clear" w:color="auto" w:fill="auto"/>
            <w:vAlign w:val="center"/>
          </w:tcPr>
          <w:p w14:paraId="606F8B18" w14:textId="77777777" w:rsidR="00FB67F9" w:rsidRDefault="00FB67F9">
            <w:pPr>
              <w:rPr>
                <w:rFonts w:ascii="Times New Roman" w:hAnsi="Times New Roman"/>
                <w:sz w:val="20"/>
                <w:szCs w:val="20"/>
              </w:rPr>
            </w:pPr>
          </w:p>
        </w:tc>
        <w:tc>
          <w:tcPr>
            <w:tcW w:w="350" w:type="pct"/>
            <w:shd w:val="clear" w:color="auto" w:fill="auto"/>
            <w:vAlign w:val="center"/>
          </w:tcPr>
          <w:p w14:paraId="606F8B19" w14:textId="77777777" w:rsidR="00FB67F9" w:rsidRDefault="00FB67F9">
            <w:pPr>
              <w:rPr>
                <w:rFonts w:ascii="Times New Roman" w:hAnsi="Times New Roman"/>
                <w:sz w:val="20"/>
                <w:szCs w:val="20"/>
              </w:rPr>
            </w:pPr>
          </w:p>
        </w:tc>
        <w:tc>
          <w:tcPr>
            <w:tcW w:w="50" w:type="pct"/>
            <w:shd w:val="clear" w:color="auto" w:fill="auto"/>
            <w:vAlign w:val="center"/>
          </w:tcPr>
          <w:p w14:paraId="606F8B1A" w14:textId="77777777" w:rsidR="00FB67F9" w:rsidRDefault="00FB67F9">
            <w:pPr>
              <w:rPr>
                <w:rFonts w:ascii="Times New Roman" w:hAnsi="Times New Roman"/>
                <w:sz w:val="20"/>
                <w:szCs w:val="20"/>
              </w:rPr>
            </w:pPr>
          </w:p>
        </w:tc>
        <w:tc>
          <w:tcPr>
            <w:tcW w:w="400" w:type="pct"/>
            <w:shd w:val="clear" w:color="auto" w:fill="auto"/>
            <w:vAlign w:val="center"/>
          </w:tcPr>
          <w:p w14:paraId="606F8B1B" w14:textId="77777777" w:rsidR="00FB67F9" w:rsidRDefault="00FB67F9">
            <w:pPr>
              <w:rPr>
                <w:rFonts w:ascii="Times New Roman" w:hAnsi="Times New Roman"/>
                <w:sz w:val="20"/>
                <w:szCs w:val="20"/>
              </w:rPr>
            </w:pPr>
          </w:p>
        </w:tc>
        <w:tc>
          <w:tcPr>
            <w:tcW w:w="50" w:type="pct"/>
            <w:shd w:val="clear" w:color="auto" w:fill="auto"/>
            <w:vAlign w:val="center"/>
          </w:tcPr>
          <w:p w14:paraId="606F8B1C" w14:textId="77777777" w:rsidR="00FB67F9" w:rsidRDefault="00FB67F9">
            <w:pPr>
              <w:rPr>
                <w:rFonts w:ascii="Times New Roman" w:hAnsi="Times New Roman"/>
                <w:sz w:val="20"/>
                <w:szCs w:val="20"/>
              </w:rPr>
            </w:pPr>
          </w:p>
        </w:tc>
        <w:tc>
          <w:tcPr>
            <w:tcW w:w="400" w:type="pct"/>
            <w:shd w:val="clear" w:color="auto" w:fill="auto"/>
            <w:vAlign w:val="center"/>
          </w:tcPr>
          <w:p w14:paraId="606F8B1D" w14:textId="77777777" w:rsidR="00FB67F9" w:rsidRDefault="00FB67F9">
            <w:pPr>
              <w:rPr>
                <w:rFonts w:ascii="Times New Roman" w:hAnsi="Times New Roman"/>
                <w:sz w:val="20"/>
                <w:szCs w:val="20"/>
              </w:rPr>
            </w:pPr>
          </w:p>
        </w:tc>
        <w:tc>
          <w:tcPr>
            <w:tcW w:w="50" w:type="pct"/>
            <w:shd w:val="clear" w:color="auto" w:fill="auto"/>
            <w:vAlign w:val="center"/>
          </w:tcPr>
          <w:p w14:paraId="606F8B1E" w14:textId="77777777" w:rsidR="00FB67F9" w:rsidRDefault="00FB67F9">
            <w:pPr>
              <w:rPr>
                <w:rFonts w:ascii="Times New Roman" w:hAnsi="Times New Roman"/>
                <w:sz w:val="20"/>
                <w:szCs w:val="20"/>
              </w:rPr>
            </w:pPr>
          </w:p>
        </w:tc>
        <w:tc>
          <w:tcPr>
            <w:tcW w:w="50" w:type="pct"/>
            <w:shd w:val="clear" w:color="auto" w:fill="auto"/>
            <w:vAlign w:val="center"/>
          </w:tcPr>
          <w:p w14:paraId="606F8B1F" w14:textId="77777777" w:rsidR="00FB67F9" w:rsidRDefault="00FB67F9">
            <w:pPr>
              <w:rPr>
                <w:rFonts w:ascii="Times New Roman" w:hAnsi="Times New Roman"/>
                <w:sz w:val="20"/>
                <w:szCs w:val="20"/>
              </w:rPr>
            </w:pPr>
          </w:p>
        </w:tc>
        <w:tc>
          <w:tcPr>
            <w:tcW w:w="50" w:type="pct"/>
            <w:shd w:val="clear" w:color="auto" w:fill="auto"/>
            <w:vAlign w:val="center"/>
          </w:tcPr>
          <w:p w14:paraId="606F8B20" w14:textId="77777777" w:rsidR="00FB67F9" w:rsidRDefault="00FB67F9">
            <w:pPr>
              <w:rPr>
                <w:rFonts w:ascii="Times New Roman" w:hAnsi="Times New Roman"/>
                <w:sz w:val="20"/>
                <w:szCs w:val="20"/>
              </w:rPr>
            </w:pPr>
          </w:p>
        </w:tc>
        <w:tc>
          <w:tcPr>
            <w:tcW w:w="350" w:type="pct"/>
            <w:shd w:val="clear" w:color="auto" w:fill="auto"/>
            <w:vAlign w:val="center"/>
          </w:tcPr>
          <w:p w14:paraId="606F8B21" w14:textId="77777777" w:rsidR="00FB67F9" w:rsidRDefault="00FB67F9">
            <w:pPr>
              <w:rPr>
                <w:rFonts w:ascii="Times New Roman" w:hAnsi="Times New Roman"/>
                <w:sz w:val="20"/>
                <w:szCs w:val="20"/>
              </w:rPr>
            </w:pPr>
          </w:p>
        </w:tc>
        <w:tc>
          <w:tcPr>
            <w:tcW w:w="50" w:type="pct"/>
            <w:shd w:val="clear" w:color="auto" w:fill="auto"/>
            <w:vAlign w:val="center"/>
          </w:tcPr>
          <w:p w14:paraId="606F8B22" w14:textId="77777777" w:rsidR="00FB67F9" w:rsidRDefault="00FB67F9">
            <w:pPr>
              <w:rPr>
                <w:rFonts w:ascii="Times New Roman" w:hAnsi="Times New Roman"/>
                <w:sz w:val="20"/>
                <w:szCs w:val="20"/>
              </w:rPr>
            </w:pPr>
          </w:p>
        </w:tc>
        <w:tc>
          <w:tcPr>
            <w:tcW w:w="50" w:type="pct"/>
            <w:shd w:val="clear" w:color="auto" w:fill="auto"/>
            <w:vAlign w:val="center"/>
          </w:tcPr>
          <w:p w14:paraId="606F8B23" w14:textId="77777777" w:rsidR="00FB67F9" w:rsidRDefault="00FB67F9">
            <w:pPr>
              <w:rPr>
                <w:rFonts w:ascii="Times New Roman" w:hAnsi="Times New Roman"/>
                <w:sz w:val="20"/>
                <w:szCs w:val="20"/>
              </w:rPr>
            </w:pPr>
          </w:p>
        </w:tc>
        <w:tc>
          <w:tcPr>
            <w:tcW w:w="350" w:type="pct"/>
            <w:shd w:val="clear" w:color="auto" w:fill="auto"/>
            <w:vAlign w:val="center"/>
          </w:tcPr>
          <w:p w14:paraId="606F8B24" w14:textId="77777777" w:rsidR="00FB67F9" w:rsidRDefault="00FB67F9">
            <w:pPr>
              <w:rPr>
                <w:rFonts w:ascii="Times New Roman" w:hAnsi="Times New Roman"/>
                <w:sz w:val="20"/>
                <w:szCs w:val="20"/>
              </w:rPr>
            </w:pPr>
          </w:p>
        </w:tc>
        <w:tc>
          <w:tcPr>
            <w:tcW w:w="50" w:type="pct"/>
            <w:shd w:val="clear" w:color="auto" w:fill="auto"/>
            <w:vAlign w:val="center"/>
          </w:tcPr>
          <w:p w14:paraId="606F8B25" w14:textId="77777777" w:rsidR="00FB67F9" w:rsidRDefault="00FB67F9">
            <w:pPr>
              <w:rPr>
                <w:rFonts w:ascii="Times New Roman" w:hAnsi="Times New Roman"/>
                <w:sz w:val="20"/>
                <w:szCs w:val="20"/>
              </w:rPr>
            </w:pPr>
          </w:p>
        </w:tc>
        <w:tc>
          <w:tcPr>
            <w:tcW w:w="400" w:type="pct"/>
            <w:shd w:val="clear" w:color="auto" w:fill="auto"/>
            <w:vAlign w:val="center"/>
          </w:tcPr>
          <w:p w14:paraId="606F8B26" w14:textId="77777777" w:rsidR="00FB67F9" w:rsidRDefault="00FB67F9">
            <w:pPr>
              <w:rPr>
                <w:rFonts w:ascii="Times New Roman" w:hAnsi="Times New Roman"/>
                <w:sz w:val="20"/>
                <w:szCs w:val="20"/>
              </w:rPr>
            </w:pPr>
          </w:p>
        </w:tc>
        <w:tc>
          <w:tcPr>
            <w:tcW w:w="50" w:type="pct"/>
            <w:shd w:val="clear" w:color="auto" w:fill="auto"/>
            <w:vAlign w:val="center"/>
          </w:tcPr>
          <w:p w14:paraId="606F8B27" w14:textId="77777777" w:rsidR="00FB67F9" w:rsidRDefault="00FB67F9">
            <w:pPr>
              <w:rPr>
                <w:rFonts w:ascii="Times New Roman" w:hAnsi="Times New Roman"/>
                <w:sz w:val="20"/>
                <w:szCs w:val="20"/>
              </w:rPr>
            </w:pPr>
          </w:p>
        </w:tc>
        <w:tc>
          <w:tcPr>
            <w:tcW w:w="400" w:type="pct"/>
            <w:shd w:val="clear" w:color="auto" w:fill="auto"/>
            <w:vAlign w:val="center"/>
          </w:tcPr>
          <w:p w14:paraId="606F8B28" w14:textId="77777777" w:rsidR="00FB67F9" w:rsidRDefault="00FB67F9">
            <w:pPr>
              <w:rPr>
                <w:rFonts w:ascii="Times New Roman" w:hAnsi="Times New Roman"/>
                <w:sz w:val="20"/>
                <w:szCs w:val="20"/>
              </w:rPr>
            </w:pPr>
          </w:p>
        </w:tc>
        <w:tc>
          <w:tcPr>
            <w:tcW w:w="50" w:type="pct"/>
            <w:shd w:val="clear" w:color="auto" w:fill="auto"/>
            <w:vAlign w:val="center"/>
          </w:tcPr>
          <w:p w14:paraId="606F8B29" w14:textId="77777777" w:rsidR="00FB67F9" w:rsidRDefault="00FB67F9">
            <w:pPr>
              <w:rPr>
                <w:rFonts w:ascii="Times New Roman" w:hAnsi="Times New Roman"/>
                <w:sz w:val="20"/>
                <w:szCs w:val="20"/>
              </w:rPr>
            </w:pPr>
          </w:p>
        </w:tc>
      </w:tr>
      <w:tr w:rsidR="00FB67F9" w14:paraId="606F8B2F" w14:textId="77777777">
        <w:tc>
          <w:tcPr>
            <w:tcW w:w="0" w:type="auto"/>
            <w:shd w:val="clear" w:color="auto" w:fill="auto"/>
            <w:tcMar>
              <w:top w:w="40" w:type="dxa"/>
              <w:left w:w="40" w:type="dxa"/>
              <w:bottom w:w="40" w:type="dxa"/>
              <w:right w:w="40" w:type="dxa"/>
            </w:tcMar>
            <w:vAlign w:val="bottom"/>
          </w:tcPr>
          <w:p w14:paraId="606F8B2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B2C"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B2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B2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B3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B30"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3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32"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B33"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B34"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B3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B3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B3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3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3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B3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B3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B3C"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B3D" w14:textId="77777777" w:rsidR="00FB67F9" w:rsidRDefault="00FB67F9">
            <w:pPr>
              <w:textAlignment w:val="bottom"/>
              <w:rPr>
                <w:rFonts w:ascii="Times New Roman" w:hAnsi="Times New Roman"/>
                <w:sz w:val="20"/>
                <w:szCs w:val="20"/>
              </w:rPr>
            </w:pPr>
          </w:p>
        </w:tc>
      </w:tr>
      <w:tr w:rsidR="00FB67F9" w14:paraId="606F8B49" w14:textId="77777777">
        <w:tc>
          <w:tcPr>
            <w:tcW w:w="0" w:type="auto"/>
            <w:shd w:val="clear" w:color="auto" w:fill="auto"/>
            <w:tcMar>
              <w:top w:w="40" w:type="dxa"/>
              <w:left w:w="40" w:type="dxa"/>
              <w:bottom w:w="40" w:type="dxa"/>
              <w:right w:w="40" w:type="dxa"/>
            </w:tcMar>
            <w:vAlign w:val="bottom"/>
          </w:tcPr>
          <w:p w14:paraId="606F8B3F"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B4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B4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4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4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B4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B4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B4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4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4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B6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B4A"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8B4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B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997</w:t>
            </w:r>
          </w:p>
        </w:tc>
        <w:tc>
          <w:tcPr>
            <w:tcW w:w="0" w:type="auto"/>
            <w:tcBorders>
              <w:top w:val="single" w:sz="8" w:space="0" w:color="808080"/>
            </w:tcBorders>
            <w:shd w:val="clear" w:color="auto" w:fill="FFF1E7"/>
            <w:vAlign w:val="bottom"/>
          </w:tcPr>
          <w:p w14:paraId="606F8B4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B4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B4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879</w:t>
            </w:r>
          </w:p>
        </w:tc>
        <w:tc>
          <w:tcPr>
            <w:tcW w:w="0" w:type="auto"/>
            <w:tcBorders>
              <w:top w:val="single" w:sz="8" w:space="0" w:color="808080"/>
            </w:tcBorders>
            <w:shd w:val="clear" w:color="auto" w:fill="auto"/>
            <w:vAlign w:val="bottom"/>
          </w:tcPr>
          <w:p w14:paraId="606F8B5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B5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tcBorders>
            <w:shd w:val="clear" w:color="auto" w:fill="auto"/>
            <w:tcMar>
              <w:top w:w="40" w:type="dxa"/>
              <w:bottom w:w="40" w:type="dxa"/>
              <w:right w:w="40" w:type="dxa"/>
            </w:tcMar>
            <w:vAlign w:val="bottom"/>
          </w:tcPr>
          <w:p w14:paraId="606F8B5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B5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tcBorders>
            <w:shd w:val="clear" w:color="auto" w:fill="auto"/>
            <w:tcMar>
              <w:top w:w="40" w:type="dxa"/>
              <w:bottom w:w="40" w:type="dxa"/>
              <w:right w:w="40" w:type="dxa"/>
            </w:tcMar>
            <w:vAlign w:val="bottom"/>
          </w:tcPr>
          <w:p w14:paraId="606F8B5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B5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8B5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B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1,927</w:t>
            </w:r>
          </w:p>
        </w:tc>
        <w:tc>
          <w:tcPr>
            <w:tcW w:w="0" w:type="auto"/>
            <w:tcBorders>
              <w:top w:val="single" w:sz="8" w:space="0" w:color="808080"/>
            </w:tcBorders>
            <w:shd w:val="clear" w:color="auto" w:fill="FFF1E7"/>
            <w:vAlign w:val="bottom"/>
          </w:tcPr>
          <w:p w14:paraId="606F8B58"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B5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B5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1,760</w:t>
            </w:r>
          </w:p>
        </w:tc>
        <w:tc>
          <w:tcPr>
            <w:tcW w:w="0" w:type="auto"/>
            <w:tcBorders>
              <w:top w:val="single" w:sz="8" w:space="0" w:color="808080"/>
            </w:tcBorders>
            <w:shd w:val="clear" w:color="auto" w:fill="auto"/>
            <w:vAlign w:val="bottom"/>
          </w:tcPr>
          <w:p w14:paraId="606F8B5B"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B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606F8B5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606F8B5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tcBorders>
            <w:shd w:val="clear" w:color="auto" w:fill="auto"/>
            <w:tcMar>
              <w:top w:w="40" w:type="dxa"/>
              <w:bottom w:w="40" w:type="dxa"/>
              <w:right w:w="40" w:type="dxa"/>
            </w:tcMar>
            <w:vAlign w:val="bottom"/>
          </w:tcPr>
          <w:p w14:paraId="606F8B5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B7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B61"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B6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410</w:t>
            </w:r>
          </w:p>
        </w:tc>
        <w:tc>
          <w:tcPr>
            <w:tcW w:w="0" w:type="auto"/>
            <w:tcBorders>
              <w:top w:val="single" w:sz="8" w:space="0" w:color="808080"/>
              <w:bottom w:val="single" w:sz="8" w:space="0" w:color="808080"/>
            </w:tcBorders>
            <w:shd w:val="clear" w:color="auto" w:fill="FFF1E7"/>
            <w:vAlign w:val="bottom"/>
          </w:tcPr>
          <w:p w14:paraId="606F8B6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B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360</w:t>
            </w:r>
          </w:p>
        </w:tc>
        <w:tc>
          <w:tcPr>
            <w:tcW w:w="0" w:type="auto"/>
            <w:tcBorders>
              <w:top w:val="single" w:sz="8" w:space="0" w:color="808080"/>
              <w:bottom w:val="single" w:sz="8" w:space="0" w:color="808080"/>
            </w:tcBorders>
            <w:shd w:val="clear" w:color="auto" w:fill="auto"/>
            <w:vAlign w:val="bottom"/>
          </w:tcPr>
          <w:p w14:paraId="606F8B6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6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6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6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B6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B6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766</w:t>
            </w:r>
          </w:p>
        </w:tc>
        <w:tc>
          <w:tcPr>
            <w:tcW w:w="0" w:type="auto"/>
            <w:tcBorders>
              <w:top w:val="single" w:sz="8" w:space="0" w:color="808080"/>
              <w:bottom w:val="single" w:sz="8" w:space="0" w:color="808080"/>
            </w:tcBorders>
            <w:shd w:val="clear" w:color="auto" w:fill="FFF1E7"/>
            <w:vAlign w:val="bottom"/>
          </w:tcPr>
          <w:p w14:paraId="606F8B6C"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B6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692</w:t>
            </w:r>
          </w:p>
        </w:tc>
        <w:tc>
          <w:tcPr>
            <w:tcW w:w="0" w:type="auto"/>
            <w:tcBorders>
              <w:top w:val="single" w:sz="8" w:space="0" w:color="808080"/>
              <w:bottom w:val="single" w:sz="8" w:space="0" w:color="808080"/>
            </w:tcBorders>
            <w:shd w:val="clear" w:color="auto" w:fill="auto"/>
            <w:vAlign w:val="bottom"/>
          </w:tcPr>
          <w:p w14:paraId="606F8B6E"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6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7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7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7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B86" w14:textId="77777777">
        <w:tc>
          <w:tcPr>
            <w:tcW w:w="0" w:type="auto"/>
            <w:shd w:val="clear" w:color="auto" w:fill="auto"/>
            <w:tcMar>
              <w:top w:w="40" w:type="dxa"/>
              <w:left w:w="240" w:type="dxa"/>
              <w:bottom w:w="40" w:type="dxa"/>
              <w:right w:w="40" w:type="dxa"/>
            </w:tcMar>
            <w:vAlign w:val="bottom"/>
          </w:tcPr>
          <w:p w14:paraId="606F8B74" w14:textId="77777777" w:rsidR="00FB67F9" w:rsidRDefault="00E839DF">
            <w:pPr>
              <w:textAlignment w:val="bottom"/>
              <w:rPr>
                <w:rFonts w:ascii="Times New Roman" w:hAnsi="Times New Roman"/>
                <w:sz w:val="17"/>
                <w:szCs w:val="17"/>
              </w:rPr>
            </w:pPr>
            <w:r>
              <w:rPr>
                <w:rFonts w:ascii="Arial" w:eastAsia="宋体" w:hAnsi="Arial" w:cs="Arial"/>
                <w:sz w:val="17"/>
                <w:szCs w:val="17"/>
              </w:rPr>
              <w:t>Equi</w:t>
            </w:r>
            <w:r>
              <w:rPr>
                <w:rFonts w:ascii="Arial" w:eastAsia="宋体" w:hAnsi="Arial" w:cs="Arial"/>
                <w:sz w:val="17"/>
                <w:szCs w:val="17"/>
              </w:rPr>
              <w:t>pment</w:t>
            </w:r>
          </w:p>
        </w:tc>
        <w:tc>
          <w:tcPr>
            <w:tcW w:w="0" w:type="auto"/>
            <w:gridSpan w:val="2"/>
            <w:shd w:val="clear" w:color="auto" w:fill="FFF1E7"/>
            <w:tcMar>
              <w:top w:w="40" w:type="dxa"/>
              <w:left w:w="40" w:type="dxa"/>
              <w:bottom w:w="40" w:type="dxa"/>
            </w:tcMar>
            <w:vAlign w:val="bottom"/>
          </w:tcPr>
          <w:p w14:paraId="606F8B7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61</w:t>
            </w:r>
          </w:p>
        </w:tc>
        <w:tc>
          <w:tcPr>
            <w:tcW w:w="0" w:type="auto"/>
            <w:shd w:val="clear" w:color="auto" w:fill="FFF1E7"/>
            <w:vAlign w:val="bottom"/>
          </w:tcPr>
          <w:p w14:paraId="606F8B7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B7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59</w:t>
            </w:r>
          </w:p>
        </w:tc>
        <w:tc>
          <w:tcPr>
            <w:tcW w:w="0" w:type="auto"/>
            <w:shd w:val="clear" w:color="auto" w:fill="auto"/>
            <w:vAlign w:val="bottom"/>
          </w:tcPr>
          <w:p w14:paraId="606F8B7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B7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606F8B7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B7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tcMar>
              <w:top w:w="40" w:type="dxa"/>
              <w:bottom w:w="40" w:type="dxa"/>
              <w:right w:w="40" w:type="dxa"/>
            </w:tcMar>
            <w:vAlign w:val="bottom"/>
          </w:tcPr>
          <w:p w14:paraId="606F8B7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B7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B7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120</w:t>
            </w:r>
          </w:p>
        </w:tc>
        <w:tc>
          <w:tcPr>
            <w:tcW w:w="0" w:type="auto"/>
            <w:shd w:val="clear" w:color="auto" w:fill="FFF1E7"/>
            <w:vAlign w:val="bottom"/>
          </w:tcPr>
          <w:p w14:paraId="606F8B7F"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B8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116</w:t>
            </w:r>
          </w:p>
        </w:tc>
        <w:tc>
          <w:tcPr>
            <w:tcW w:w="0" w:type="auto"/>
            <w:shd w:val="clear" w:color="auto" w:fill="auto"/>
            <w:vAlign w:val="bottom"/>
          </w:tcPr>
          <w:p w14:paraId="606F8B81"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B8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606F8B8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B8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606F8B8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B9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8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B8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B8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1,468</w:t>
            </w:r>
          </w:p>
        </w:tc>
        <w:tc>
          <w:tcPr>
            <w:tcW w:w="0" w:type="auto"/>
            <w:tcBorders>
              <w:top w:val="single" w:sz="8" w:space="0" w:color="E87722"/>
              <w:bottom w:val="single" w:sz="8" w:space="0" w:color="E87722"/>
            </w:tcBorders>
            <w:shd w:val="clear" w:color="auto" w:fill="FFF1E7"/>
            <w:vAlign w:val="bottom"/>
          </w:tcPr>
          <w:p w14:paraId="606F8B8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8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B8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1,298</w:t>
            </w:r>
          </w:p>
        </w:tc>
        <w:tc>
          <w:tcPr>
            <w:tcW w:w="0" w:type="auto"/>
            <w:tcBorders>
              <w:top w:val="single" w:sz="8" w:space="0" w:color="E87722"/>
              <w:bottom w:val="single" w:sz="8" w:space="0" w:color="E87722"/>
            </w:tcBorders>
            <w:shd w:val="clear" w:color="auto" w:fill="auto"/>
            <w:vAlign w:val="bottom"/>
          </w:tcPr>
          <w:p w14:paraId="606F8B8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8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8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9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9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9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B9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B9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2,813</w:t>
            </w:r>
          </w:p>
        </w:tc>
        <w:tc>
          <w:tcPr>
            <w:tcW w:w="0" w:type="auto"/>
            <w:tcBorders>
              <w:top w:val="single" w:sz="8" w:space="0" w:color="E87722"/>
              <w:bottom w:val="single" w:sz="8" w:space="0" w:color="E87722"/>
            </w:tcBorders>
            <w:shd w:val="clear" w:color="auto" w:fill="FFF1E7"/>
            <w:vAlign w:val="bottom"/>
          </w:tcPr>
          <w:p w14:paraId="606F8B9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9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B9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2,568</w:t>
            </w:r>
          </w:p>
        </w:tc>
        <w:tc>
          <w:tcPr>
            <w:tcW w:w="0" w:type="auto"/>
            <w:tcBorders>
              <w:top w:val="single" w:sz="8" w:space="0" w:color="E87722"/>
              <w:bottom w:val="single" w:sz="8" w:space="0" w:color="E87722"/>
            </w:tcBorders>
            <w:shd w:val="clear" w:color="auto" w:fill="auto"/>
            <w:vAlign w:val="bottom"/>
          </w:tcPr>
          <w:p w14:paraId="606F8B9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9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9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9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9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BA8" w14:textId="77777777">
        <w:tc>
          <w:tcPr>
            <w:tcW w:w="0" w:type="auto"/>
            <w:shd w:val="clear" w:color="auto" w:fill="auto"/>
            <w:tcMar>
              <w:top w:w="40" w:type="dxa"/>
              <w:left w:w="40" w:type="dxa"/>
              <w:bottom w:w="40" w:type="dxa"/>
              <w:right w:w="40" w:type="dxa"/>
            </w:tcMar>
            <w:vAlign w:val="bottom"/>
          </w:tcPr>
          <w:p w14:paraId="606F8B9E"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B9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BA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A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A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BA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BA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BA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B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BB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BA9"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BA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BA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1,022</w:t>
            </w:r>
          </w:p>
        </w:tc>
        <w:tc>
          <w:tcPr>
            <w:tcW w:w="0" w:type="auto"/>
            <w:tcBorders>
              <w:top w:val="single" w:sz="8" w:space="0" w:color="808080"/>
              <w:bottom w:val="single" w:sz="8" w:space="0" w:color="808080"/>
            </w:tcBorders>
            <w:shd w:val="clear" w:color="auto" w:fill="FFF1E7"/>
            <w:vAlign w:val="bottom"/>
          </w:tcPr>
          <w:p w14:paraId="606F8BA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A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BA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937</w:t>
            </w:r>
          </w:p>
        </w:tc>
        <w:tc>
          <w:tcPr>
            <w:tcW w:w="0" w:type="auto"/>
            <w:tcBorders>
              <w:top w:val="single" w:sz="8" w:space="0" w:color="808080"/>
              <w:bottom w:val="single" w:sz="8" w:space="0" w:color="808080"/>
            </w:tcBorders>
            <w:shd w:val="clear" w:color="auto" w:fill="auto"/>
            <w:vAlign w:val="bottom"/>
          </w:tcPr>
          <w:p w14:paraId="606F8BA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B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B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BB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BB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B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1,972</w:t>
            </w:r>
          </w:p>
        </w:tc>
        <w:tc>
          <w:tcPr>
            <w:tcW w:w="0" w:type="auto"/>
            <w:tcBorders>
              <w:top w:val="single" w:sz="8" w:space="0" w:color="808080"/>
              <w:bottom w:val="single" w:sz="8" w:space="0" w:color="808080"/>
            </w:tcBorders>
            <w:shd w:val="clear" w:color="auto" w:fill="FFF1E7"/>
            <w:vAlign w:val="bottom"/>
          </w:tcPr>
          <w:p w14:paraId="606F8BB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B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B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1,871</w:t>
            </w:r>
          </w:p>
        </w:tc>
        <w:tc>
          <w:tcPr>
            <w:tcW w:w="0" w:type="auto"/>
            <w:tcBorders>
              <w:top w:val="single" w:sz="8" w:space="0" w:color="808080"/>
              <w:bottom w:val="single" w:sz="8" w:space="0" w:color="808080"/>
            </w:tcBorders>
            <w:shd w:val="clear" w:color="auto" w:fill="auto"/>
            <w:vAlign w:val="bottom"/>
          </w:tcPr>
          <w:p w14:paraId="606F8BB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B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B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BB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B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BD2" w14:textId="77777777">
        <w:tc>
          <w:tcPr>
            <w:tcW w:w="0" w:type="auto"/>
            <w:shd w:val="clear" w:color="auto" w:fill="auto"/>
            <w:tcMar>
              <w:top w:w="40" w:type="dxa"/>
              <w:left w:w="240" w:type="dxa"/>
              <w:bottom w:w="40" w:type="dxa"/>
              <w:right w:w="40" w:type="dxa"/>
            </w:tcMar>
            <w:vAlign w:val="bottom"/>
          </w:tcPr>
          <w:p w14:paraId="606F8BC0"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606F8B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446</w:t>
            </w:r>
          </w:p>
        </w:tc>
        <w:tc>
          <w:tcPr>
            <w:tcW w:w="0" w:type="auto"/>
            <w:shd w:val="clear" w:color="auto" w:fill="FFF1E7"/>
            <w:vAlign w:val="bottom"/>
          </w:tcPr>
          <w:p w14:paraId="606F8BC2"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B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361</w:t>
            </w:r>
          </w:p>
        </w:tc>
        <w:tc>
          <w:tcPr>
            <w:tcW w:w="0" w:type="auto"/>
            <w:shd w:val="clear" w:color="auto" w:fill="auto"/>
            <w:vAlign w:val="bottom"/>
          </w:tcPr>
          <w:p w14:paraId="606F8BC4"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BC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24</w:t>
            </w:r>
          </w:p>
        </w:tc>
        <w:tc>
          <w:tcPr>
            <w:tcW w:w="0" w:type="auto"/>
            <w:shd w:val="clear" w:color="auto" w:fill="auto"/>
            <w:tcMar>
              <w:top w:w="40" w:type="dxa"/>
              <w:bottom w:w="40" w:type="dxa"/>
              <w:right w:w="40" w:type="dxa"/>
            </w:tcMar>
            <w:vAlign w:val="bottom"/>
          </w:tcPr>
          <w:p w14:paraId="606F8BC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B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auto"/>
            <w:tcMar>
              <w:top w:w="40" w:type="dxa"/>
              <w:bottom w:w="40" w:type="dxa"/>
              <w:right w:w="40" w:type="dxa"/>
            </w:tcMar>
            <w:vAlign w:val="bottom"/>
          </w:tcPr>
          <w:p w14:paraId="606F8BC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606F8BC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BC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841</w:t>
            </w:r>
          </w:p>
        </w:tc>
        <w:tc>
          <w:tcPr>
            <w:tcW w:w="0" w:type="auto"/>
            <w:shd w:val="clear" w:color="auto" w:fill="FFF1E7"/>
            <w:vAlign w:val="bottom"/>
          </w:tcPr>
          <w:p w14:paraId="606F8BCB"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BC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697</w:t>
            </w:r>
          </w:p>
        </w:tc>
        <w:tc>
          <w:tcPr>
            <w:tcW w:w="0" w:type="auto"/>
            <w:shd w:val="clear" w:color="auto" w:fill="auto"/>
            <w:vAlign w:val="bottom"/>
          </w:tcPr>
          <w:p w14:paraId="606F8BCD"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BC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21</w:t>
            </w:r>
          </w:p>
        </w:tc>
        <w:tc>
          <w:tcPr>
            <w:tcW w:w="0" w:type="auto"/>
            <w:shd w:val="clear" w:color="auto" w:fill="auto"/>
            <w:tcMar>
              <w:top w:w="40" w:type="dxa"/>
              <w:bottom w:w="40" w:type="dxa"/>
              <w:right w:w="40" w:type="dxa"/>
            </w:tcMar>
            <w:vAlign w:val="bottom"/>
          </w:tcPr>
          <w:p w14:paraId="606F8BC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606F8B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tcMar>
              <w:top w:w="40" w:type="dxa"/>
              <w:bottom w:w="40" w:type="dxa"/>
              <w:right w:w="40" w:type="dxa"/>
            </w:tcMar>
            <w:vAlign w:val="bottom"/>
          </w:tcPr>
          <w:p w14:paraId="606F8BD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r>
      <w:tr w:rsidR="00FB67F9" w14:paraId="606F8BE9"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BD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BD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BD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1,468</w:t>
            </w:r>
          </w:p>
        </w:tc>
        <w:tc>
          <w:tcPr>
            <w:tcW w:w="0" w:type="auto"/>
            <w:tcBorders>
              <w:top w:val="single" w:sz="8" w:space="0" w:color="E87722"/>
              <w:bottom w:val="single" w:sz="8" w:space="0" w:color="E87722"/>
            </w:tcBorders>
            <w:shd w:val="clear" w:color="auto" w:fill="FFF1E7"/>
            <w:vAlign w:val="bottom"/>
          </w:tcPr>
          <w:p w14:paraId="606F8BD6"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D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BD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1,298</w:t>
            </w:r>
          </w:p>
        </w:tc>
        <w:tc>
          <w:tcPr>
            <w:tcW w:w="0" w:type="auto"/>
            <w:tcBorders>
              <w:top w:val="single" w:sz="8" w:space="0" w:color="E87722"/>
              <w:bottom w:val="single" w:sz="8" w:space="0" w:color="E87722"/>
            </w:tcBorders>
            <w:shd w:val="clear" w:color="auto" w:fill="auto"/>
            <w:vAlign w:val="bottom"/>
          </w:tcPr>
          <w:p w14:paraId="606F8BD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D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D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D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D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BD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BD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BE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2,813</w:t>
            </w:r>
          </w:p>
        </w:tc>
        <w:tc>
          <w:tcPr>
            <w:tcW w:w="0" w:type="auto"/>
            <w:tcBorders>
              <w:top w:val="single" w:sz="8" w:space="0" w:color="E87722"/>
              <w:bottom w:val="single" w:sz="8" w:space="0" w:color="E87722"/>
            </w:tcBorders>
            <w:shd w:val="clear" w:color="auto" w:fill="FFF1E7"/>
            <w:vAlign w:val="bottom"/>
          </w:tcPr>
          <w:p w14:paraId="606F8BE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E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BE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2,568</w:t>
            </w:r>
          </w:p>
        </w:tc>
        <w:tc>
          <w:tcPr>
            <w:tcW w:w="0" w:type="auto"/>
            <w:tcBorders>
              <w:top w:val="single" w:sz="8" w:space="0" w:color="E87722"/>
              <w:bottom w:val="single" w:sz="8" w:space="0" w:color="E87722"/>
            </w:tcBorders>
            <w:shd w:val="clear" w:color="auto" w:fill="auto"/>
            <w:vAlign w:val="bottom"/>
          </w:tcPr>
          <w:p w14:paraId="606F8BE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E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E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E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E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r>
      <w:tr w:rsidR="00FB67F9" w14:paraId="606F8BFE"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E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BE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BE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377</w:t>
            </w:r>
          </w:p>
        </w:tc>
        <w:tc>
          <w:tcPr>
            <w:tcW w:w="0" w:type="auto"/>
            <w:tcBorders>
              <w:top w:val="single" w:sz="8" w:space="0" w:color="E87722"/>
              <w:bottom w:val="single" w:sz="8" w:space="0" w:color="E87722"/>
            </w:tcBorders>
            <w:shd w:val="clear" w:color="auto" w:fill="FFF1E7"/>
            <w:vAlign w:val="bottom"/>
          </w:tcPr>
          <w:p w14:paraId="606F8BE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E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BE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321</w:t>
            </w:r>
          </w:p>
        </w:tc>
        <w:tc>
          <w:tcPr>
            <w:tcW w:w="0" w:type="auto"/>
            <w:tcBorders>
              <w:top w:val="single" w:sz="8" w:space="0" w:color="E87722"/>
              <w:bottom w:val="single" w:sz="8" w:space="0" w:color="E87722"/>
            </w:tcBorders>
            <w:shd w:val="clear" w:color="auto" w:fill="auto"/>
            <w:vAlign w:val="bottom"/>
          </w:tcPr>
          <w:p w14:paraId="606F8BF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F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F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F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F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BF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BF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718</w:t>
            </w:r>
          </w:p>
        </w:tc>
        <w:tc>
          <w:tcPr>
            <w:tcW w:w="0" w:type="auto"/>
            <w:tcBorders>
              <w:top w:val="single" w:sz="8" w:space="0" w:color="E87722"/>
              <w:bottom w:val="single" w:sz="8" w:space="0" w:color="E87722"/>
            </w:tcBorders>
            <w:shd w:val="clear" w:color="auto" w:fill="FFF1E7"/>
            <w:vAlign w:val="bottom"/>
          </w:tcPr>
          <w:p w14:paraId="606F8BF7"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F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BF9"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644</w:t>
            </w:r>
          </w:p>
        </w:tc>
        <w:tc>
          <w:tcPr>
            <w:tcW w:w="0" w:type="auto"/>
            <w:tcBorders>
              <w:top w:val="single" w:sz="8" w:space="0" w:color="E87722"/>
              <w:bottom w:val="single" w:sz="8" w:space="0" w:color="E87722"/>
            </w:tcBorders>
            <w:shd w:val="clear" w:color="auto" w:fill="auto"/>
            <w:vAlign w:val="bottom"/>
          </w:tcPr>
          <w:p w14:paraId="606F8BFA"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BF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BFC"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BF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bl>
    <w:p w14:paraId="606F8BFF"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C0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On a currency-neutral basis, APLA revenues increased 18% for the second quarter of fiscal 2020, driven by higher revenues in all territories. Territory revenue growth was </w:t>
      </w:r>
      <w:r>
        <w:rPr>
          <w:rFonts w:ascii="Arial" w:eastAsia="宋体" w:hAnsi="Arial" w:cs="Arial"/>
          <w:sz w:val="17"/>
          <w:szCs w:val="17"/>
        </w:rPr>
        <w:t>led by Korea and Japan, which increased 23% and 18%, respectively. Revenues increased in nearly all key categories, most notably Sportswear, Running and the Jordan Brand. NIKE Direct revenues increased 28%, fueled by digital commerce sales growth of 67%, c</w:t>
      </w:r>
      <w:r>
        <w:rPr>
          <w:rFonts w:ascii="Arial" w:eastAsia="宋体" w:hAnsi="Arial" w:cs="Arial"/>
          <w:sz w:val="17"/>
          <w:szCs w:val="17"/>
        </w:rPr>
        <w:t>omparable store sales growth of 14% and the addition of new stores.</w:t>
      </w:r>
    </w:p>
    <w:p w14:paraId="606F8C0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Currency-neutral footwear revenues increased 19% for the second quarter of fiscal 2020 due to growth in most key categories, led by Sportswear, Running and the Jordan Brand. Unit sales of </w:t>
      </w:r>
      <w:r>
        <w:rPr>
          <w:rFonts w:ascii="Arial" w:eastAsia="宋体" w:hAnsi="Arial" w:cs="Arial"/>
          <w:sz w:val="17"/>
          <w:szCs w:val="17"/>
        </w:rPr>
        <w:t>footwear increased 5% and higher ASP per pair contributed approximately 14 percentage points of footwear revenue growth, driven by higher full-price, NIKE Direct and off-price ASPs, all of which in part reflect inflationary conditions in our SOCO territory</w:t>
      </w:r>
      <w:r>
        <w:rPr>
          <w:rFonts w:ascii="Arial" w:eastAsia="宋体" w:hAnsi="Arial" w:cs="Arial"/>
          <w:sz w:val="17"/>
          <w:szCs w:val="17"/>
        </w:rPr>
        <w:t xml:space="preserve"> (which comprises Argentina, Uruguay and Chile).</w:t>
      </w:r>
    </w:p>
    <w:p w14:paraId="606F8C0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apparel revenues grew 18% for the second quarter of fiscal 2020, driven by higher revenues in all key categories, most notably Sportswear. Unit sales of apparel increased 7% and higher ASP p</w:t>
      </w:r>
      <w:r>
        <w:rPr>
          <w:rFonts w:ascii="Arial" w:eastAsia="宋体" w:hAnsi="Arial" w:cs="Arial"/>
          <w:sz w:val="17"/>
          <w:szCs w:val="17"/>
        </w:rPr>
        <w:t>er unit contributed approximately 11 percentage points of apparel revenue growth, driven by higher full-price, NIKE Direct and off-price ASPs, all of which in part reflect inflationary conditions in our SOCO territory.</w:t>
      </w:r>
    </w:p>
    <w:p w14:paraId="606F8C0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Reported EBIT increased 17% for the s</w:t>
      </w:r>
      <w:r>
        <w:rPr>
          <w:rFonts w:ascii="Arial" w:eastAsia="宋体" w:hAnsi="Arial" w:cs="Arial"/>
          <w:sz w:val="17"/>
          <w:szCs w:val="17"/>
        </w:rPr>
        <w:t>econd quarter of fiscal 2020 as higher revenues and selling and administrative expense leverage more than offset a decline in gross margin. Gross margin decreased approximately 30 basis points as higher product costs and unfavorable standard foreign curren</w:t>
      </w:r>
      <w:r>
        <w:rPr>
          <w:rFonts w:ascii="Arial" w:eastAsia="宋体" w:hAnsi="Arial" w:cs="Arial"/>
          <w:sz w:val="17"/>
          <w:szCs w:val="17"/>
        </w:rPr>
        <w:t>cy exchange rates more than offset higher full-price ASP. Selling and administrative expense increased due to higher operating overhead and demand creation expense. Operating overhead expense increased as a result of higher wage-related expenses. The incre</w:t>
      </w:r>
      <w:r>
        <w:rPr>
          <w:rFonts w:ascii="Arial" w:eastAsia="宋体" w:hAnsi="Arial" w:cs="Arial"/>
          <w:sz w:val="17"/>
          <w:szCs w:val="17"/>
        </w:rPr>
        <w:t>ase in demand creation expense was primarily due to higher sports marketing costs, as well as higher advertising and marketing expenses, partially offset by lower retail brand presentation costs.</w:t>
      </w:r>
    </w:p>
    <w:p w14:paraId="606F8C04"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 xml:space="preserve">FIRST SIX MONTHS OF FISCAL 2020 COMPARED TO FIRST SIX </w:t>
      </w:r>
      <w:r>
        <w:rPr>
          <w:rFonts w:ascii="sans-serif" w:eastAsia="sans-serif" w:hAnsi="sans-serif" w:cs="sans-serif"/>
          <w:b/>
          <w:bCs/>
          <w:color w:val="808080"/>
          <w:sz w:val="22"/>
          <w:szCs w:val="22"/>
        </w:rPr>
        <w:t>MONTHS OF FISCAL 2019</w:t>
      </w:r>
    </w:p>
    <w:p w14:paraId="606F8C0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APLA revenues increased 15% for the first six months of fiscal 2020, driven by higher revenues in all territories. Territory revenue growth was led by SOCO, Korea and Japan, which increased 32%, 19% and 15</w:t>
      </w:r>
      <w:r>
        <w:rPr>
          <w:rFonts w:ascii="Arial" w:eastAsia="宋体" w:hAnsi="Arial" w:cs="Arial"/>
          <w:sz w:val="17"/>
          <w:szCs w:val="17"/>
        </w:rPr>
        <w:t>%, respectively. Revenues increased in nearly all key categories, most notably Sportswear, Running and the Jordan Brand. NIKE Direct revenues increased 26%, fueled by digital commerce sales growth of 57%, comparable store sales growth of 16% and the additi</w:t>
      </w:r>
      <w:r>
        <w:rPr>
          <w:rFonts w:ascii="Arial" w:eastAsia="宋体" w:hAnsi="Arial" w:cs="Arial"/>
          <w:sz w:val="17"/>
          <w:szCs w:val="17"/>
        </w:rPr>
        <w:t>on of new stores.</w:t>
      </w:r>
    </w:p>
    <w:p w14:paraId="606F8C0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Currency-neutral footwear revenues increased 15% for the first six months of fiscal 2020 due to growth in nearly all key categories, led by Sportswear, Running and the Jordan Brand. Unit sales of footwear increased 2%, while higher ASP pe</w:t>
      </w:r>
      <w:r>
        <w:rPr>
          <w:rFonts w:ascii="Arial" w:eastAsia="宋体" w:hAnsi="Arial" w:cs="Arial"/>
          <w:sz w:val="17"/>
          <w:szCs w:val="17"/>
        </w:rPr>
        <w:t>r pair contributed approximately 13 percentage points of footwear revenue growth, driven by higher full-price and NIKE Direct ASPs, both of which in part reflect inflationary conditions in our SOCO territory.</w:t>
      </w:r>
    </w:p>
    <w:p w14:paraId="606F8C0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Currency-neutral apparel revenues grew 17% for </w:t>
      </w:r>
      <w:r>
        <w:rPr>
          <w:rFonts w:ascii="Arial" w:eastAsia="宋体" w:hAnsi="Arial" w:cs="Arial"/>
          <w:sz w:val="17"/>
          <w:szCs w:val="17"/>
        </w:rPr>
        <w:t>the first six months of fiscal 2020, driven by higher revenues in nearly all key categories, most notably Sportswear. Unit sales of apparel increased 6% and higher ASP per unit contributed approximately 11 percentage points of apparel revenue growth, drive</w:t>
      </w:r>
      <w:r>
        <w:rPr>
          <w:rFonts w:ascii="Arial" w:eastAsia="宋体" w:hAnsi="Arial" w:cs="Arial"/>
          <w:sz w:val="17"/>
          <w:szCs w:val="17"/>
        </w:rPr>
        <w:t>n by higher full-price, NIKE Direct and off-price ASPs, all of which in part reflect inflationary conditions in our SOCO territory.</w:t>
      </w:r>
    </w:p>
    <w:p w14:paraId="606F8C08" w14:textId="77777777" w:rsidR="00FB67F9" w:rsidRDefault="00FB67F9">
      <w:pPr>
        <w:rPr>
          <w:rFonts w:ascii="Times New Roman" w:hAnsi="Times New Roman"/>
          <w:sz w:val="20"/>
          <w:szCs w:val="20"/>
        </w:rPr>
      </w:pPr>
    </w:p>
    <w:p w14:paraId="606F8C09"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36</w:t>
      </w:r>
      <w:r>
        <w:rPr>
          <w:rFonts w:ascii="sans-serif" w:eastAsia="sans-serif" w:hAnsi="sans-serif" w:cs="sans-serif"/>
          <w:sz w:val="17"/>
          <w:szCs w:val="17"/>
        </w:rPr>
        <w:t xml:space="preserve"> </w:t>
      </w:r>
    </w:p>
    <w:p w14:paraId="606F8C0A" w14:textId="77777777" w:rsidR="00FB67F9" w:rsidRDefault="00E839DF">
      <w:r>
        <w:rPr>
          <w:rFonts w:ascii="Times New Roman" w:hAnsi="Times New Roman"/>
          <w:sz w:val="17"/>
          <w:szCs w:val="17"/>
        </w:rPr>
        <w:pict w14:anchorId="606F8FA1">
          <v:rect id="_x0000_i1062" style="width:415.3pt;height:1.5pt" o:hralign="center" o:hrstd="t" o:hr="t" fillcolor="#a0a0a0" stroked="f"/>
        </w:pict>
      </w:r>
    </w:p>
    <w:p w14:paraId="606F8C0B" w14:textId="77777777" w:rsidR="00FB67F9" w:rsidRDefault="00FB67F9">
      <w:pPr>
        <w:rPr>
          <w:rFonts w:ascii="Times New Roman" w:hAnsi="Times New Roman"/>
          <w:sz w:val="17"/>
          <w:szCs w:val="17"/>
        </w:rPr>
      </w:pPr>
    </w:p>
    <w:p w14:paraId="606F8C0C" w14:textId="77777777" w:rsidR="00FB67F9" w:rsidRDefault="00E839DF">
      <w:pPr>
        <w:rPr>
          <w:rFonts w:ascii="Times New Roman" w:hAnsi="Times New Roman"/>
          <w:sz w:val="17"/>
          <w:szCs w:val="17"/>
        </w:rPr>
      </w:pPr>
      <w:hyperlink r:id="rId106" w:anchor="s42C493F7582652B69E70047AB812E6A5" w:history="1">
        <w:r>
          <w:rPr>
            <w:rStyle w:val="a5"/>
            <w:rFonts w:ascii="sans-serif" w:eastAsia="sans-serif" w:hAnsi="sans-serif" w:cs="sans-serif"/>
            <w:sz w:val="17"/>
            <w:szCs w:val="17"/>
          </w:rPr>
          <w:t>Table of Contents</w:t>
        </w:r>
      </w:hyperlink>
    </w:p>
    <w:p w14:paraId="606F8C0D" w14:textId="77777777" w:rsidR="00FB67F9" w:rsidRDefault="00FB67F9">
      <w:pPr>
        <w:rPr>
          <w:rFonts w:ascii="Times New Roman" w:hAnsi="Times New Roman"/>
          <w:sz w:val="17"/>
          <w:szCs w:val="17"/>
        </w:rPr>
      </w:pPr>
    </w:p>
    <w:p w14:paraId="606F8C0E" w14:textId="77777777" w:rsidR="00FB67F9" w:rsidRDefault="00FB67F9">
      <w:pPr>
        <w:rPr>
          <w:rFonts w:ascii="Times New Roman" w:hAnsi="Times New Roman"/>
          <w:sz w:val="20"/>
          <w:szCs w:val="20"/>
        </w:rPr>
      </w:pPr>
    </w:p>
    <w:p w14:paraId="606F8C0F"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Reported EBIT increased 11% for the first six months of fiscal 2020 as higher revenues and selling and administrative expense leverage more than offset a decline in gross margin. Gross margin </w:t>
      </w:r>
      <w:r>
        <w:rPr>
          <w:rFonts w:ascii="Arial" w:eastAsia="宋体" w:hAnsi="Arial" w:cs="Arial"/>
          <w:sz w:val="17"/>
          <w:szCs w:val="17"/>
        </w:rPr>
        <w:t>decreased approximately 60 basis points as higher product costs, unfavorable standard foreign currency exchange rates and, to a lesser extent, higher warehousing and freight costs more than offset higher full-price ASP. Selling and administrative expense i</w:t>
      </w:r>
      <w:r>
        <w:rPr>
          <w:rFonts w:ascii="Arial" w:eastAsia="宋体" w:hAnsi="Arial" w:cs="Arial"/>
          <w:sz w:val="17"/>
          <w:szCs w:val="17"/>
        </w:rPr>
        <w:t>ncreased as higher operating overhead expense was partially offset by lower demand creation expense. Operating overhead expense increased as a result of higher investments in our NIKE Direct operations and higher wage-related expenses. The decrease in dema</w:t>
      </w:r>
      <w:r>
        <w:rPr>
          <w:rFonts w:ascii="Arial" w:eastAsia="宋体" w:hAnsi="Arial" w:cs="Arial"/>
          <w:sz w:val="17"/>
          <w:szCs w:val="17"/>
        </w:rPr>
        <w:t>nd creation expense was primarily due to lower retail brand presentation and sports marketing costs.</w:t>
      </w:r>
    </w:p>
    <w:p w14:paraId="606F8C10"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GLOBAL BRAND DIVISIONS</w:t>
      </w:r>
    </w:p>
    <w:tbl>
      <w:tblPr>
        <w:tblW w:w="5000" w:type="pct"/>
        <w:tblCellMar>
          <w:left w:w="0" w:type="dxa"/>
          <w:right w:w="0" w:type="dxa"/>
        </w:tblCellMar>
        <w:tblLook w:val="04A0" w:firstRow="1" w:lastRow="0" w:firstColumn="1" w:lastColumn="0" w:noHBand="0" w:noVBand="1"/>
      </w:tblPr>
      <w:tblGrid>
        <w:gridCol w:w="1677"/>
        <w:gridCol w:w="135"/>
        <w:gridCol w:w="341"/>
        <w:gridCol w:w="97"/>
        <w:gridCol w:w="135"/>
        <w:gridCol w:w="341"/>
        <w:gridCol w:w="97"/>
        <w:gridCol w:w="644"/>
        <w:gridCol w:w="239"/>
        <w:gridCol w:w="863"/>
        <w:gridCol w:w="192"/>
        <w:gridCol w:w="130"/>
        <w:gridCol w:w="135"/>
        <w:gridCol w:w="483"/>
        <w:gridCol w:w="97"/>
        <w:gridCol w:w="135"/>
        <w:gridCol w:w="483"/>
        <w:gridCol w:w="97"/>
        <w:gridCol w:w="644"/>
        <w:gridCol w:w="239"/>
        <w:gridCol w:w="863"/>
        <w:gridCol w:w="239"/>
      </w:tblGrid>
      <w:tr w:rsidR="00FB67F9" w14:paraId="606F8C12" w14:textId="77777777">
        <w:tc>
          <w:tcPr>
            <w:tcW w:w="0" w:type="auto"/>
            <w:gridSpan w:val="22"/>
            <w:shd w:val="clear" w:color="auto" w:fill="auto"/>
            <w:vAlign w:val="center"/>
          </w:tcPr>
          <w:p w14:paraId="606F8C11" w14:textId="77777777" w:rsidR="00FB67F9" w:rsidRDefault="00FB67F9">
            <w:pPr>
              <w:rPr>
                <w:rFonts w:ascii="Times New Roman" w:hAnsi="Times New Roman"/>
                <w:sz w:val="20"/>
                <w:szCs w:val="20"/>
              </w:rPr>
            </w:pPr>
          </w:p>
        </w:tc>
      </w:tr>
      <w:tr w:rsidR="00FB67F9" w14:paraId="606F8C29" w14:textId="77777777">
        <w:tc>
          <w:tcPr>
            <w:tcW w:w="1350" w:type="pct"/>
            <w:shd w:val="clear" w:color="auto" w:fill="auto"/>
            <w:vAlign w:val="center"/>
          </w:tcPr>
          <w:p w14:paraId="606F8C13" w14:textId="77777777" w:rsidR="00FB67F9" w:rsidRDefault="00FB67F9">
            <w:pPr>
              <w:rPr>
                <w:rFonts w:ascii="Times New Roman" w:hAnsi="Times New Roman"/>
                <w:sz w:val="20"/>
                <w:szCs w:val="20"/>
              </w:rPr>
            </w:pPr>
          </w:p>
        </w:tc>
        <w:tc>
          <w:tcPr>
            <w:tcW w:w="50" w:type="pct"/>
            <w:shd w:val="clear" w:color="auto" w:fill="auto"/>
            <w:vAlign w:val="center"/>
          </w:tcPr>
          <w:p w14:paraId="606F8C14" w14:textId="77777777" w:rsidR="00FB67F9" w:rsidRDefault="00FB67F9">
            <w:pPr>
              <w:rPr>
                <w:rFonts w:ascii="Times New Roman" w:hAnsi="Times New Roman"/>
                <w:sz w:val="20"/>
                <w:szCs w:val="20"/>
              </w:rPr>
            </w:pPr>
          </w:p>
        </w:tc>
        <w:tc>
          <w:tcPr>
            <w:tcW w:w="350" w:type="pct"/>
            <w:shd w:val="clear" w:color="auto" w:fill="auto"/>
            <w:vAlign w:val="center"/>
          </w:tcPr>
          <w:p w14:paraId="606F8C15" w14:textId="77777777" w:rsidR="00FB67F9" w:rsidRDefault="00FB67F9">
            <w:pPr>
              <w:rPr>
                <w:rFonts w:ascii="Times New Roman" w:hAnsi="Times New Roman"/>
                <w:sz w:val="20"/>
                <w:szCs w:val="20"/>
              </w:rPr>
            </w:pPr>
          </w:p>
        </w:tc>
        <w:tc>
          <w:tcPr>
            <w:tcW w:w="50" w:type="pct"/>
            <w:shd w:val="clear" w:color="auto" w:fill="auto"/>
            <w:vAlign w:val="center"/>
          </w:tcPr>
          <w:p w14:paraId="606F8C16" w14:textId="77777777" w:rsidR="00FB67F9" w:rsidRDefault="00FB67F9">
            <w:pPr>
              <w:rPr>
                <w:rFonts w:ascii="Times New Roman" w:hAnsi="Times New Roman"/>
                <w:sz w:val="20"/>
                <w:szCs w:val="20"/>
              </w:rPr>
            </w:pPr>
          </w:p>
        </w:tc>
        <w:tc>
          <w:tcPr>
            <w:tcW w:w="50" w:type="pct"/>
            <w:shd w:val="clear" w:color="auto" w:fill="auto"/>
            <w:vAlign w:val="center"/>
          </w:tcPr>
          <w:p w14:paraId="606F8C17" w14:textId="77777777" w:rsidR="00FB67F9" w:rsidRDefault="00FB67F9">
            <w:pPr>
              <w:rPr>
                <w:rFonts w:ascii="Times New Roman" w:hAnsi="Times New Roman"/>
                <w:sz w:val="20"/>
                <w:szCs w:val="20"/>
              </w:rPr>
            </w:pPr>
          </w:p>
        </w:tc>
        <w:tc>
          <w:tcPr>
            <w:tcW w:w="350" w:type="pct"/>
            <w:shd w:val="clear" w:color="auto" w:fill="auto"/>
            <w:vAlign w:val="center"/>
          </w:tcPr>
          <w:p w14:paraId="606F8C18" w14:textId="77777777" w:rsidR="00FB67F9" w:rsidRDefault="00FB67F9">
            <w:pPr>
              <w:rPr>
                <w:rFonts w:ascii="Times New Roman" w:hAnsi="Times New Roman"/>
                <w:sz w:val="20"/>
                <w:szCs w:val="20"/>
              </w:rPr>
            </w:pPr>
          </w:p>
        </w:tc>
        <w:tc>
          <w:tcPr>
            <w:tcW w:w="50" w:type="pct"/>
            <w:shd w:val="clear" w:color="auto" w:fill="auto"/>
            <w:vAlign w:val="center"/>
          </w:tcPr>
          <w:p w14:paraId="606F8C19" w14:textId="77777777" w:rsidR="00FB67F9" w:rsidRDefault="00FB67F9">
            <w:pPr>
              <w:rPr>
                <w:rFonts w:ascii="Times New Roman" w:hAnsi="Times New Roman"/>
                <w:sz w:val="20"/>
                <w:szCs w:val="20"/>
              </w:rPr>
            </w:pPr>
          </w:p>
        </w:tc>
        <w:tc>
          <w:tcPr>
            <w:tcW w:w="400" w:type="pct"/>
            <w:shd w:val="clear" w:color="auto" w:fill="auto"/>
            <w:vAlign w:val="center"/>
          </w:tcPr>
          <w:p w14:paraId="606F8C1A" w14:textId="77777777" w:rsidR="00FB67F9" w:rsidRDefault="00FB67F9">
            <w:pPr>
              <w:rPr>
                <w:rFonts w:ascii="Times New Roman" w:hAnsi="Times New Roman"/>
                <w:sz w:val="20"/>
                <w:szCs w:val="20"/>
              </w:rPr>
            </w:pPr>
          </w:p>
        </w:tc>
        <w:tc>
          <w:tcPr>
            <w:tcW w:w="50" w:type="pct"/>
            <w:shd w:val="clear" w:color="auto" w:fill="auto"/>
            <w:vAlign w:val="center"/>
          </w:tcPr>
          <w:p w14:paraId="606F8C1B" w14:textId="77777777" w:rsidR="00FB67F9" w:rsidRDefault="00FB67F9">
            <w:pPr>
              <w:rPr>
                <w:rFonts w:ascii="Times New Roman" w:hAnsi="Times New Roman"/>
                <w:sz w:val="20"/>
                <w:szCs w:val="20"/>
              </w:rPr>
            </w:pPr>
          </w:p>
        </w:tc>
        <w:tc>
          <w:tcPr>
            <w:tcW w:w="400" w:type="pct"/>
            <w:shd w:val="clear" w:color="auto" w:fill="auto"/>
            <w:vAlign w:val="center"/>
          </w:tcPr>
          <w:p w14:paraId="606F8C1C" w14:textId="77777777" w:rsidR="00FB67F9" w:rsidRDefault="00FB67F9">
            <w:pPr>
              <w:rPr>
                <w:rFonts w:ascii="Times New Roman" w:hAnsi="Times New Roman"/>
                <w:sz w:val="20"/>
                <w:szCs w:val="20"/>
              </w:rPr>
            </w:pPr>
          </w:p>
        </w:tc>
        <w:tc>
          <w:tcPr>
            <w:tcW w:w="50" w:type="pct"/>
            <w:shd w:val="clear" w:color="auto" w:fill="auto"/>
            <w:vAlign w:val="center"/>
          </w:tcPr>
          <w:p w14:paraId="606F8C1D" w14:textId="77777777" w:rsidR="00FB67F9" w:rsidRDefault="00FB67F9">
            <w:pPr>
              <w:rPr>
                <w:rFonts w:ascii="Times New Roman" w:hAnsi="Times New Roman"/>
                <w:sz w:val="20"/>
                <w:szCs w:val="20"/>
              </w:rPr>
            </w:pPr>
          </w:p>
        </w:tc>
        <w:tc>
          <w:tcPr>
            <w:tcW w:w="50" w:type="pct"/>
            <w:shd w:val="clear" w:color="auto" w:fill="auto"/>
            <w:vAlign w:val="center"/>
          </w:tcPr>
          <w:p w14:paraId="606F8C1E" w14:textId="77777777" w:rsidR="00FB67F9" w:rsidRDefault="00FB67F9">
            <w:pPr>
              <w:rPr>
                <w:rFonts w:ascii="Times New Roman" w:hAnsi="Times New Roman"/>
                <w:sz w:val="20"/>
                <w:szCs w:val="20"/>
              </w:rPr>
            </w:pPr>
          </w:p>
        </w:tc>
        <w:tc>
          <w:tcPr>
            <w:tcW w:w="50" w:type="pct"/>
            <w:shd w:val="clear" w:color="auto" w:fill="auto"/>
            <w:vAlign w:val="center"/>
          </w:tcPr>
          <w:p w14:paraId="606F8C1F" w14:textId="77777777" w:rsidR="00FB67F9" w:rsidRDefault="00FB67F9">
            <w:pPr>
              <w:rPr>
                <w:rFonts w:ascii="Times New Roman" w:hAnsi="Times New Roman"/>
                <w:sz w:val="20"/>
                <w:szCs w:val="20"/>
              </w:rPr>
            </w:pPr>
          </w:p>
        </w:tc>
        <w:tc>
          <w:tcPr>
            <w:tcW w:w="350" w:type="pct"/>
            <w:shd w:val="clear" w:color="auto" w:fill="auto"/>
            <w:vAlign w:val="center"/>
          </w:tcPr>
          <w:p w14:paraId="606F8C20" w14:textId="77777777" w:rsidR="00FB67F9" w:rsidRDefault="00FB67F9">
            <w:pPr>
              <w:rPr>
                <w:rFonts w:ascii="Times New Roman" w:hAnsi="Times New Roman"/>
                <w:sz w:val="20"/>
                <w:szCs w:val="20"/>
              </w:rPr>
            </w:pPr>
          </w:p>
        </w:tc>
        <w:tc>
          <w:tcPr>
            <w:tcW w:w="50" w:type="pct"/>
            <w:shd w:val="clear" w:color="auto" w:fill="auto"/>
            <w:vAlign w:val="center"/>
          </w:tcPr>
          <w:p w14:paraId="606F8C21" w14:textId="77777777" w:rsidR="00FB67F9" w:rsidRDefault="00FB67F9">
            <w:pPr>
              <w:rPr>
                <w:rFonts w:ascii="Times New Roman" w:hAnsi="Times New Roman"/>
                <w:sz w:val="20"/>
                <w:szCs w:val="20"/>
              </w:rPr>
            </w:pPr>
          </w:p>
        </w:tc>
        <w:tc>
          <w:tcPr>
            <w:tcW w:w="50" w:type="pct"/>
            <w:shd w:val="clear" w:color="auto" w:fill="auto"/>
            <w:vAlign w:val="center"/>
          </w:tcPr>
          <w:p w14:paraId="606F8C22" w14:textId="77777777" w:rsidR="00FB67F9" w:rsidRDefault="00FB67F9">
            <w:pPr>
              <w:rPr>
                <w:rFonts w:ascii="Times New Roman" w:hAnsi="Times New Roman"/>
                <w:sz w:val="20"/>
                <w:szCs w:val="20"/>
              </w:rPr>
            </w:pPr>
          </w:p>
        </w:tc>
        <w:tc>
          <w:tcPr>
            <w:tcW w:w="350" w:type="pct"/>
            <w:shd w:val="clear" w:color="auto" w:fill="auto"/>
            <w:vAlign w:val="center"/>
          </w:tcPr>
          <w:p w14:paraId="606F8C23" w14:textId="77777777" w:rsidR="00FB67F9" w:rsidRDefault="00FB67F9">
            <w:pPr>
              <w:rPr>
                <w:rFonts w:ascii="Times New Roman" w:hAnsi="Times New Roman"/>
                <w:sz w:val="20"/>
                <w:szCs w:val="20"/>
              </w:rPr>
            </w:pPr>
          </w:p>
        </w:tc>
        <w:tc>
          <w:tcPr>
            <w:tcW w:w="50" w:type="pct"/>
            <w:shd w:val="clear" w:color="auto" w:fill="auto"/>
            <w:vAlign w:val="center"/>
          </w:tcPr>
          <w:p w14:paraId="606F8C24" w14:textId="77777777" w:rsidR="00FB67F9" w:rsidRDefault="00FB67F9">
            <w:pPr>
              <w:rPr>
                <w:rFonts w:ascii="Times New Roman" w:hAnsi="Times New Roman"/>
                <w:sz w:val="20"/>
                <w:szCs w:val="20"/>
              </w:rPr>
            </w:pPr>
          </w:p>
        </w:tc>
        <w:tc>
          <w:tcPr>
            <w:tcW w:w="400" w:type="pct"/>
            <w:shd w:val="clear" w:color="auto" w:fill="auto"/>
            <w:vAlign w:val="center"/>
          </w:tcPr>
          <w:p w14:paraId="606F8C25" w14:textId="77777777" w:rsidR="00FB67F9" w:rsidRDefault="00FB67F9">
            <w:pPr>
              <w:rPr>
                <w:rFonts w:ascii="Times New Roman" w:hAnsi="Times New Roman"/>
                <w:sz w:val="20"/>
                <w:szCs w:val="20"/>
              </w:rPr>
            </w:pPr>
          </w:p>
        </w:tc>
        <w:tc>
          <w:tcPr>
            <w:tcW w:w="50" w:type="pct"/>
            <w:shd w:val="clear" w:color="auto" w:fill="auto"/>
            <w:vAlign w:val="center"/>
          </w:tcPr>
          <w:p w14:paraId="606F8C26" w14:textId="77777777" w:rsidR="00FB67F9" w:rsidRDefault="00FB67F9">
            <w:pPr>
              <w:rPr>
                <w:rFonts w:ascii="Times New Roman" w:hAnsi="Times New Roman"/>
                <w:sz w:val="20"/>
                <w:szCs w:val="20"/>
              </w:rPr>
            </w:pPr>
          </w:p>
        </w:tc>
        <w:tc>
          <w:tcPr>
            <w:tcW w:w="400" w:type="pct"/>
            <w:shd w:val="clear" w:color="auto" w:fill="auto"/>
            <w:vAlign w:val="center"/>
          </w:tcPr>
          <w:p w14:paraId="606F8C27" w14:textId="77777777" w:rsidR="00FB67F9" w:rsidRDefault="00FB67F9">
            <w:pPr>
              <w:rPr>
                <w:rFonts w:ascii="Times New Roman" w:hAnsi="Times New Roman"/>
                <w:sz w:val="20"/>
                <w:szCs w:val="20"/>
              </w:rPr>
            </w:pPr>
          </w:p>
        </w:tc>
        <w:tc>
          <w:tcPr>
            <w:tcW w:w="50" w:type="pct"/>
            <w:shd w:val="clear" w:color="auto" w:fill="auto"/>
            <w:vAlign w:val="center"/>
          </w:tcPr>
          <w:p w14:paraId="606F8C28" w14:textId="77777777" w:rsidR="00FB67F9" w:rsidRDefault="00FB67F9">
            <w:pPr>
              <w:rPr>
                <w:rFonts w:ascii="Times New Roman" w:hAnsi="Times New Roman"/>
                <w:sz w:val="20"/>
                <w:szCs w:val="20"/>
              </w:rPr>
            </w:pPr>
          </w:p>
        </w:tc>
      </w:tr>
      <w:tr w:rsidR="00FB67F9" w14:paraId="606F8C2E" w14:textId="77777777">
        <w:tc>
          <w:tcPr>
            <w:tcW w:w="0" w:type="auto"/>
            <w:shd w:val="clear" w:color="auto" w:fill="auto"/>
            <w:tcMar>
              <w:top w:w="40" w:type="dxa"/>
              <w:left w:w="40" w:type="dxa"/>
              <w:bottom w:w="40" w:type="dxa"/>
              <w:right w:w="40" w:type="dxa"/>
            </w:tcMar>
            <w:vAlign w:val="bottom"/>
          </w:tcPr>
          <w:p w14:paraId="606F8C2A" w14:textId="77777777" w:rsidR="00FB67F9" w:rsidRDefault="00FB67F9">
            <w:pPr>
              <w:textAlignment w:val="bottom"/>
              <w:rPr>
                <w:rFonts w:ascii="Times New Roman" w:hAnsi="Times New Roman"/>
                <w:sz w:val="17"/>
                <w:szCs w:val="17"/>
              </w:rPr>
            </w:pPr>
          </w:p>
        </w:tc>
        <w:tc>
          <w:tcPr>
            <w:tcW w:w="0" w:type="auto"/>
            <w:gridSpan w:val="10"/>
            <w:tcBorders>
              <w:bottom w:val="single" w:sz="8" w:space="0" w:color="E87722"/>
            </w:tcBorders>
            <w:shd w:val="clear" w:color="auto" w:fill="auto"/>
            <w:tcMar>
              <w:top w:w="40" w:type="dxa"/>
              <w:left w:w="40" w:type="dxa"/>
              <w:bottom w:w="40" w:type="dxa"/>
            </w:tcMar>
            <w:vAlign w:val="bottom"/>
          </w:tcPr>
          <w:p w14:paraId="606F8C2B"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C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C2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C3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C2F"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3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3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C32"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C33"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C34"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C35"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C3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3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3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C3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C3A"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C3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C3C" w14:textId="77777777" w:rsidR="00FB67F9" w:rsidRDefault="00FB67F9">
            <w:pPr>
              <w:textAlignment w:val="bottom"/>
              <w:rPr>
                <w:rFonts w:ascii="Times New Roman" w:hAnsi="Times New Roman"/>
                <w:sz w:val="20"/>
                <w:szCs w:val="20"/>
              </w:rPr>
            </w:pPr>
          </w:p>
        </w:tc>
      </w:tr>
      <w:tr w:rsidR="00FB67F9" w14:paraId="606F8C54" w14:textId="77777777">
        <w:tc>
          <w:tcPr>
            <w:tcW w:w="0" w:type="auto"/>
            <w:shd w:val="clear" w:color="auto" w:fill="auto"/>
            <w:tcMar>
              <w:top w:w="40" w:type="dxa"/>
              <w:left w:w="40" w:type="dxa"/>
              <w:bottom w:w="40" w:type="dxa"/>
              <w:right w:w="40" w:type="dxa"/>
            </w:tcMar>
            <w:vAlign w:val="bottom"/>
          </w:tcPr>
          <w:p w14:paraId="606F8C3E"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w:t>
            </w:r>
          </w:p>
        </w:tc>
        <w:tc>
          <w:tcPr>
            <w:tcW w:w="0" w:type="auto"/>
            <w:shd w:val="clear" w:color="auto" w:fill="FFF1E7"/>
            <w:tcMar>
              <w:top w:w="40" w:type="dxa"/>
              <w:left w:w="40" w:type="dxa"/>
              <w:bottom w:w="40" w:type="dxa"/>
            </w:tcMar>
            <w:vAlign w:val="bottom"/>
          </w:tcPr>
          <w:p w14:paraId="606F8C3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C4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vAlign w:val="bottom"/>
          </w:tcPr>
          <w:p w14:paraId="606F8C41"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C4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8C4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E87722"/>
              <w:bottom w:val="single" w:sz="8" w:space="0" w:color="808080"/>
            </w:tcBorders>
            <w:shd w:val="clear" w:color="auto" w:fill="auto"/>
            <w:vAlign w:val="bottom"/>
          </w:tcPr>
          <w:p w14:paraId="606F8C4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C4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C46"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C4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606F8C4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8C4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8C4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8C4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E87722"/>
              <w:bottom w:val="single" w:sz="8" w:space="0" w:color="808080"/>
            </w:tcBorders>
            <w:shd w:val="clear" w:color="auto" w:fill="FFF1E7"/>
            <w:vAlign w:val="bottom"/>
          </w:tcPr>
          <w:p w14:paraId="606F8C4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C4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8C4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E87722"/>
              <w:bottom w:val="single" w:sz="8" w:space="0" w:color="808080"/>
            </w:tcBorders>
            <w:shd w:val="clear" w:color="auto" w:fill="auto"/>
            <w:vAlign w:val="bottom"/>
          </w:tcPr>
          <w:p w14:paraId="606F8C4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C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C5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C5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606F8C53"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C69"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C55" w14:textId="77777777" w:rsidR="00FB67F9" w:rsidRDefault="00E839DF">
            <w:pPr>
              <w:textAlignment w:val="bottom"/>
              <w:rPr>
                <w:rFonts w:ascii="Times New Roman" w:hAnsi="Times New Roman"/>
                <w:sz w:val="17"/>
                <w:szCs w:val="17"/>
              </w:rPr>
            </w:pPr>
            <w:r>
              <w:rPr>
                <w:rFonts w:ascii="Arial" w:eastAsia="宋体" w:hAnsi="Arial" w:cs="Arial"/>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8C5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606F8C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(872</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C5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C59"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606F8C5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(826</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C5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C5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C5D"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C5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C5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8C6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606F8C6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(1,729</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C6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C6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606F8C6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(1,644</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C6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C6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C6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C6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bl>
    <w:p w14:paraId="606F8C6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Global Brand Divisions primarily represent demand creation and operating overhead expense, including product creation and design expenses that are centrally managed for the NIKE Brand, as well as costs associated with N</w:t>
      </w:r>
      <w:r>
        <w:rPr>
          <w:rFonts w:ascii="Arial" w:eastAsia="宋体" w:hAnsi="Arial" w:cs="Arial"/>
          <w:sz w:val="17"/>
          <w:szCs w:val="17"/>
        </w:rPr>
        <w:t>IKE Direct global digital operations and enterprise technology. Revenues for Global Brand Divisions are primarily attributable to NIKE Brand licensing businesses that are not part of a geographic operating segment.</w:t>
      </w:r>
    </w:p>
    <w:p w14:paraId="606F8C6B"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w:t>
      </w:r>
      <w:r>
        <w:rPr>
          <w:rFonts w:ascii="sans-serif" w:eastAsia="sans-serif" w:hAnsi="sans-serif" w:cs="sans-serif"/>
          <w:b/>
          <w:bCs/>
          <w:color w:val="808080"/>
          <w:sz w:val="22"/>
          <w:szCs w:val="22"/>
        </w:rPr>
        <w:t xml:space="preserve"> SECOND QUARTER OF FISCAL 2019</w:t>
      </w:r>
    </w:p>
    <w:p w14:paraId="606F8C6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Global Brand Divisions' loss before interest and taxes increased 6% for the second quarter of fiscal 2020 as total selling and administrative expense increased. Operating overhead expense growth was primarily driven by higher</w:t>
      </w:r>
      <w:r>
        <w:rPr>
          <w:rFonts w:ascii="Arial" w:eastAsia="宋体" w:hAnsi="Arial" w:cs="Arial"/>
          <w:sz w:val="17"/>
          <w:szCs w:val="17"/>
        </w:rPr>
        <w:t xml:space="preserve"> wage-related costs resulting from investments in data and analytics capabilities, digital commerce platforms and our investments in a new enterprise resource planning tool, all of which are in an effort to accelerate our end-to-end digital transformation.</w:t>
      </w:r>
      <w:r>
        <w:rPr>
          <w:rFonts w:ascii="Arial" w:eastAsia="宋体" w:hAnsi="Arial" w:cs="Arial"/>
          <w:sz w:val="17"/>
          <w:szCs w:val="17"/>
        </w:rPr>
        <w:t xml:space="preserve"> Lower demand creation expense was primarily due to lower advertising and marketing costs.</w:t>
      </w:r>
    </w:p>
    <w:p w14:paraId="606F8C6D"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FIRST SIX MONTHS OF FISCAL 2020 COMPARED TO FIRST SIX MONTHS OF FISCAL 2019</w:t>
      </w:r>
    </w:p>
    <w:p w14:paraId="606F8C6E"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Global Brand Divisions' loss before interest and taxes increased 5% for the first six mon</w:t>
      </w:r>
      <w:r>
        <w:rPr>
          <w:rFonts w:ascii="Arial" w:eastAsia="宋体" w:hAnsi="Arial" w:cs="Arial"/>
          <w:sz w:val="17"/>
          <w:szCs w:val="17"/>
        </w:rPr>
        <w:t>ths of fiscal 2020 driven by growth in total selling and administrative expense. The increase in operating overhead expense was primarily due to higher wage-related costs resulting from investments in data and analytics capabilities, digital commerce platf</w:t>
      </w:r>
      <w:r>
        <w:rPr>
          <w:rFonts w:ascii="Arial" w:eastAsia="宋体" w:hAnsi="Arial" w:cs="Arial"/>
          <w:sz w:val="17"/>
          <w:szCs w:val="17"/>
        </w:rPr>
        <w:t xml:space="preserve">orms and our investments in a new enterprise resource planning tool, all of which are in an effort to accelerate our end-to-end digital transformation. Lower demand creation expense was primarily due to lower advertising and marketing expenses, as well as </w:t>
      </w:r>
      <w:r>
        <w:rPr>
          <w:rFonts w:ascii="Arial" w:eastAsia="宋体" w:hAnsi="Arial" w:cs="Arial"/>
          <w:sz w:val="17"/>
          <w:szCs w:val="17"/>
        </w:rPr>
        <w:t>a decrease in sports marketing costs.</w:t>
      </w:r>
    </w:p>
    <w:p w14:paraId="606F8C6F" w14:textId="77777777" w:rsidR="00FB67F9" w:rsidRDefault="00FB67F9">
      <w:pPr>
        <w:rPr>
          <w:rFonts w:ascii="Times New Roman" w:hAnsi="Times New Roman"/>
          <w:sz w:val="20"/>
          <w:szCs w:val="20"/>
        </w:rPr>
      </w:pPr>
    </w:p>
    <w:p w14:paraId="606F8C70"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37</w:t>
      </w:r>
    </w:p>
    <w:p w14:paraId="606F8C71" w14:textId="77777777" w:rsidR="00FB67F9" w:rsidRDefault="00E839DF">
      <w:r>
        <w:rPr>
          <w:rFonts w:ascii="Times New Roman" w:hAnsi="Times New Roman"/>
          <w:sz w:val="17"/>
          <w:szCs w:val="17"/>
        </w:rPr>
        <w:pict w14:anchorId="606F8FA2">
          <v:rect id="_x0000_i1063" style="width:415.3pt;height:1.5pt" o:hralign="center" o:hrstd="t" o:hr="t" fillcolor="#a0a0a0" stroked="f"/>
        </w:pict>
      </w:r>
    </w:p>
    <w:p w14:paraId="606F8C72" w14:textId="77777777" w:rsidR="00FB67F9" w:rsidRDefault="00FB67F9">
      <w:pPr>
        <w:rPr>
          <w:rFonts w:ascii="Times New Roman" w:hAnsi="Times New Roman"/>
          <w:sz w:val="17"/>
          <w:szCs w:val="17"/>
        </w:rPr>
      </w:pPr>
    </w:p>
    <w:p w14:paraId="606F8C73" w14:textId="77777777" w:rsidR="00FB67F9" w:rsidRDefault="00E839DF">
      <w:pPr>
        <w:rPr>
          <w:rFonts w:ascii="Times New Roman" w:hAnsi="Times New Roman"/>
          <w:sz w:val="17"/>
          <w:szCs w:val="17"/>
        </w:rPr>
      </w:pPr>
      <w:hyperlink r:id="rId107" w:anchor="s42C493F7582652B69E70047AB812E6A5" w:history="1">
        <w:r>
          <w:rPr>
            <w:rStyle w:val="a5"/>
            <w:rFonts w:ascii="sans-serif" w:eastAsia="sans-serif" w:hAnsi="sans-serif" w:cs="sans-serif"/>
            <w:sz w:val="17"/>
            <w:szCs w:val="17"/>
          </w:rPr>
          <w:t>Table of Contents</w:t>
        </w:r>
      </w:hyperlink>
    </w:p>
    <w:p w14:paraId="606F8C74" w14:textId="77777777" w:rsidR="00FB67F9" w:rsidRDefault="00FB67F9">
      <w:pPr>
        <w:rPr>
          <w:rFonts w:ascii="Times New Roman" w:hAnsi="Times New Roman"/>
          <w:sz w:val="17"/>
          <w:szCs w:val="17"/>
        </w:rPr>
      </w:pPr>
    </w:p>
    <w:p w14:paraId="606F8C75" w14:textId="77777777" w:rsidR="00FB67F9" w:rsidRDefault="00FB67F9">
      <w:pPr>
        <w:rPr>
          <w:rFonts w:ascii="Times New Roman" w:hAnsi="Times New Roman"/>
          <w:sz w:val="20"/>
          <w:szCs w:val="20"/>
        </w:rPr>
      </w:pPr>
    </w:p>
    <w:p w14:paraId="606F8C76"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CONVERSE</w:t>
      </w:r>
    </w:p>
    <w:tbl>
      <w:tblPr>
        <w:tblW w:w="5000" w:type="pct"/>
        <w:tblCellMar>
          <w:left w:w="0" w:type="dxa"/>
          <w:right w:w="0" w:type="dxa"/>
        </w:tblCellMar>
        <w:tblLook w:val="04A0" w:firstRow="1" w:lastRow="0" w:firstColumn="1" w:lastColumn="0" w:noHBand="0" w:noVBand="1"/>
      </w:tblPr>
      <w:tblGrid>
        <w:gridCol w:w="2541"/>
        <w:gridCol w:w="133"/>
        <w:gridCol w:w="274"/>
        <w:gridCol w:w="6"/>
        <w:gridCol w:w="133"/>
        <w:gridCol w:w="274"/>
        <w:gridCol w:w="6"/>
        <w:gridCol w:w="624"/>
        <w:gridCol w:w="232"/>
        <w:gridCol w:w="836"/>
        <w:gridCol w:w="232"/>
        <w:gridCol w:w="128"/>
        <w:gridCol w:w="133"/>
        <w:gridCol w:w="411"/>
        <w:gridCol w:w="6"/>
        <w:gridCol w:w="133"/>
        <w:gridCol w:w="274"/>
        <w:gridCol w:w="6"/>
        <w:gridCol w:w="624"/>
        <w:gridCol w:w="232"/>
        <w:gridCol w:w="836"/>
        <w:gridCol w:w="232"/>
      </w:tblGrid>
      <w:tr w:rsidR="00FB67F9" w14:paraId="606F8C78" w14:textId="77777777">
        <w:tc>
          <w:tcPr>
            <w:tcW w:w="0" w:type="auto"/>
            <w:gridSpan w:val="22"/>
            <w:shd w:val="clear" w:color="auto" w:fill="auto"/>
            <w:vAlign w:val="center"/>
          </w:tcPr>
          <w:p w14:paraId="606F8C77" w14:textId="77777777" w:rsidR="00FB67F9" w:rsidRDefault="00FB67F9">
            <w:pPr>
              <w:rPr>
                <w:rFonts w:ascii="Times New Roman" w:hAnsi="Times New Roman"/>
                <w:sz w:val="20"/>
                <w:szCs w:val="20"/>
              </w:rPr>
            </w:pPr>
          </w:p>
        </w:tc>
      </w:tr>
      <w:tr w:rsidR="00FB67F9" w14:paraId="606F8C8F" w14:textId="77777777">
        <w:tc>
          <w:tcPr>
            <w:tcW w:w="1350" w:type="pct"/>
            <w:shd w:val="clear" w:color="auto" w:fill="auto"/>
            <w:vAlign w:val="center"/>
          </w:tcPr>
          <w:p w14:paraId="606F8C79" w14:textId="77777777" w:rsidR="00FB67F9" w:rsidRDefault="00FB67F9">
            <w:pPr>
              <w:rPr>
                <w:rFonts w:ascii="Times New Roman" w:hAnsi="Times New Roman"/>
                <w:sz w:val="20"/>
                <w:szCs w:val="20"/>
              </w:rPr>
            </w:pPr>
          </w:p>
        </w:tc>
        <w:tc>
          <w:tcPr>
            <w:tcW w:w="50" w:type="pct"/>
            <w:shd w:val="clear" w:color="auto" w:fill="auto"/>
            <w:vAlign w:val="center"/>
          </w:tcPr>
          <w:p w14:paraId="606F8C7A" w14:textId="77777777" w:rsidR="00FB67F9" w:rsidRDefault="00FB67F9">
            <w:pPr>
              <w:rPr>
                <w:rFonts w:ascii="Times New Roman" w:hAnsi="Times New Roman"/>
                <w:sz w:val="20"/>
                <w:szCs w:val="20"/>
              </w:rPr>
            </w:pPr>
          </w:p>
        </w:tc>
        <w:tc>
          <w:tcPr>
            <w:tcW w:w="350" w:type="pct"/>
            <w:shd w:val="clear" w:color="auto" w:fill="auto"/>
            <w:vAlign w:val="center"/>
          </w:tcPr>
          <w:p w14:paraId="606F8C7B" w14:textId="77777777" w:rsidR="00FB67F9" w:rsidRDefault="00FB67F9">
            <w:pPr>
              <w:rPr>
                <w:rFonts w:ascii="Times New Roman" w:hAnsi="Times New Roman"/>
                <w:sz w:val="20"/>
                <w:szCs w:val="20"/>
              </w:rPr>
            </w:pPr>
          </w:p>
        </w:tc>
        <w:tc>
          <w:tcPr>
            <w:tcW w:w="50" w:type="pct"/>
            <w:shd w:val="clear" w:color="auto" w:fill="auto"/>
            <w:vAlign w:val="center"/>
          </w:tcPr>
          <w:p w14:paraId="606F8C7C" w14:textId="77777777" w:rsidR="00FB67F9" w:rsidRDefault="00FB67F9">
            <w:pPr>
              <w:rPr>
                <w:rFonts w:ascii="Times New Roman" w:hAnsi="Times New Roman"/>
                <w:sz w:val="20"/>
                <w:szCs w:val="20"/>
              </w:rPr>
            </w:pPr>
          </w:p>
        </w:tc>
        <w:tc>
          <w:tcPr>
            <w:tcW w:w="50" w:type="pct"/>
            <w:shd w:val="clear" w:color="auto" w:fill="auto"/>
            <w:vAlign w:val="center"/>
          </w:tcPr>
          <w:p w14:paraId="606F8C7D" w14:textId="77777777" w:rsidR="00FB67F9" w:rsidRDefault="00FB67F9">
            <w:pPr>
              <w:rPr>
                <w:rFonts w:ascii="Times New Roman" w:hAnsi="Times New Roman"/>
                <w:sz w:val="20"/>
                <w:szCs w:val="20"/>
              </w:rPr>
            </w:pPr>
          </w:p>
        </w:tc>
        <w:tc>
          <w:tcPr>
            <w:tcW w:w="350" w:type="pct"/>
            <w:shd w:val="clear" w:color="auto" w:fill="auto"/>
            <w:vAlign w:val="center"/>
          </w:tcPr>
          <w:p w14:paraId="606F8C7E" w14:textId="77777777" w:rsidR="00FB67F9" w:rsidRDefault="00FB67F9">
            <w:pPr>
              <w:rPr>
                <w:rFonts w:ascii="Times New Roman" w:hAnsi="Times New Roman"/>
                <w:sz w:val="20"/>
                <w:szCs w:val="20"/>
              </w:rPr>
            </w:pPr>
          </w:p>
        </w:tc>
        <w:tc>
          <w:tcPr>
            <w:tcW w:w="50" w:type="pct"/>
            <w:shd w:val="clear" w:color="auto" w:fill="auto"/>
            <w:vAlign w:val="center"/>
          </w:tcPr>
          <w:p w14:paraId="606F8C7F" w14:textId="77777777" w:rsidR="00FB67F9" w:rsidRDefault="00FB67F9">
            <w:pPr>
              <w:rPr>
                <w:rFonts w:ascii="Times New Roman" w:hAnsi="Times New Roman"/>
                <w:sz w:val="20"/>
                <w:szCs w:val="20"/>
              </w:rPr>
            </w:pPr>
          </w:p>
        </w:tc>
        <w:tc>
          <w:tcPr>
            <w:tcW w:w="400" w:type="pct"/>
            <w:shd w:val="clear" w:color="auto" w:fill="auto"/>
            <w:vAlign w:val="center"/>
          </w:tcPr>
          <w:p w14:paraId="606F8C80" w14:textId="77777777" w:rsidR="00FB67F9" w:rsidRDefault="00FB67F9">
            <w:pPr>
              <w:rPr>
                <w:rFonts w:ascii="Times New Roman" w:hAnsi="Times New Roman"/>
                <w:sz w:val="20"/>
                <w:szCs w:val="20"/>
              </w:rPr>
            </w:pPr>
          </w:p>
        </w:tc>
        <w:tc>
          <w:tcPr>
            <w:tcW w:w="50" w:type="pct"/>
            <w:shd w:val="clear" w:color="auto" w:fill="auto"/>
            <w:vAlign w:val="center"/>
          </w:tcPr>
          <w:p w14:paraId="606F8C81" w14:textId="77777777" w:rsidR="00FB67F9" w:rsidRDefault="00FB67F9">
            <w:pPr>
              <w:rPr>
                <w:rFonts w:ascii="Times New Roman" w:hAnsi="Times New Roman"/>
                <w:sz w:val="20"/>
                <w:szCs w:val="20"/>
              </w:rPr>
            </w:pPr>
          </w:p>
        </w:tc>
        <w:tc>
          <w:tcPr>
            <w:tcW w:w="400" w:type="pct"/>
            <w:shd w:val="clear" w:color="auto" w:fill="auto"/>
            <w:vAlign w:val="center"/>
          </w:tcPr>
          <w:p w14:paraId="606F8C82" w14:textId="77777777" w:rsidR="00FB67F9" w:rsidRDefault="00FB67F9">
            <w:pPr>
              <w:rPr>
                <w:rFonts w:ascii="Times New Roman" w:hAnsi="Times New Roman"/>
                <w:sz w:val="20"/>
                <w:szCs w:val="20"/>
              </w:rPr>
            </w:pPr>
          </w:p>
        </w:tc>
        <w:tc>
          <w:tcPr>
            <w:tcW w:w="50" w:type="pct"/>
            <w:shd w:val="clear" w:color="auto" w:fill="auto"/>
            <w:vAlign w:val="center"/>
          </w:tcPr>
          <w:p w14:paraId="606F8C83" w14:textId="77777777" w:rsidR="00FB67F9" w:rsidRDefault="00FB67F9">
            <w:pPr>
              <w:rPr>
                <w:rFonts w:ascii="Times New Roman" w:hAnsi="Times New Roman"/>
                <w:sz w:val="20"/>
                <w:szCs w:val="20"/>
              </w:rPr>
            </w:pPr>
          </w:p>
        </w:tc>
        <w:tc>
          <w:tcPr>
            <w:tcW w:w="50" w:type="pct"/>
            <w:shd w:val="clear" w:color="auto" w:fill="auto"/>
            <w:vAlign w:val="center"/>
          </w:tcPr>
          <w:p w14:paraId="606F8C84" w14:textId="77777777" w:rsidR="00FB67F9" w:rsidRDefault="00FB67F9">
            <w:pPr>
              <w:rPr>
                <w:rFonts w:ascii="Times New Roman" w:hAnsi="Times New Roman"/>
                <w:sz w:val="20"/>
                <w:szCs w:val="20"/>
              </w:rPr>
            </w:pPr>
          </w:p>
        </w:tc>
        <w:tc>
          <w:tcPr>
            <w:tcW w:w="50" w:type="pct"/>
            <w:shd w:val="clear" w:color="auto" w:fill="auto"/>
            <w:vAlign w:val="center"/>
          </w:tcPr>
          <w:p w14:paraId="606F8C85" w14:textId="77777777" w:rsidR="00FB67F9" w:rsidRDefault="00FB67F9">
            <w:pPr>
              <w:rPr>
                <w:rFonts w:ascii="Times New Roman" w:hAnsi="Times New Roman"/>
                <w:sz w:val="20"/>
                <w:szCs w:val="20"/>
              </w:rPr>
            </w:pPr>
          </w:p>
        </w:tc>
        <w:tc>
          <w:tcPr>
            <w:tcW w:w="350" w:type="pct"/>
            <w:shd w:val="clear" w:color="auto" w:fill="auto"/>
            <w:vAlign w:val="center"/>
          </w:tcPr>
          <w:p w14:paraId="606F8C86" w14:textId="77777777" w:rsidR="00FB67F9" w:rsidRDefault="00FB67F9">
            <w:pPr>
              <w:rPr>
                <w:rFonts w:ascii="Times New Roman" w:hAnsi="Times New Roman"/>
                <w:sz w:val="20"/>
                <w:szCs w:val="20"/>
              </w:rPr>
            </w:pPr>
          </w:p>
        </w:tc>
        <w:tc>
          <w:tcPr>
            <w:tcW w:w="50" w:type="pct"/>
            <w:shd w:val="clear" w:color="auto" w:fill="auto"/>
            <w:vAlign w:val="center"/>
          </w:tcPr>
          <w:p w14:paraId="606F8C87" w14:textId="77777777" w:rsidR="00FB67F9" w:rsidRDefault="00FB67F9">
            <w:pPr>
              <w:rPr>
                <w:rFonts w:ascii="Times New Roman" w:hAnsi="Times New Roman"/>
                <w:sz w:val="20"/>
                <w:szCs w:val="20"/>
              </w:rPr>
            </w:pPr>
          </w:p>
        </w:tc>
        <w:tc>
          <w:tcPr>
            <w:tcW w:w="50" w:type="pct"/>
            <w:shd w:val="clear" w:color="auto" w:fill="auto"/>
            <w:vAlign w:val="center"/>
          </w:tcPr>
          <w:p w14:paraId="606F8C88" w14:textId="77777777" w:rsidR="00FB67F9" w:rsidRDefault="00FB67F9">
            <w:pPr>
              <w:rPr>
                <w:rFonts w:ascii="Times New Roman" w:hAnsi="Times New Roman"/>
                <w:sz w:val="20"/>
                <w:szCs w:val="20"/>
              </w:rPr>
            </w:pPr>
          </w:p>
        </w:tc>
        <w:tc>
          <w:tcPr>
            <w:tcW w:w="350" w:type="pct"/>
            <w:shd w:val="clear" w:color="auto" w:fill="auto"/>
            <w:vAlign w:val="center"/>
          </w:tcPr>
          <w:p w14:paraId="606F8C89" w14:textId="77777777" w:rsidR="00FB67F9" w:rsidRDefault="00FB67F9">
            <w:pPr>
              <w:rPr>
                <w:rFonts w:ascii="Times New Roman" w:hAnsi="Times New Roman"/>
                <w:sz w:val="20"/>
                <w:szCs w:val="20"/>
              </w:rPr>
            </w:pPr>
          </w:p>
        </w:tc>
        <w:tc>
          <w:tcPr>
            <w:tcW w:w="50" w:type="pct"/>
            <w:shd w:val="clear" w:color="auto" w:fill="auto"/>
            <w:vAlign w:val="center"/>
          </w:tcPr>
          <w:p w14:paraId="606F8C8A" w14:textId="77777777" w:rsidR="00FB67F9" w:rsidRDefault="00FB67F9">
            <w:pPr>
              <w:rPr>
                <w:rFonts w:ascii="Times New Roman" w:hAnsi="Times New Roman"/>
                <w:sz w:val="20"/>
                <w:szCs w:val="20"/>
              </w:rPr>
            </w:pPr>
          </w:p>
        </w:tc>
        <w:tc>
          <w:tcPr>
            <w:tcW w:w="400" w:type="pct"/>
            <w:shd w:val="clear" w:color="auto" w:fill="auto"/>
            <w:vAlign w:val="center"/>
          </w:tcPr>
          <w:p w14:paraId="606F8C8B" w14:textId="77777777" w:rsidR="00FB67F9" w:rsidRDefault="00FB67F9">
            <w:pPr>
              <w:rPr>
                <w:rFonts w:ascii="Times New Roman" w:hAnsi="Times New Roman"/>
                <w:sz w:val="20"/>
                <w:szCs w:val="20"/>
              </w:rPr>
            </w:pPr>
          </w:p>
        </w:tc>
        <w:tc>
          <w:tcPr>
            <w:tcW w:w="50" w:type="pct"/>
            <w:shd w:val="clear" w:color="auto" w:fill="auto"/>
            <w:vAlign w:val="center"/>
          </w:tcPr>
          <w:p w14:paraId="606F8C8C" w14:textId="77777777" w:rsidR="00FB67F9" w:rsidRDefault="00FB67F9">
            <w:pPr>
              <w:rPr>
                <w:rFonts w:ascii="Times New Roman" w:hAnsi="Times New Roman"/>
                <w:sz w:val="20"/>
                <w:szCs w:val="20"/>
              </w:rPr>
            </w:pPr>
          </w:p>
        </w:tc>
        <w:tc>
          <w:tcPr>
            <w:tcW w:w="400" w:type="pct"/>
            <w:shd w:val="clear" w:color="auto" w:fill="auto"/>
            <w:vAlign w:val="center"/>
          </w:tcPr>
          <w:p w14:paraId="606F8C8D" w14:textId="77777777" w:rsidR="00FB67F9" w:rsidRDefault="00FB67F9">
            <w:pPr>
              <w:rPr>
                <w:rFonts w:ascii="Times New Roman" w:hAnsi="Times New Roman"/>
                <w:sz w:val="20"/>
                <w:szCs w:val="20"/>
              </w:rPr>
            </w:pPr>
          </w:p>
        </w:tc>
        <w:tc>
          <w:tcPr>
            <w:tcW w:w="50" w:type="pct"/>
            <w:shd w:val="clear" w:color="auto" w:fill="auto"/>
            <w:vAlign w:val="center"/>
          </w:tcPr>
          <w:p w14:paraId="606F8C8E" w14:textId="77777777" w:rsidR="00FB67F9" w:rsidRDefault="00FB67F9">
            <w:pPr>
              <w:rPr>
                <w:rFonts w:ascii="Times New Roman" w:hAnsi="Times New Roman"/>
                <w:sz w:val="20"/>
                <w:szCs w:val="20"/>
              </w:rPr>
            </w:pPr>
          </w:p>
        </w:tc>
      </w:tr>
      <w:tr w:rsidR="00FB67F9" w14:paraId="606F8C94" w14:textId="77777777">
        <w:tc>
          <w:tcPr>
            <w:tcW w:w="0" w:type="auto"/>
            <w:shd w:val="clear" w:color="auto" w:fill="auto"/>
            <w:tcMar>
              <w:top w:w="40" w:type="dxa"/>
              <w:left w:w="40" w:type="dxa"/>
              <w:bottom w:w="40" w:type="dxa"/>
              <w:right w:w="40" w:type="dxa"/>
            </w:tcMar>
            <w:vAlign w:val="bottom"/>
          </w:tcPr>
          <w:p w14:paraId="606F8C90"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C91"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C9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E87722"/>
            </w:tcBorders>
            <w:shd w:val="clear" w:color="auto" w:fill="auto"/>
            <w:tcMar>
              <w:top w:w="40" w:type="dxa"/>
              <w:left w:w="40" w:type="dxa"/>
              <w:bottom w:w="40" w:type="dxa"/>
            </w:tcMar>
            <w:vAlign w:val="bottom"/>
          </w:tcPr>
          <w:p w14:paraId="606F8C9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CA3"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C95"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96"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97"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C98"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C99"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C9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C9B"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C9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9D"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9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C9F"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CA0"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606F8CA1"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606F8CA2" w14:textId="77777777" w:rsidR="00FB67F9" w:rsidRDefault="00FB67F9">
            <w:pPr>
              <w:textAlignment w:val="bottom"/>
              <w:rPr>
                <w:rFonts w:ascii="Times New Roman" w:hAnsi="Times New Roman"/>
                <w:sz w:val="20"/>
                <w:szCs w:val="20"/>
              </w:rPr>
            </w:pPr>
          </w:p>
        </w:tc>
      </w:tr>
      <w:tr w:rsidR="00FB67F9" w14:paraId="606F8CAE" w14:textId="77777777">
        <w:tc>
          <w:tcPr>
            <w:tcW w:w="0" w:type="auto"/>
            <w:shd w:val="clear" w:color="auto" w:fill="auto"/>
            <w:tcMar>
              <w:top w:w="40" w:type="dxa"/>
              <w:left w:w="40" w:type="dxa"/>
              <w:bottom w:w="40" w:type="dxa"/>
              <w:right w:w="40" w:type="dxa"/>
            </w:tcMar>
            <w:vAlign w:val="bottom"/>
          </w:tcPr>
          <w:p w14:paraId="606F8CA4"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CA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CA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CA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CA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06F8CA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CA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CA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CA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C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CC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606F8CAF" w14:textId="77777777" w:rsidR="00FB67F9" w:rsidRDefault="00E839DF">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606F8CB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CB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416</w:t>
            </w:r>
          </w:p>
        </w:tc>
        <w:tc>
          <w:tcPr>
            <w:tcW w:w="0" w:type="auto"/>
            <w:tcBorders>
              <w:top w:val="single" w:sz="8" w:space="0" w:color="808080"/>
            </w:tcBorders>
            <w:shd w:val="clear" w:color="auto" w:fill="FFF1E7"/>
            <w:vAlign w:val="bottom"/>
          </w:tcPr>
          <w:p w14:paraId="606F8CB2"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CB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CB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356</w:t>
            </w:r>
          </w:p>
        </w:tc>
        <w:tc>
          <w:tcPr>
            <w:tcW w:w="0" w:type="auto"/>
            <w:tcBorders>
              <w:top w:val="single" w:sz="8" w:space="0" w:color="808080"/>
            </w:tcBorders>
            <w:shd w:val="clear" w:color="auto" w:fill="auto"/>
            <w:vAlign w:val="bottom"/>
          </w:tcPr>
          <w:p w14:paraId="606F8CB5"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CB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tcBorders>
            <w:shd w:val="clear" w:color="auto" w:fill="auto"/>
            <w:tcMar>
              <w:top w:w="40" w:type="dxa"/>
              <w:bottom w:w="40" w:type="dxa"/>
              <w:right w:w="40" w:type="dxa"/>
            </w:tcMar>
            <w:vAlign w:val="bottom"/>
          </w:tcPr>
          <w:p w14:paraId="606F8CB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CB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tcBorders>
            <w:shd w:val="clear" w:color="auto" w:fill="auto"/>
            <w:tcMar>
              <w:top w:w="40" w:type="dxa"/>
              <w:bottom w:w="40" w:type="dxa"/>
              <w:right w:w="40" w:type="dxa"/>
            </w:tcMar>
            <w:vAlign w:val="bottom"/>
          </w:tcPr>
          <w:p w14:paraId="606F8CB9"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CB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606F8CB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606F8C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912</w:t>
            </w:r>
          </w:p>
        </w:tc>
        <w:tc>
          <w:tcPr>
            <w:tcW w:w="0" w:type="auto"/>
            <w:tcBorders>
              <w:top w:val="single" w:sz="8" w:space="0" w:color="808080"/>
            </w:tcBorders>
            <w:shd w:val="clear" w:color="auto" w:fill="FFF1E7"/>
            <w:vAlign w:val="bottom"/>
          </w:tcPr>
          <w:p w14:paraId="606F8CBD"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C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606F8C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817</w:t>
            </w:r>
          </w:p>
        </w:tc>
        <w:tc>
          <w:tcPr>
            <w:tcW w:w="0" w:type="auto"/>
            <w:tcBorders>
              <w:top w:val="single" w:sz="8" w:space="0" w:color="808080"/>
            </w:tcBorders>
            <w:shd w:val="clear" w:color="auto" w:fill="auto"/>
            <w:vAlign w:val="bottom"/>
          </w:tcPr>
          <w:p w14:paraId="606F8CC0" w14:textId="77777777" w:rsidR="00FB67F9" w:rsidRDefault="00FB67F9">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606F8CC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606F8CC2"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606F8C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tcMar>
              <w:top w:w="40" w:type="dxa"/>
              <w:bottom w:w="40" w:type="dxa"/>
              <w:right w:w="40" w:type="dxa"/>
            </w:tcMar>
            <w:vAlign w:val="bottom"/>
          </w:tcPr>
          <w:p w14:paraId="606F8CC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CD8"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CC6" w14:textId="77777777" w:rsidR="00FB67F9" w:rsidRDefault="00E839DF">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CC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w:t>
            </w:r>
          </w:p>
        </w:tc>
        <w:tc>
          <w:tcPr>
            <w:tcW w:w="0" w:type="auto"/>
            <w:tcBorders>
              <w:top w:val="single" w:sz="8" w:space="0" w:color="808080"/>
              <w:bottom w:val="single" w:sz="8" w:space="0" w:color="808080"/>
            </w:tcBorders>
            <w:shd w:val="clear" w:color="auto" w:fill="FFF1E7"/>
            <w:vAlign w:val="bottom"/>
          </w:tcPr>
          <w:p w14:paraId="606F8CC8"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C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36</w:t>
            </w:r>
          </w:p>
        </w:tc>
        <w:tc>
          <w:tcPr>
            <w:tcW w:w="0" w:type="auto"/>
            <w:tcBorders>
              <w:top w:val="single" w:sz="8" w:space="0" w:color="808080"/>
              <w:bottom w:val="single" w:sz="8" w:space="0" w:color="808080"/>
            </w:tcBorders>
            <w:shd w:val="clear" w:color="auto" w:fill="auto"/>
            <w:vAlign w:val="bottom"/>
          </w:tcPr>
          <w:p w14:paraId="606F8CC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CC"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C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CC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CD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w:t>
            </w:r>
          </w:p>
        </w:tc>
        <w:tc>
          <w:tcPr>
            <w:tcW w:w="0" w:type="auto"/>
            <w:tcBorders>
              <w:top w:val="single" w:sz="8" w:space="0" w:color="808080"/>
              <w:bottom w:val="single" w:sz="8" w:space="0" w:color="808080"/>
            </w:tcBorders>
            <w:shd w:val="clear" w:color="auto" w:fill="FFF1E7"/>
            <w:vAlign w:val="bottom"/>
          </w:tcPr>
          <w:p w14:paraId="606F8CD1"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CD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top w:val="single" w:sz="8" w:space="0" w:color="808080"/>
              <w:bottom w:val="single" w:sz="8" w:space="0" w:color="808080"/>
            </w:tcBorders>
            <w:shd w:val="clear" w:color="auto" w:fill="auto"/>
            <w:vAlign w:val="bottom"/>
          </w:tcPr>
          <w:p w14:paraId="606F8CD3"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D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D5"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D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D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CEB"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CD9" w14:textId="77777777" w:rsidR="00FB67F9" w:rsidRDefault="00E839DF">
            <w:pPr>
              <w:textAlignment w:val="bottom"/>
              <w:rPr>
                <w:rFonts w:ascii="Times New Roman" w:hAnsi="Times New Roman"/>
                <w:sz w:val="17"/>
                <w:szCs w:val="17"/>
              </w:rPr>
            </w:pPr>
            <w:r>
              <w:rPr>
                <w:rFonts w:ascii="Arial" w:eastAsia="宋体" w:hAnsi="Arial" w:cs="Arial"/>
                <w:sz w:val="17"/>
                <w:szCs w:val="17"/>
              </w:rPr>
              <w:t>Equi</w:t>
            </w:r>
            <w:r>
              <w:rPr>
                <w:rFonts w:ascii="Arial" w:eastAsia="宋体" w:hAnsi="Arial" w:cs="Arial"/>
                <w:sz w:val="17"/>
                <w:szCs w:val="17"/>
              </w:rPr>
              <w:t>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CD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808080"/>
            </w:tcBorders>
            <w:shd w:val="clear" w:color="auto" w:fill="FFF1E7"/>
            <w:vAlign w:val="bottom"/>
          </w:tcPr>
          <w:p w14:paraId="606F8CDB"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CD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vAlign w:val="bottom"/>
          </w:tcPr>
          <w:p w14:paraId="606F8CD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D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DF"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E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E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CE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CE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FFF1E7"/>
            <w:vAlign w:val="bottom"/>
          </w:tcPr>
          <w:p w14:paraId="606F8CE4"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CE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vAlign w:val="bottom"/>
          </w:tcPr>
          <w:p w14:paraId="606F8CE6"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E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E8"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CE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CEA"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CFE" w14:textId="77777777">
        <w:tc>
          <w:tcPr>
            <w:tcW w:w="0" w:type="auto"/>
            <w:shd w:val="clear" w:color="auto" w:fill="auto"/>
            <w:tcMar>
              <w:top w:w="40" w:type="dxa"/>
              <w:left w:w="240" w:type="dxa"/>
              <w:bottom w:w="40" w:type="dxa"/>
              <w:right w:w="40" w:type="dxa"/>
            </w:tcMar>
            <w:vAlign w:val="bottom"/>
          </w:tcPr>
          <w:p w14:paraId="606F8CEC" w14:textId="77777777" w:rsidR="00FB67F9" w:rsidRDefault="00E839DF">
            <w:pPr>
              <w:textAlignment w:val="bottom"/>
              <w:rPr>
                <w:rFonts w:ascii="Times New Roman" w:hAnsi="Times New Roman"/>
                <w:sz w:val="17"/>
                <w:szCs w:val="17"/>
              </w:rPr>
            </w:pPr>
            <w:r>
              <w:rPr>
                <w:rFonts w:ascii="Arial" w:eastAsia="宋体" w:hAnsi="Arial" w:cs="Arial"/>
                <w:sz w:val="17"/>
                <w:szCs w:val="17"/>
              </w:rPr>
              <w:t>Othe</w:t>
            </w:r>
            <w:r>
              <w:rPr>
                <w:rFonts w:ascii="Arial" w:eastAsia="宋体" w:hAnsi="Arial" w:cs="Arial"/>
                <w:sz w:val="17"/>
                <w:szCs w:val="17"/>
              </w:rPr>
              <w:t>r</w:t>
            </w:r>
            <w:r>
              <w:rPr>
                <w:rFonts w:ascii="Arial" w:eastAsia="宋体" w:hAnsi="Arial" w:cs="Arial"/>
                <w:sz w:val="15"/>
                <w:szCs w:val="15"/>
              </w:rPr>
              <w:t>(1)</w:t>
            </w:r>
          </w:p>
        </w:tc>
        <w:tc>
          <w:tcPr>
            <w:tcW w:w="0" w:type="auto"/>
            <w:gridSpan w:val="2"/>
            <w:shd w:val="clear" w:color="auto" w:fill="FFF1E7"/>
            <w:tcMar>
              <w:top w:w="40" w:type="dxa"/>
              <w:left w:w="40" w:type="dxa"/>
              <w:bottom w:w="40" w:type="dxa"/>
            </w:tcMar>
            <w:vAlign w:val="bottom"/>
          </w:tcPr>
          <w:p w14:paraId="606F8CE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FFF1E7"/>
            <w:vAlign w:val="bottom"/>
          </w:tcPr>
          <w:p w14:paraId="606F8CEE"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CE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auto"/>
            <w:vAlign w:val="bottom"/>
          </w:tcPr>
          <w:p w14:paraId="606F8CF0"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CF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w:t>
            </w:r>
          </w:p>
        </w:tc>
        <w:tc>
          <w:tcPr>
            <w:tcW w:w="0" w:type="auto"/>
            <w:shd w:val="clear" w:color="auto" w:fill="auto"/>
            <w:tcMar>
              <w:top w:w="40" w:type="dxa"/>
              <w:bottom w:w="40" w:type="dxa"/>
              <w:right w:w="40" w:type="dxa"/>
            </w:tcMar>
            <w:vAlign w:val="bottom"/>
          </w:tcPr>
          <w:p w14:paraId="606F8CF2"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CF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w:t>
            </w:r>
          </w:p>
        </w:tc>
        <w:tc>
          <w:tcPr>
            <w:tcW w:w="0" w:type="auto"/>
            <w:shd w:val="clear" w:color="auto" w:fill="auto"/>
            <w:tcMar>
              <w:top w:w="40" w:type="dxa"/>
              <w:bottom w:w="40" w:type="dxa"/>
              <w:right w:w="40" w:type="dxa"/>
            </w:tcMar>
            <w:vAlign w:val="bottom"/>
          </w:tcPr>
          <w:p w14:paraId="606F8CF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606F8CF5"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CF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FFF1E7"/>
            <w:vAlign w:val="bottom"/>
          </w:tcPr>
          <w:p w14:paraId="606F8CF7"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CF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w:t>
            </w:r>
          </w:p>
        </w:tc>
        <w:tc>
          <w:tcPr>
            <w:tcW w:w="0" w:type="auto"/>
            <w:shd w:val="clear" w:color="auto" w:fill="auto"/>
            <w:vAlign w:val="bottom"/>
          </w:tcPr>
          <w:p w14:paraId="606F8CF9"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CF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606F8CFB"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CF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606F8CFD"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D1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CF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D0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D0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480</w:t>
            </w:r>
          </w:p>
        </w:tc>
        <w:tc>
          <w:tcPr>
            <w:tcW w:w="0" w:type="auto"/>
            <w:tcBorders>
              <w:top w:val="single" w:sz="8" w:space="0" w:color="E87722"/>
              <w:bottom w:val="single" w:sz="8" w:space="0" w:color="E87722"/>
            </w:tcBorders>
            <w:shd w:val="clear" w:color="auto" w:fill="FFF1E7"/>
            <w:vAlign w:val="bottom"/>
          </w:tcPr>
          <w:p w14:paraId="606F8D0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0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D0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425</w:t>
            </w:r>
          </w:p>
        </w:tc>
        <w:tc>
          <w:tcPr>
            <w:tcW w:w="0" w:type="auto"/>
            <w:tcBorders>
              <w:top w:val="single" w:sz="8" w:space="0" w:color="E87722"/>
              <w:bottom w:val="single" w:sz="8" w:space="0" w:color="E87722"/>
            </w:tcBorders>
            <w:shd w:val="clear" w:color="auto" w:fill="auto"/>
            <w:vAlign w:val="bottom"/>
          </w:tcPr>
          <w:p w14:paraId="606F8D0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0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0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08"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0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0A"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D0B"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D0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1,035</w:t>
            </w:r>
          </w:p>
        </w:tc>
        <w:tc>
          <w:tcPr>
            <w:tcW w:w="0" w:type="auto"/>
            <w:tcBorders>
              <w:top w:val="single" w:sz="8" w:space="0" w:color="E87722"/>
              <w:bottom w:val="single" w:sz="8" w:space="0" w:color="E87722"/>
            </w:tcBorders>
            <w:shd w:val="clear" w:color="auto" w:fill="FFF1E7"/>
            <w:vAlign w:val="bottom"/>
          </w:tcPr>
          <w:p w14:paraId="606F8D0D"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0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D0F"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952</w:t>
            </w:r>
          </w:p>
        </w:tc>
        <w:tc>
          <w:tcPr>
            <w:tcW w:w="0" w:type="auto"/>
            <w:tcBorders>
              <w:top w:val="single" w:sz="8" w:space="0" w:color="E87722"/>
              <w:bottom w:val="single" w:sz="8" w:space="0" w:color="E87722"/>
            </w:tcBorders>
            <w:shd w:val="clear" w:color="auto" w:fill="auto"/>
            <w:vAlign w:val="bottom"/>
          </w:tcPr>
          <w:p w14:paraId="606F8D1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1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1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1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14"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r w:rsidR="00FB67F9" w14:paraId="606F8D20" w14:textId="77777777">
        <w:tc>
          <w:tcPr>
            <w:tcW w:w="0" w:type="auto"/>
            <w:shd w:val="clear" w:color="auto" w:fill="auto"/>
            <w:tcMar>
              <w:top w:w="40" w:type="dxa"/>
              <w:left w:w="40" w:type="dxa"/>
              <w:bottom w:w="40" w:type="dxa"/>
              <w:right w:w="40" w:type="dxa"/>
            </w:tcMar>
            <w:vAlign w:val="bottom"/>
          </w:tcPr>
          <w:p w14:paraId="606F8D16"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606F8D1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D1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D1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D1A" w14:textId="77777777" w:rsidR="00FB67F9" w:rsidRDefault="00FB67F9">
            <w:pPr>
              <w:textAlignment w:val="bottom"/>
              <w:rPr>
                <w:rFonts w:ascii="Times New Roman" w:hAnsi="Times New Roman"/>
                <w:sz w:val="17"/>
                <w:szCs w:val="17"/>
              </w:rPr>
            </w:pPr>
          </w:p>
        </w:tc>
        <w:tc>
          <w:tcPr>
            <w:tcW w:w="0" w:type="auto"/>
            <w:shd w:val="clear" w:color="auto" w:fill="auto"/>
            <w:tcMar>
              <w:top w:w="40" w:type="dxa"/>
              <w:left w:w="40" w:type="dxa"/>
              <w:bottom w:w="40" w:type="dxa"/>
              <w:right w:w="40" w:type="dxa"/>
            </w:tcMar>
            <w:vAlign w:val="bottom"/>
          </w:tcPr>
          <w:p w14:paraId="606F8D1B"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606F8D1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06F8D1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D1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06F8D1F" w14:textId="77777777" w:rsidR="00FB67F9" w:rsidRDefault="00FB67F9">
            <w:pPr>
              <w:textAlignment w:val="bottom"/>
              <w:rPr>
                <w:rFonts w:ascii="Times New Roman" w:hAnsi="Times New Roman"/>
                <w:sz w:val="17"/>
                <w:szCs w:val="17"/>
              </w:rPr>
            </w:pPr>
          </w:p>
        </w:tc>
      </w:tr>
      <w:tr w:rsidR="00FB67F9" w14:paraId="606F8D37"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D21"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D22"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D2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286</w:t>
            </w:r>
          </w:p>
        </w:tc>
        <w:tc>
          <w:tcPr>
            <w:tcW w:w="0" w:type="auto"/>
            <w:tcBorders>
              <w:top w:val="single" w:sz="8" w:space="0" w:color="808080"/>
              <w:bottom w:val="single" w:sz="8" w:space="0" w:color="808080"/>
            </w:tcBorders>
            <w:shd w:val="clear" w:color="auto" w:fill="FFF1E7"/>
            <w:vAlign w:val="bottom"/>
          </w:tcPr>
          <w:p w14:paraId="606F8D24"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2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D2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256</w:t>
            </w:r>
          </w:p>
        </w:tc>
        <w:tc>
          <w:tcPr>
            <w:tcW w:w="0" w:type="auto"/>
            <w:tcBorders>
              <w:top w:val="single" w:sz="8" w:space="0" w:color="808080"/>
              <w:bottom w:val="single" w:sz="8" w:space="0" w:color="808080"/>
            </w:tcBorders>
            <w:shd w:val="clear" w:color="auto" w:fill="auto"/>
            <w:vAlign w:val="bottom"/>
          </w:tcPr>
          <w:p w14:paraId="606F8D27"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2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29"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2A"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2B"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D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D2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D2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653</w:t>
            </w:r>
          </w:p>
        </w:tc>
        <w:tc>
          <w:tcPr>
            <w:tcW w:w="0" w:type="auto"/>
            <w:tcBorders>
              <w:top w:val="single" w:sz="8" w:space="0" w:color="808080"/>
              <w:bottom w:val="single" w:sz="8" w:space="0" w:color="808080"/>
            </w:tcBorders>
            <w:shd w:val="clear" w:color="auto" w:fill="FFF1E7"/>
            <w:vAlign w:val="bottom"/>
          </w:tcPr>
          <w:p w14:paraId="606F8D2F"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30"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606F8D31"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622</w:t>
            </w:r>
          </w:p>
        </w:tc>
        <w:tc>
          <w:tcPr>
            <w:tcW w:w="0" w:type="auto"/>
            <w:tcBorders>
              <w:top w:val="single" w:sz="8" w:space="0" w:color="808080"/>
              <w:bottom w:val="single" w:sz="8" w:space="0" w:color="808080"/>
            </w:tcBorders>
            <w:shd w:val="clear" w:color="auto" w:fill="auto"/>
            <w:vAlign w:val="bottom"/>
          </w:tcPr>
          <w:p w14:paraId="606F8D32"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3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34"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3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36"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D4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606F8D38" w14:textId="77777777" w:rsidR="00FB67F9" w:rsidRDefault="00E839DF">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D3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166</w:t>
            </w:r>
          </w:p>
        </w:tc>
        <w:tc>
          <w:tcPr>
            <w:tcW w:w="0" w:type="auto"/>
            <w:tcBorders>
              <w:top w:val="single" w:sz="8" w:space="0" w:color="808080"/>
              <w:bottom w:val="single" w:sz="8" w:space="0" w:color="808080"/>
            </w:tcBorders>
            <w:shd w:val="clear" w:color="auto" w:fill="FFF1E7"/>
            <w:vAlign w:val="bottom"/>
          </w:tcPr>
          <w:p w14:paraId="606F8D3A"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D3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141</w:t>
            </w:r>
          </w:p>
        </w:tc>
        <w:tc>
          <w:tcPr>
            <w:tcW w:w="0" w:type="auto"/>
            <w:tcBorders>
              <w:top w:val="single" w:sz="8" w:space="0" w:color="808080"/>
              <w:bottom w:val="single" w:sz="8" w:space="0" w:color="808080"/>
            </w:tcBorders>
            <w:shd w:val="clear" w:color="auto" w:fill="auto"/>
            <w:vAlign w:val="bottom"/>
          </w:tcPr>
          <w:p w14:paraId="606F8D3C"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3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3E"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3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40"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D41"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606F8D4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330</w:t>
            </w:r>
          </w:p>
        </w:tc>
        <w:tc>
          <w:tcPr>
            <w:tcW w:w="0" w:type="auto"/>
            <w:tcBorders>
              <w:top w:val="single" w:sz="8" w:space="0" w:color="808080"/>
              <w:bottom w:val="single" w:sz="8" w:space="0" w:color="808080"/>
            </w:tcBorders>
            <w:shd w:val="clear" w:color="auto" w:fill="FFF1E7"/>
            <w:vAlign w:val="bottom"/>
          </w:tcPr>
          <w:p w14:paraId="606F8D43" w14:textId="77777777" w:rsidR="00FB67F9" w:rsidRDefault="00FB67F9">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606F8D4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274</w:t>
            </w:r>
          </w:p>
        </w:tc>
        <w:tc>
          <w:tcPr>
            <w:tcW w:w="0" w:type="auto"/>
            <w:tcBorders>
              <w:top w:val="single" w:sz="8" w:space="0" w:color="808080"/>
              <w:bottom w:val="single" w:sz="8" w:space="0" w:color="808080"/>
            </w:tcBorders>
            <w:shd w:val="clear" w:color="auto" w:fill="auto"/>
            <w:vAlign w:val="bottom"/>
          </w:tcPr>
          <w:p w14:paraId="606F8D45"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4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47"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606F8D4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606F8D49"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D5D" w14:textId="77777777">
        <w:tc>
          <w:tcPr>
            <w:tcW w:w="0" w:type="auto"/>
            <w:shd w:val="clear" w:color="auto" w:fill="auto"/>
            <w:tcMar>
              <w:top w:w="40" w:type="dxa"/>
              <w:left w:w="240" w:type="dxa"/>
              <w:bottom w:w="40" w:type="dxa"/>
              <w:right w:w="40" w:type="dxa"/>
            </w:tcMar>
            <w:vAlign w:val="bottom"/>
          </w:tcPr>
          <w:p w14:paraId="606F8D4B" w14:textId="77777777" w:rsidR="00FB67F9" w:rsidRDefault="00E839DF">
            <w:pPr>
              <w:textAlignment w:val="bottom"/>
              <w:rPr>
                <w:rFonts w:ascii="Times New Roman" w:hAnsi="Times New Roman"/>
                <w:sz w:val="17"/>
                <w:szCs w:val="17"/>
              </w:rPr>
            </w:pPr>
            <w:r>
              <w:rPr>
                <w:rFonts w:ascii="Arial" w:eastAsia="宋体" w:hAnsi="Arial" w:cs="Arial"/>
                <w:sz w:val="17"/>
                <w:szCs w:val="17"/>
              </w:rPr>
              <w:t>Othe</w:t>
            </w:r>
            <w:r>
              <w:rPr>
                <w:rFonts w:ascii="Arial" w:eastAsia="宋体" w:hAnsi="Arial" w:cs="Arial"/>
                <w:sz w:val="17"/>
                <w:szCs w:val="17"/>
              </w:rPr>
              <w:t>r</w:t>
            </w:r>
            <w:r>
              <w:rPr>
                <w:rFonts w:ascii="Arial" w:eastAsia="宋体" w:hAnsi="Arial" w:cs="Arial"/>
                <w:sz w:val="15"/>
                <w:szCs w:val="15"/>
              </w:rPr>
              <w:t>(1)</w:t>
            </w:r>
          </w:p>
        </w:tc>
        <w:tc>
          <w:tcPr>
            <w:tcW w:w="0" w:type="auto"/>
            <w:gridSpan w:val="2"/>
            <w:shd w:val="clear" w:color="auto" w:fill="FFF1E7"/>
            <w:tcMar>
              <w:top w:w="40" w:type="dxa"/>
              <w:left w:w="40" w:type="dxa"/>
              <w:bottom w:w="40" w:type="dxa"/>
            </w:tcMar>
            <w:vAlign w:val="bottom"/>
          </w:tcPr>
          <w:p w14:paraId="606F8D4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FFF1E7"/>
            <w:vAlign w:val="bottom"/>
          </w:tcPr>
          <w:p w14:paraId="606F8D4D"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D4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28</w:t>
            </w:r>
          </w:p>
        </w:tc>
        <w:tc>
          <w:tcPr>
            <w:tcW w:w="0" w:type="auto"/>
            <w:shd w:val="clear" w:color="auto" w:fill="auto"/>
            <w:vAlign w:val="bottom"/>
          </w:tcPr>
          <w:p w14:paraId="606F8D4F"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D5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w:t>
            </w:r>
          </w:p>
        </w:tc>
        <w:tc>
          <w:tcPr>
            <w:tcW w:w="0" w:type="auto"/>
            <w:shd w:val="clear" w:color="auto" w:fill="auto"/>
            <w:tcMar>
              <w:top w:w="40" w:type="dxa"/>
              <w:bottom w:w="40" w:type="dxa"/>
              <w:right w:w="40" w:type="dxa"/>
            </w:tcMar>
            <w:vAlign w:val="bottom"/>
          </w:tcPr>
          <w:p w14:paraId="606F8D5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D5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0</w:t>
            </w:r>
          </w:p>
        </w:tc>
        <w:tc>
          <w:tcPr>
            <w:tcW w:w="0" w:type="auto"/>
            <w:shd w:val="clear" w:color="auto" w:fill="auto"/>
            <w:tcMar>
              <w:top w:w="40" w:type="dxa"/>
              <w:bottom w:w="40" w:type="dxa"/>
              <w:right w:w="40" w:type="dxa"/>
            </w:tcMar>
            <w:vAlign w:val="bottom"/>
          </w:tcPr>
          <w:p w14:paraId="606F8D53"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606F8D54"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606F8D5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FFF1E7"/>
            <w:vAlign w:val="bottom"/>
          </w:tcPr>
          <w:p w14:paraId="606F8D56" w14:textId="77777777" w:rsidR="00FB67F9" w:rsidRDefault="00FB67F9">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06F8D5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56</w:t>
            </w:r>
          </w:p>
        </w:tc>
        <w:tc>
          <w:tcPr>
            <w:tcW w:w="0" w:type="auto"/>
            <w:shd w:val="clear" w:color="auto" w:fill="auto"/>
            <w:vAlign w:val="bottom"/>
          </w:tcPr>
          <w:p w14:paraId="606F8D58"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D5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606F8D5A"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606F8D5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606F8D5C"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r w:rsidR="00FB67F9" w14:paraId="606F8D74"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606F8D5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D5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D6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480</w:t>
            </w:r>
          </w:p>
        </w:tc>
        <w:tc>
          <w:tcPr>
            <w:tcW w:w="0" w:type="auto"/>
            <w:tcBorders>
              <w:top w:val="single" w:sz="8" w:space="0" w:color="E87722"/>
              <w:bottom w:val="single" w:sz="8" w:space="0" w:color="E87722"/>
            </w:tcBorders>
            <w:shd w:val="clear" w:color="auto" w:fill="FFF1E7"/>
            <w:vAlign w:val="bottom"/>
          </w:tcPr>
          <w:p w14:paraId="606F8D61" w14:textId="77777777" w:rsidR="00FB67F9" w:rsidRDefault="00FB67F9">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606F8D62"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606F8D63"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425</w:t>
            </w:r>
          </w:p>
        </w:tc>
        <w:tc>
          <w:tcPr>
            <w:tcW w:w="0" w:type="auto"/>
            <w:tcBorders>
              <w:top w:val="single" w:sz="8" w:space="0" w:color="E87722"/>
            </w:tcBorders>
            <w:shd w:val="clear" w:color="auto" w:fill="auto"/>
            <w:vAlign w:val="bottom"/>
          </w:tcPr>
          <w:p w14:paraId="606F8D64"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65"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6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6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6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606F8D6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D6A"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D6B"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1,035</w:t>
            </w:r>
          </w:p>
        </w:tc>
        <w:tc>
          <w:tcPr>
            <w:tcW w:w="0" w:type="auto"/>
            <w:tcBorders>
              <w:top w:val="single" w:sz="8" w:space="0" w:color="E87722"/>
              <w:bottom w:val="single" w:sz="8" w:space="0" w:color="E87722"/>
            </w:tcBorders>
            <w:shd w:val="clear" w:color="auto" w:fill="FFF1E7"/>
            <w:vAlign w:val="bottom"/>
          </w:tcPr>
          <w:p w14:paraId="606F8D6C"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6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D6E"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952</w:t>
            </w:r>
          </w:p>
        </w:tc>
        <w:tc>
          <w:tcPr>
            <w:tcW w:w="0" w:type="auto"/>
            <w:tcBorders>
              <w:top w:val="single" w:sz="8" w:space="0" w:color="E87722"/>
              <w:bottom w:val="single" w:sz="8" w:space="0" w:color="E87722"/>
            </w:tcBorders>
            <w:shd w:val="clear" w:color="auto" w:fill="auto"/>
            <w:vAlign w:val="bottom"/>
          </w:tcPr>
          <w:p w14:paraId="606F8D6F"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7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71"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72"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7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r>
      <w:tr w:rsidR="00FB67F9" w14:paraId="606F8D8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75"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D7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D77"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90</w:t>
            </w:r>
          </w:p>
        </w:tc>
        <w:tc>
          <w:tcPr>
            <w:tcW w:w="0" w:type="auto"/>
            <w:tcBorders>
              <w:top w:val="single" w:sz="8" w:space="0" w:color="E87722"/>
              <w:bottom w:val="single" w:sz="8" w:space="0" w:color="E87722"/>
            </w:tcBorders>
            <w:shd w:val="clear" w:color="auto" w:fill="FFF1E7"/>
            <w:vAlign w:val="bottom"/>
          </w:tcPr>
          <w:p w14:paraId="606F8D78"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7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D7A"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44</w:t>
            </w:r>
          </w:p>
        </w:tc>
        <w:tc>
          <w:tcPr>
            <w:tcW w:w="0" w:type="auto"/>
            <w:tcBorders>
              <w:top w:val="single" w:sz="8" w:space="0" w:color="E87722"/>
              <w:bottom w:val="single" w:sz="8" w:space="0" w:color="E87722"/>
            </w:tcBorders>
            <w:shd w:val="clear" w:color="auto" w:fill="auto"/>
            <w:vAlign w:val="bottom"/>
          </w:tcPr>
          <w:p w14:paraId="606F8D7B"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7C"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7D"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7E"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7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D80"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D81"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228</w:t>
            </w:r>
          </w:p>
        </w:tc>
        <w:tc>
          <w:tcPr>
            <w:tcW w:w="0" w:type="auto"/>
            <w:tcBorders>
              <w:top w:val="single" w:sz="8" w:space="0" w:color="E87722"/>
              <w:bottom w:val="single" w:sz="8" w:space="0" w:color="E87722"/>
            </w:tcBorders>
            <w:shd w:val="clear" w:color="auto" w:fill="FFF1E7"/>
            <w:vAlign w:val="bottom"/>
          </w:tcPr>
          <w:p w14:paraId="606F8D82"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83"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606F8D84"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142</w:t>
            </w:r>
          </w:p>
        </w:tc>
        <w:tc>
          <w:tcPr>
            <w:tcW w:w="0" w:type="auto"/>
            <w:tcBorders>
              <w:top w:val="single" w:sz="8" w:space="0" w:color="E87722"/>
              <w:bottom w:val="single" w:sz="8" w:space="0" w:color="E87722"/>
            </w:tcBorders>
            <w:shd w:val="clear" w:color="auto" w:fill="auto"/>
            <w:vAlign w:val="bottom"/>
          </w:tcPr>
          <w:p w14:paraId="606F8D85"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606F8D86"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61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606F8D87"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88"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bl>
    <w:p w14:paraId="606F8D8A"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D8D" w14:textId="77777777">
        <w:trPr>
          <w:tblCellSpacing w:w="0" w:type="dxa"/>
        </w:trPr>
        <w:tc>
          <w:tcPr>
            <w:tcW w:w="480" w:type="dxa"/>
            <w:shd w:val="clear" w:color="auto" w:fill="auto"/>
            <w:vAlign w:val="center"/>
          </w:tcPr>
          <w:p w14:paraId="606F8D8B" w14:textId="77777777" w:rsidR="00FB67F9" w:rsidRDefault="00FB67F9">
            <w:pPr>
              <w:rPr>
                <w:rFonts w:ascii="Times New Roman" w:hAnsi="Times New Roman"/>
                <w:sz w:val="20"/>
                <w:szCs w:val="20"/>
              </w:rPr>
            </w:pPr>
          </w:p>
        </w:tc>
        <w:tc>
          <w:tcPr>
            <w:tcW w:w="0" w:type="auto"/>
            <w:shd w:val="clear" w:color="auto" w:fill="auto"/>
            <w:vAlign w:val="center"/>
          </w:tcPr>
          <w:p w14:paraId="606F8D8C" w14:textId="77777777" w:rsidR="00FB67F9" w:rsidRDefault="00FB67F9">
            <w:pPr>
              <w:rPr>
                <w:rFonts w:ascii="Times New Roman" w:hAnsi="Times New Roman"/>
                <w:sz w:val="20"/>
                <w:szCs w:val="20"/>
              </w:rPr>
            </w:pPr>
          </w:p>
        </w:tc>
      </w:tr>
      <w:tr w:rsidR="00FB67F9" w14:paraId="606F8D90" w14:textId="77777777">
        <w:trPr>
          <w:tblCellSpacing w:w="0" w:type="dxa"/>
        </w:trPr>
        <w:tc>
          <w:tcPr>
            <w:tcW w:w="0" w:type="auto"/>
            <w:shd w:val="clear" w:color="auto" w:fill="auto"/>
          </w:tcPr>
          <w:p w14:paraId="606F8D8E"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606F8D8F" w14:textId="77777777" w:rsidR="00FB67F9" w:rsidRDefault="00E839DF">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Other revenues consist of territories serviced by third-party licensees who pay royalties to Converse for the use of its registered trademarks and other intellectual property rights. We do not own the Converse trademarks in Japan and </w:t>
            </w:r>
            <w:r>
              <w:rPr>
                <w:rFonts w:ascii="Arial" w:eastAsia="宋体" w:hAnsi="Arial" w:cs="Arial"/>
                <w:i/>
                <w:iCs/>
                <w:color w:val="000000"/>
                <w:sz w:val="14"/>
                <w:szCs w:val="14"/>
              </w:rPr>
              <w:t>accordingly do not earn revenues in Japan.</w:t>
            </w:r>
          </w:p>
        </w:tc>
      </w:tr>
    </w:tbl>
    <w:p w14:paraId="606F8D91"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D9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 currency-neutral basis, Converse revenues increased 15% for the second quarter of fiscal 2020. The increase in revenue was driven by hi</w:t>
      </w:r>
      <w:r>
        <w:rPr>
          <w:rFonts w:ascii="Arial" w:eastAsia="宋体" w:hAnsi="Arial" w:cs="Arial"/>
          <w:sz w:val="17"/>
          <w:szCs w:val="17"/>
        </w:rPr>
        <w:t>gher revenues in Asia and Europe, partially offset by declines in the United States. Wholesale revenues grew 14% primarily due to increased demand in Asia. Direct to consumer revenues increased 20% fueled by digital sales growth. Combined unit sales within</w:t>
      </w:r>
      <w:r>
        <w:rPr>
          <w:rFonts w:ascii="Arial" w:eastAsia="宋体" w:hAnsi="Arial" w:cs="Arial"/>
          <w:sz w:val="17"/>
          <w:szCs w:val="17"/>
        </w:rPr>
        <w:t xml:space="preserve"> the wholesale and direct to consumer channels increased 13%, while ASP grew 3% primarily due to higher full-price ASP, as well as higher ASP in the direct to consumer channel.</w:t>
      </w:r>
    </w:p>
    <w:p w14:paraId="606F8D93" w14:textId="77777777" w:rsidR="00FB67F9" w:rsidRDefault="00E839DF">
      <w:pPr>
        <w:spacing w:line="312" w:lineRule="auto"/>
        <w:jc w:val="both"/>
        <w:rPr>
          <w:rFonts w:ascii="Times New Roman" w:hAnsi="Times New Roman"/>
          <w:sz w:val="17"/>
          <w:szCs w:val="17"/>
        </w:rPr>
      </w:pPr>
      <w:r>
        <w:rPr>
          <w:rFonts w:ascii="Arial" w:eastAsia="宋体" w:hAnsi="Arial" w:cs="Arial"/>
          <w:sz w:val="17"/>
          <w:szCs w:val="17"/>
        </w:rPr>
        <w:t xml:space="preserve">Reported EBIT increased 105%, driven by revenue growth, lower selling and </w:t>
      </w:r>
      <w:r>
        <w:rPr>
          <w:rFonts w:ascii="Arial" w:eastAsia="宋体" w:hAnsi="Arial" w:cs="Arial"/>
          <w:sz w:val="17"/>
          <w:szCs w:val="17"/>
        </w:rPr>
        <w:t>administrative expense and gross margin expansion. Gross margin increased 310 basis points driven by higher margins in the direct to consumer business, lower other costs, as well as higher full-price ASP. Selling and administrative expense decreased slight</w:t>
      </w:r>
      <w:r>
        <w:rPr>
          <w:rFonts w:ascii="Arial" w:eastAsia="宋体" w:hAnsi="Arial" w:cs="Arial"/>
          <w:sz w:val="17"/>
          <w:szCs w:val="17"/>
        </w:rPr>
        <w:t>ly, primarily due to lower demand creation expense, driven by lower retail brand presentation costs.</w:t>
      </w:r>
    </w:p>
    <w:p w14:paraId="606F8D94"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FIRST SIX MONTHS OF FISCAL 2020 COMPARED TO FIRST SIX MONTHS OF FISCAL 2019</w:t>
      </w:r>
    </w:p>
    <w:p w14:paraId="606F8D9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On a currency-neutral basis, Converse revenues increased 11% for the first six </w:t>
      </w:r>
      <w:r>
        <w:rPr>
          <w:rFonts w:ascii="Arial" w:eastAsia="宋体" w:hAnsi="Arial" w:cs="Arial"/>
          <w:sz w:val="17"/>
          <w:szCs w:val="17"/>
        </w:rPr>
        <w:t>months of fiscal 2020, driven by higher revenues in Asia and Europe, partially offset by declines in the United States. Wholesale revenues increased 8% primarily due to higher demand in Asia. Direct to consumer revenues increased 23% primarily fueled by di</w:t>
      </w:r>
      <w:r>
        <w:rPr>
          <w:rFonts w:ascii="Arial" w:eastAsia="宋体" w:hAnsi="Arial" w:cs="Arial"/>
          <w:sz w:val="17"/>
          <w:szCs w:val="17"/>
        </w:rPr>
        <w:t>gital sales growth. Combined unit sales within the wholesale and direct to consumer channels increased 6%, while ASP grew 7% primarily due to higher full-price ASP, as well as higher ASP in the direct to consumer channel.</w:t>
      </w:r>
    </w:p>
    <w:p w14:paraId="606F8D96" w14:textId="77777777" w:rsidR="00FB67F9" w:rsidRDefault="00E839DF">
      <w:pPr>
        <w:spacing w:line="312" w:lineRule="auto"/>
        <w:jc w:val="both"/>
        <w:rPr>
          <w:rFonts w:ascii="Times New Roman" w:hAnsi="Times New Roman"/>
          <w:sz w:val="17"/>
          <w:szCs w:val="17"/>
        </w:rPr>
      </w:pPr>
      <w:r>
        <w:rPr>
          <w:rFonts w:ascii="Arial" w:eastAsia="宋体" w:hAnsi="Arial" w:cs="Arial"/>
          <w:sz w:val="17"/>
          <w:szCs w:val="17"/>
        </w:rPr>
        <w:t>Reported EBIT increased 61%, prima</w:t>
      </w:r>
      <w:r>
        <w:rPr>
          <w:rFonts w:ascii="Arial" w:eastAsia="宋体" w:hAnsi="Arial" w:cs="Arial"/>
          <w:sz w:val="17"/>
          <w:szCs w:val="17"/>
        </w:rPr>
        <w:t>rily due to revenue growth, lower selling and administrative expense, as well as gross margin expansion. Gross margin increased 330 basis points, driven by higher margins in the direct to consumer channel, higher full-price ASP and lower other costs. The d</w:t>
      </w:r>
      <w:r>
        <w:rPr>
          <w:rFonts w:ascii="Arial" w:eastAsia="宋体" w:hAnsi="Arial" w:cs="Arial"/>
          <w:sz w:val="17"/>
          <w:szCs w:val="17"/>
        </w:rPr>
        <w:t>ecrease in selling and administrative expense was driven by lower demand creation expense, primarily due to lower advertising and marketing costs.</w:t>
      </w:r>
    </w:p>
    <w:p w14:paraId="606F8D97"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CORPORATE</w:t>
      </w:r>
    </w:p>
    <w:tbl>
      <w:tblPr>
        <w:tblW w:w="4959" w:type="pct"/>
        <w:tblCellMar>
          <w:left w:w="0" w:type="dxa"/>
          <w:right w:w="0" w:type="dxa"/>
        </w:tblCellMar>
        <w:tblLook w:val="04A0" w:firstRow="1" w:lastRow="0" w:firstColumn="1" w:lastColumn="0" w:noHBand="0" w:noVBand="1"/>
      </w:tblPr>
      <w:tblGrid>
        <w:gridCol w:w="3609"/>
        <w:gridCol w:w="135"/>
        <w:gridCol w:w="479"/>
        <w:gridCol w:w="97"/>
        <w:gridCol w:w="135"/>
        <w:gridCol w:w="479"/>
        <w:gridCol w:w="97"/>
        <w:gridCol w:w="644"/>
        <w:gridCol w:w="192"/>
        <w:gridCol w:w="130"/>
        <w:gridCol w:w="135"/>
        <w:gridCol w:w="413"/>
        <w:gridCol w:w="97"/>
        <w:gridCol w:w="135"/>
        <w:gridCol w:w="481"/>
        <w:gridCol w:w="97"/>
        <w:gridCol w:w="644"/>
        <w:gridCol w:w="239"/>
      </w:tblGrid>
      <w:tr w:rsidR="00FB67F9" w14:paraId="606F8D99" w14:textId="77777777">
        <w:tc>
          <w:tcPr>
            <w:tcW w:w="0" w:type="auto"/>
            <w:gridSpan w:val="18"/>
            <w:shd w:val="clear" w:color="auto" w:fill="auto"/>
            <w:vAlign w:val="center"/>
          </w:tcPr>
          <w:p w14:paraId="606F8D98" w14:textId="77777777" w:rsidR="00FB67F9" w:rsidRDefault="00FB67F9">
            <w:pPr>
              <w:rPr>
                <w:rFonts w:ascii="Times New Roman" w:hAnsi="Times New Roman"/>
                <w:sz w:val="20"/>
                <w:szCs w:val="20"/>
              </w:rPr>
            </w:pPr>
          </w:p>
        </w:tc>
      </w:tr>
      <w:tr w:rsidR="00FB67F9" w14:paraId="606F8DAC" w14:textId="77777777">
        <w:tc>
          <w:tcPr>
            <w:tcW w:w="2250" w:type="pct"/>
            <w:shd w:val="clear" w:color="auto" w:fill="auto"/>
            <w:vAlign w:val="center"/>
          </w:tcPr>
          <w:p w14:paraId="606F8D9A" w14:textId="77777777" w:rsidR="00FB67F9" w:rsidRDefault="00FB67F9">
            <w:pPr>
              <w:rPr>
                <w:rFonts w:ascii="Times New Roman" w:hAnsi="Times New Roman"/>
                <w:sz w:val="20"/>
                <w:szCs w:val="20"/>
              </w:rPr>
            </w:pPr>
          </w:p>
        </w:tc>
        <w:tc>
          <w:tcPr>
            <w:tcW w:w="50" w:type="pct"/>
            <w:shd w:val="clear" w:color="auto" w:fill="auto"/>
            <w:vAlign w:val="center"/>
          </w:tcPr>
          <w:p w14:paraId="606F8D9B" w14:textId="77777777" w:rsidR="00FB67F9" w:rsidRDefault="00FB67F9">
            <w:pPr>
              <w:rPr>
                <w:rFonts w:ascii="Times New Roman" w:hAnsi="Times New Roman"/>
                <w:sz w:val="20"/>
                <w:szCs w:val="20"/>
              </w:rPr>
            </w:pPr>
          </w:p>
        </w:tc>
        <w:tc>
          <w:tcPr>
            <w:tcW w:w="350" w:type="pct"/>
            <w:shd w:val="clear" w:color="auto" w:fill="auto"/>
            <w:vAlign w:val="center"/>
          </w:tcPr>
          <w:p w14:paraId="606F8D9C" w14:textId="77777777" w:rsidR="00FB67F9" w:rsidRDefault="00FB67F9">
            <w:pPr>
              <w:rPr>
                <w:rFonts w:ascii="Times New Roman" w:hAnsi="Times New Roman"/>
                <w:sz w:val="20"/>
                <w:szCs w:val="20"/>
              </w:rPr>
            </w:pPr>
          </w:p>
        </w:tc>
        <w:tc>
          <w:tcPr>
            <w:tcW w:w="50" w:type="pct"/>
            <w:shd w:val="clear" w:color="auto" w:fill="auto"/>
            <w:vAlign w:val="center"/>
          </w:tcPr>
          <w:p w14:paraId="606F8D9D" w14:textId="77777777" w:rsidR="00FB67F9" w:rsidRDefault="00FB67F9">
            <w:pPr>
              <w:rPr>
                <w:rFonts w:ascii="Times New Roman" w:hAnsi="Times New Roman"/>
                <w:sz w:val="20"/>
                <w:szCs w:val="20"/>
              </w:rPr>
            </w:pPr>
          </w:p>
        </w:tc>
        <w:tc>
          <w:tcPr>
            <w:tcW w:w="50" w:type="pct"/>
            <w:shd w:val="clear" w:color="auto" w:fill="auto"/>
            <w:vAlign w:val="center"/>
          </w:tcPr>
          <w:p w14:paraId="606F8D9E" w14:textId="77777777" w:rsidR="00FB67F9" w:rsidRDefault="00FB67F9">
            <w:pPr>
              <w:rPr>
                <w:rFonts w:ascii="Times New Roman" w:hAnsi="Times New Roman"/>
                <w:sz w:val="20"/>
                <w:szCs w:val="20"/>
              </w:rPr>
            </w:pPr>
          </w:p>
        </w:tc>
        <w:tc>
          <w:tcPr>
            <w:tcW w:w="350" w:type="pct"/>
            <w:shd w:val="clear" w:color="auto" w:fill="auto"/>
            <w:vAlign w:val="center"/>
          </w:tcPr>
          <w:p w14:paraId="606F8D9F" w14:textId="77777777" w:rsidR="00FB67F9" w:rsidRDefault="00FB67F9">
            <w:pPr>
              <w:rPr>
                <w:rFonts w:ascii="Times New Roman" w:hAnsi="Times New Roman"/>
                <w:sz w:val="20"/>
                <w:szCs w:val="20"/>
              </w:rPr>
            </w:pPr>
          </w:p>
        </w:tc>
        <w:tc>
          <w:tcPr>
            <w:tcW w:w="50" w:type="pct"/>
            <w:shd w:val="clear" w:color="auto" w:fill="auto"/>
            <w:vAlign w:val="center"/>
          </w:tcPr>
          <w:p w14:paraId="606F8DA0" w14:textId="77777777" w:rsidR="00FB67F9" w:rsidRDefault="00FB67F9">
            <w:pPr>
              <w:rPr>
                <w:rFonts w:ascii="Times New Roman" w:hAnsi="Times New Roman"/>
                <w:sz w:val="20"/>
                <w:szCs w:val="20"/>
              </w:rPr>
            </w:pPr>
          </w:p>
        </w:tc>
        <w:tc>
          <w:tcPr>
            <w:tcW w:w="400" w:type="pct"/>
            <w:shd w:val="clear" w:color="auto" w:fill="auto"/>
            <w:vAlign w:val="center"/>
          </w:tcPr>
          <w:p w14:paraId="606F8DA1" w14:textId="77777777" w:rsidR="00FB67F9" w:rsidRDefault="00FB67F9">
            <w:pPr>
              <w:rPr>
                <w:rFonts w:ascii="Times New Roman" w:hAnsi="Times New Roman"/>
                <w:sz w:val="20"/>
                <w:szCs w:val="20"/>
              </w:rPr>
            </w:pPr>
          </w:p>
        </w:tc>
        <w:tc>
          <w:tcPr>
            <w:tcW w:w="50" w:type="pct"/>
            <w:shd w:val="clear" w:color="auto" w:fill="auto"/>
            <w:vAlign w:val="center"/>
          </w:tcPr>
          <w:p w14:paraId="606F8DA2" w14:textId="77777777" w:rsidR="00FB67F9" w:rsidRDefault="00FB67F9">
            <w:pPr>
              <w:rPr>
                <w:rFonts w:ascii="Times New Roman" w:hAnsi="Times New Roman"/>
                <w:sz w:val="20"/>
                <w:szCs w:val="20"/>
              </w:rPr>
            </w:pPr>
          </w:p>
        </w:tc>
        <w:tc>
          <w:tcPr>
            <w:tcW w:w="50" w:type="pct"/>
            <w:shd w:val="clear" w:color="auto" w:fill="auto"/>
            <w:vAlign w:val="center"/>
          </w:tcPr>
          <w:p w14:paraId="606F8DA3" w14:textId="77777777" w:rsidR="00FB67F9" w:rsidRDefault="00FB67F9">
            <w:pPr>
              <w:rPr>
                <w:rFonts w:ascii="Times New Roman" w:hAnsi="Times New Roman"/>
                <w:sz w:val="20"/>
                <w:szCs w:val="20"/>
              </w:rPr>
            </w:pPr>
          </w:p>
        </w:tc>
        <w:tc>
          <w:tcPr>
            <w:tcW w:w="50" w:type="pct"/>
            <w:shd w:val="clear" w:color="auto" w:fill="auto"/>
            <w:vAlign w:val="center"/>
          </w:tcPr>
          <w:p w14:paraId="606F8DA4" w14:textId="77777777" w:rsidR="00FB67F9" w:rsidRDefault="00FB67F9">
            <w:pPr>
              <w:rPr>
                <w:rFonts w:ascii="Times New Roman" w:hAnsi="Times New Roman"/>
                <w:sz w:val="20"/>
                <w:szCs w:val="20"/>
              </w:rPr>
            </w:pPr>
          </w:p>
        </w:tc>
        <w:tc>
          <w:tcPr>
            <w:tcW w:w="350" w:type="pct"/>
            <w:shd w:val="clear" w:color="auto" w:fill="auto"/>
            <w:vAlign w:val="center"/>
          </w:tcPr>
          <w:p w14:paraId="606F8DA5" w14:textId="77777777" w:rsidR="00FB67F9" w:rsidRDefault="00FB67F9">
            <w:pPr>
              <w:rPr>
                <w:rFonts w:ascii="Times New Roman" w:hAnsi="Times New Roman"/>
                <w:sz w:val="20"/>
                <w:szCs w:val="20"/>
              </w:rPr>
            </w:pPr>
          </w:p>
        </w:tc>
        <w:tc>
          <w:tcPr>
            <w:tcW w:w="50" w:type="pct"/>
            <w:shd w:val="clear" w:color="auto" w:fill="auto"/>
            <w:vAlign w:val="center"/>
          </w:tcPr>
          <w:p w14:paraId="606F8DA6" w14:textId="77777777" w:rsidR="00FB67F9" w:rsidRDefault="00FB67F9">
            <w:pPr>
              <w:rPr>
                <w:rFonts w:ascii="Times New Roman" w:hAnsi="Times New Roman"/>
                <w:sz w:val="20"/>
                <w:szCs w:val="20"/>
              </w:rPr>
            </w:pPr>
          </w:p>
        </w:tc>
        <w:tc>
          <w:tcPr>
            <w:tcW w:w="50" w:type="pct"/>
            <w:shd w:val="clear" w:color="auto" w:fill="auto"/>
            <w:vAlign w:val="center"/>
          </w:tcPr>
          <w:p w14:paraId="606F8DA7" w14:textId="77777777" w:rsidR="00FB67F9" w:rsidRDefault="00FB67F9">
            <w:pPr>
              <w:rPr>
                <w:rFonts w:ascii="Times New Roman" w:hAnsi="Times New Roman"/>
                <w:sz w:val="20"/>
                <w:szCs w:val="20"/>
              </w:rPr>
            </w:pPr>
          </w:p>
        </w:tc>
        <w:tc>
          <w:tcPr>
            <w:tcW w:w="350" w:type="pct"/>
            <w:shd w:val="clear" w:color="auto" w:fill="auto"/>
            <w:vAlign w:val="center"/>
          </w:tcPr>
          <w:p w14:paraId="606F8DA8" w14:textId="77777777" w:rsidR="00FB67F9" w:rsidRDefault="00FB67F9">
            <w:pPr>
              <w:rPr>
                <w:rFonts w:ascii="Times New Roman" w:hAnsi="Times New Roman"/>
                <w:sz w:val="20"/>
                <w:szCs w:val="20"/>
              </w:rPr>
            </w:pPr>
          </w:p>
        </w:tc>
        <w:tc>
          <w:tcPr>
            <w:tcW w:w="50" w:type="pct"/>
            <w:shd w:val="clear" w:color="auto" w:fill="auto"/>
            <w:vAlign w:val="center"/>
          </w:tcPr>
          <w:p w14:paraId="606F8DA9" w14:textId="77777777" w:rsidR="00FB67F9" w:rsidRDefault="00FB67F9">
            <w:pPr>
              <w:rPr>
                <w:rFonts w:ascii="Times New Roman" w:hAnsi="Times New Roman"/>
                <w:sz w:val="20"/>
                <w:szCs w:val="20"/>
              </w:rPr>
            </w:pPr>
          </w:p>
        </w:tc>
        <w:tc>
          <w:tcPr>
            <w:tcW w:w="400" w:type="pct"/>
            <w:shd w:val="clear" w:color="auto" w:fill="auto"/>
            <w:vAlign w:val="center"/>
          </w:tcPr>
          <w:p w14:paraId="606F8DAA" w14:textId="77777777" w:rsidR="00FB67F9" w:rsidRDefault="00FB67F9">
            <w:pPr>
              <w:rPr>
                <w:rFonts w:ascii="Times New Roman" w:hAnsi="Times New Roman"/>
                <w:sz w:val="20"/>
                <w:szCs w:val="20"/>
              </w:rPr>
            </w:pPr>
          </w:p>
        </w:tc>
        <w:tc>
          <w:tcPr>
            <w:tcW w:w="50" w:type="pct"/>
            <w:shd w:val="clear" w:color="auto" w:fill="auto"/>
            <w:vAlign w:val="center"/>
          </w:tcPr>
          <w:p w14:paraId="606F8DAB" w14:textId="77777777" w:rsidR="00FB67F9" w:rsidRDefault="00FB67F9">
            <w:pPr>
              <w:rPr>
                <w:rFonts w:ascii="Times New Roman" w:hAnsi="Times New Roman"/>
                <w:sz w:val="20"/>
                <w:szCs w:val="20"/>
              </w:rPr>
            </w:pPr>
          </w:p>
        </w:tc>
      </w:tr>
      <w:tr w:rsidR="00FB67F9" w14:paraId="606F8DB1" w14:textId="77777777">
        <w:tc>
          <w:tcPr>
            <w:tcW w:w="0" w:type="auto"/>
            <w:shd w:val="clear" w:color="auto" w:fill="auto"/>
            <w:tcMar>
              <w:top w:w="40" w:type="dxa"/>
              <w:left w:w="40" w:type="dxa"/>
              <w:bottom w:w="40" w:type="dxa"/>
              <w:right w:w="40" w:type="dxa"/>
            </w:tcMar>
            <w:vAlign w:val="bottom"/>
          </w:tcPr>
          <w:p w14:paraId="606F8DAD"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DAE"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THREE MONTHS ENDED NOVEMBER 30,</w:t>
            </w:r>
          </w:p>
        </w:tc>
        <w:tc>
          <w:tcPr>
            <w:tcW w:w="0" w:type="auto"/>
            <w:shd w:val="clear" w:color="auto" w:fill="auto"/>
            <w:tcMar>
              <w:top w:w="40" w:type="dxa"/>
              <w:left w:w="40" w:type="dxa"/>
              <w:bottom w:w="40" w:type="dxa"/>
              <w:right w:w="40" w:type="dxa"/>
            </w:tcMar>
            <w:vAlign w:val="bottom"/>
          </w:tcPr>
          <w:p w14:paraId="606F8DAF"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E87722"/>
            </w:tcBorders>
            <w:shd w:val="clear" w:color="auto" w:fill="auto"/>
            <w:tcMar>
              <w:top w:w="40" w:type="dxa"/>
              <w:left w:w="40" w:type="dxa"/>
              <w:bottom w:w="40" w:type="dxa"/>
            </w:tcMar>
            <w:vAlign w:val="bottom"/>
          </w:tcPr>
          <w:p w14:paraId="606F8DB0"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SIX MONTHS ENDED NOVEMBER 30,</w:t>
            </w:r>
          </w:p>
        </w:tc>
      </w:tr>
      <w:tr w:rsidR="00FB67F9" w14:paraId="606F8DB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DB2" w14:textId="77777777" w:rsidR="00FB67F9" w:rsidRDefault="00E839DF">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B3"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B4"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DB5"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DB6" w14:textId="77777777" w:rsidR="00FB67F9" w:rsidRDefault="00FB67F9">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606F8DB7"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B8"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DB9" w14:textId="77777777" w:rsidR="00FB67F9" w:rsidRDefault="00E839DF">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tcMar>
            <w:vAlign w:val="bottom"/>
          </w:tcPr>
          <w:p w14:paraId="606F8DBA"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606F8DBB" w14:textId="77777777" w:rsidR="00FB67F9" w:rsidRDefault="00FB67F9">
            <w:pPr>
              <w:textAlignment w:val="bottom"/>
              <w:rPr>
                <w:rFonts w:ascii="Times New Roman" w:hAnsi="Times New Roman"/>
                <w:sz w:val="20"/>
                <w:szCs w:val="20"/>
              </w:rPr>
            </w:pPr>
          </w:p>
        </w:tc>
      </w:tr>
      <w:tr w:rsidR="00FB67F9" w14:paraId="606F8DCF" w14:textId="77777777">
        <w:tc>
          <w:tcPr>
            <w:tcW w:w="0" w:type="auto"/>
            <w:shd w:val="clear" w:color="auto" w:fill="auto"/>
            <w:tcMar>
              <w:top w:w="40" w:type="dxa"/>
              <w:left w:w="40" w:type="dxa"/>
              <w:bottom w:w="40" w:type="dxa"/>
              <w:right w:w="40" w:type="dxa"/>
            </w:tcMar>
            <w:vAlign w:val="bottom"/>
          </w:tcPr>
          <w:p w14:paraId="606F8DBD" w14:textId="77777777" w:rsidR="00FB67F9" w:rsidRDefault="00E839DF">
            <w:pPr>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606F8D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606F8D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E87722"/>
              <w:bottom w:val="single" w:sz="8" w:space="0" w:color="808080"/>
            </w:tcBorders>
            <w:shd w:val="clear" w:color="auto" w:fill="FFF1E7"/>
            <w:vAlign w:val="bottom"/>
          </w:tcPr>
          <w:p w14:paraId="606F8DC0"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DC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8DC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E87722"/>
              <w:bottom w:val="single" w:sz="8" w:space="0" w:color="808080"/>
            </w:tcBorders>
            <w:shd w:val="clear" w:color="auto" w:fill="auto"/>
            <w:vAlign w:val="bottom"/>
          </w:tcPr>
          <w:p w14:paraId="606F8DC3"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DC4"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8DC5"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06F8DC6"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bottom"/>
          </w:tcPr>
          <w:p w14:paraId="606F8DC7"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DC8"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vAlign w:val="bottom"/>
          </w:tcPr>
          <w:p w14:paraId="606F8DC9"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606F8DC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606F8DC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E87722"/>
              <w:bottom w:val="single" w:sz="8" w:space="0" w:color="808080"/>
            </w:tcBorders>
            <w:shd w:val="clear" w:color="auto" w:fill="auto"/>
            <w:vAlign w:val="bottom"/>
          </w:tcPr>
          <w:p w14:paraId="606F8DCC" w14:textId="77777777" w:rsidR="00FB67F9" w:rsidRDefault="00FB67F9">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06F8DCD"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606F8DCE" w14:textId="77777777" w:rsidR="00FB67F9" w:rsidRDefault="00FB67F9">
            <w:pPr>
              <w:textAlignment w:val="bottom"/>
              <w:rPr>
                <w:rFonts w:ascii="Times New Roman" w:hAnsi="Times New Roman"/>
                <w:sz w:val="20"/>
                <w:szCs w:val="20"/>
              </w:rPr>
            </w:pPr>
          </w:p>
        </w:tc>
      </w:tr>
      <w:tr w:rsidR="00FB67F9" w14:paraId="606F8DE2"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DD0" w14:textId="77777777" w:rsidR="00FB67F9" w:rsidRDefault="00E839DF">
            <w:pPr>
              <w:textAlignment w:val="bottom"/>
              <w:rPr>
                <w:rFonts w:ascii="Times New Roman" w:hAnsi="Times New Roman"/>
                <w:sz w:val="17"/>
                <w:szCs w:val="17"/>
              </w:rPr>
            </w:pPr>
            <w:r>
              <w:rPr>
                <w:rFonts w:ascii="Arial" w:eastAsia="宋体" w:hAnsi="Arial" w:cs="Arial"/>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8DD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606F8DD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(413</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DD3"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DD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606F8DD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(423</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DD6"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DD7"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DD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606F8DD9"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606F8DDA"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606F8DDB"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(837</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606F8DDC"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DDD"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606F8DDE"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(825</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DDF"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606F8DE0"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606F8DE1" w14:textId="77777777" w:rsidR="00FB67F9" w:rsidRDefault="00E839DF">
            <w:pPr>
              <w:textAlignment w:val="bottom"/>
              <w:rPr>
                <w:rFonts w:ascii="Times New Roman" w:hAnsi="Times New Roman"/>
                <w:sz w:val="17"/>
                <w:szCs w:val="17"/>
              </w:rPr>
            </w:pPr>
            <w:r>
              <w:rPr>
                <w:rFonts w:ascii="Arial" w:eastAsia="宋体" w:hAnsi="Arial" w:cs="Arial"/>
                <w:sz w:val="17"/>
                <w:szCs w:val="17"/>
              </w:rPr>
              <w:t> %</w:t>
            </w:r>
          </w:p>
        </w:tc>
      </w:tr>
    </w:tbl>
    <w:p w14:paraId="606F8DE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Corporate revenues primarily consist of foreign currency hedge gains and losses related to revenues generated by entities within the NIKE Brand geographic operating segments and Converse, but managed through our central foreign exchange ris</w:t>
      </w:r>
      <w:r>
        <w:rPr>
          <w:rFonts w:ascii="Arial" w:eastAsia="宋体" w:hAnsi="Arial" w:cs="Arial"/>
          <w:sz w:val="17"/>
          <w:szCs w:val="17"/>
        </w:rPr>
        <w:t>k management program.</w:t>
      </w:r>
    </w:p>
    <w:p w14:paraId="606F8DE4" w14:textId="77777777" w:rsidR="00FB67F9" w:rsidRDefault="00FB67F9">
      <w:pPr>
        <w:rPr>
          <w:rFonts w:ascii="Times New Roman" w:hAnsi="Times New Roman"/>
          <w:sz w:val="20"/>
          <w:szCs w:val="20"/>
        </w:rPr>
      </w:pPr>
    </w:p>
    <w:p w14:paraId="606F8DE5"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38</w:t>
      </w:r>
      <w:r>
        <w:rPr>
          <w:rFonts w:ascii="sans-serif" w:eastAsia="sans-serif" w:hAnsi="sans-serif" w:cs="sans-serif"/>
          <w:sz w:val="17"/>
          <w:szCs w:val="17"/>
        </w:rPr>
        <w:t xml:space="preserve"> </w:t>
      </w:r>
    </w:p>
    <w:p w14:paraId="606F8DE6" w14:textId="77777777" w:rsidR="00FB67F9" w:rsidRDefault="00E839DF">
      <w:r>
        <w:rPr>
          <w:rFonts w:ascii="Times New Roman" w:hAnsi="Times New Roman"/>
          <w:sz w:val="17"/>
          <w:szCs w:val="17"/>
        </w:rPr>
        <w:pict w14:anchorId="606F8FA3">
          <v:rect id="_x0000_i1064" style="width:415.3pt;height:1.5pt" o:hralign="center" o:hrstd="t" o:hr="t" fillcolor="#a0a0a0" stroked="f"/>
        </w:pict>
      </w:r>
    </w:p>
    <w:p w14:paraId="606F8DE7" w14:textId="77777777" w:rsidR="00FB67F9" w:rsidRDefault="00FB67F9">
      <w:pPr>
        <w:rPr>
          <w:rFonts w:ascii="Times New Roman" w:hAnsi="Times New Roman"/>
          <w:sz w:val="17"/>
          <w:szCs w:val="17"/>
        </w:rPr>
      </w:pPr>
    </w:p>
    <w:p w14:paraId="606F8DE8" w14:textId="77777777" w:rsidR="00FB67F9" w:rsidRDefault="00E839DF">
      <w:pPr>
        <w:rPr>
          <w:rFonts w:ascii="Times New Roman" w:hAnsi="Times New Roman"/>
          <w:sz w:val="17"/>
          <w:szCs w:val="17"/>
        </w:rPr>
      </w:pPr>
      <w:hyperlink r:id="rId108" w:anchor="s42C493F7582652B69E70047AB812E6A5" w:history="1">
        <w:r>
          <w:rPr>
            <w:rStyle w:val="a5"/>
            <w:rFonts w:ascii="sans-serif" w:eastAsia="sans-serif" w:hAnsi="sans-serif" w:cs="sans-serif"/>
            <w:sz w:val="17"/>
            <w:szCs w:val="17"/>
          </w:rPr>
          <w:t>Table of Contents</w:t>
        </w:r>
      </w:hyperlink>
    </w:p>
    <w:p w14:paraId="606F8DE9" w14:textId="77777777" w:rsidR="00FB67F9" w:rsidRDefault="00FB67F9">
      <w:pPr>
        <w:rPr>
          <w:rFonts w:ascii="Times New Roman" w:hAnsi="Times New Roman"/>
          <w:sz w:val="17"/>
          <w:szCs w:val="17"/>
        </w:rPr>
      </w:pPr>
    </w:p>
    <w:p w14:paraId="606F8DEA" w14:textId="77777777" w:rsidR="00FB67F9" w:rsidRDefault="00FB67F9">
      <w:pPr>
        <w:rPr>
          <w:rFonts w:ascii="Times New Roman" w:hAnsi="Times New Roman"/>
          <w:sz w:val="20"/>
          <w:szCs w:val="20"/>
        </w:rPr>
      </w:pPr>
    </w:p>
    <w:p w14:paraId="606F8DE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 Corporate loss before interest and taxes </w:t>
      </w:r>
      <w:r>
        <w:rPr>
          <w:rFonts w:ascii="Arial" w:eastAsia="宋体" w:hAnsi="Arial" w:cs="Arial"/>
          <w:sz w:val="17"/>
          <w:szCs w:val="17"/>
        </w:rPr>
        <w:t>primarily consists of unallocated general and administrative expenses, including expenses associated with centrally managed departments; depreciation and amortization related to our corporate headquarters; unallocated insurance, benefit and compensation pr</w:t>
      </w:r>
      <w:r>
        <w:rPr>
          <w:rFonts w:ascii="Arial" w:eastAsia="宋体" w:hAnsi="Arial" w:cs="Arial"/>
          <w:sz w:val="17"/>
          <w:szCs w:val="17"/>
        </w:rPr>
        <w:t>ograms, including stock-based compensation; and certain foreign currency gains and losses.</w:t>
      </w:r>
    </w:p>
    <w:p w14:paraId="606F8DE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In addition to the foreign currency gains and losses recognized in Corporate revenues, foreign currency results in Corporate include gains and losses resulting from </w:t>
      </w:r>
      <w:r>
        <w:rPr>
          <w:rFonts w:ascii="Arial" w:eastAsia="宋体" w:hAnsi="Arial" w:cs="Arial"/>
          <w:sz w:val="17"/>
          <w:szCs w:val="17"/>
        </w:rPr>
        <w:t xml:space="preserve">the difference between actual foreign currency exchange rates and standard rates used to record non-functional currency denominated product purchases within the NIKE Brand geographic operating segments and Converse; related foreign currency hedge results; </w:t>
      </w:r>
      <w:r>
        <w:rPr>
          <w:rFonts w:ascii="Arial" w:eastAsia="宋体" w:hAnsi="Arial" w:cs="Arial"/>
          <w:sz w:val="17"/>
          <w:szCs w:val="17"/>
        </w:rPr>
        <w:t>conversion gains and losses arising from re-measurement of monetary assets and liabilities in non-functional currencies; and certain other foreign currency derivative instruments.</w:t>
      </w:r>
    </w:p>
    <w:p w14:paraId="606F8DED"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SECOND QUARTER OF FISCAL 2020 COMPARED TO SECOND QUARTER OF FISCAL 2019</w:t>
      </w:r>
    </w:p>
    <w:p w14:paraId="606F8DEE"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Corp</w:t>
      </w:r>
      <w:r>
        <w:rPr>
          <w:rFonts w:ascii="Arial" w:eastAsia="宋体" w:hAnsi="Arial" w:cs="Arial"/>
          <w:sz w:val="17"/>
          <w:szCs w:val="17"/>
        </w:rPr>
        <w:t>orate's loss before interest and taxes decreased $10 million for the second quarter of fiscal 2020, primarily due to the following:</w:t>
      </w: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DF1" w14:textId="77777777">
        <w:trPr>
          <w:tblCellSpacing w:w="0" w:type="dxa"/>
        </w:trPr>
        <w:tc>
          <w:tcPr>
            <w:tcW w:w="480" w:type="dxa"/>
            <w:shd w:val="clear" w:color="auto" w:fill="auto"/>
            <w:vAlign w:val="center"/>
          </w:tcPr>
          <w:p w14:paraId="606F8DEF" w14:textId="77777777" w:rsidR="00FB67F9" w:rsidRDefault="00FB67F9">
            <w:pPr>
              <w:rPr>
                <w:rFonts w:ascii="Times New Roman" w:hAnsi="Times New Roman"/>
                <w:sz w:val="20"/>
                <w:szCs w:val="20"/>
              </w:rPr>
            </w:pPr>
          </w:p>
        </w:tc>
        <w:tc>
          <w:tcPr>
            <w:tcW w:w="0" w:type="auto"/>
            <w:shd w:val="clear" w:color="auto" w:fill="auto"/>
            <w:vAlign w:val="center"/>
          </w:tcPr>
          <w:p w14:paraId="606F8DF0" w14:textId="77777777" w:rsidR="00FB67F9" w:rsidRDefault="00FB67F9">
            <w:pPr>
              <w:rPr>
                <w:rFonts w:ascii="Times New Roman" w:hAnsi="Times New Roman"/>
                <w:sz w:val="20"/>
                <w:szCs w:val="20"/>
              </w:rPr>
            </w:pPr>
          </w:p>
        </w:tc>
      </w:tr>
      <w:tr w:rsidR="00FB67F9" w14:paraId="606F8DF4" w14:textId="77777777">
        <w:trPr>
          <w:tblCellSpacing w:w="0" w:type="dxa"/>
        </w:trPr>
        <w:tc>
          <w:tcPr>
            <w:tcW w:w="0" w:type="auto"/>
            <w:shd w:val="clear" w:color="auto" w:fill="auto"/>
          </w:tcPr>
          <w:p w14:paraId="606F8DF2"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DF3"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a favorable change of $68 million related to the difference between actual foreign currency exchange rates and </w:t>
            </w:r>
            <w:r>
              <w:rPr>
                <w:rFonts w:ascii="Arial" w:eastAsia="宋体" w:hAnsi="Arial" w:cs="Arial"/>
                <w:sz w:val="17"/>
                <w:szCs w:val="17"/>
              </w:rPr>
              <w:t>standard foreign currency exchange rates assigned to the NIKE Brand geographic operating segments and Converse, net of hedge gains and losses; these results are reported as a component of consolidated gross margin;</w:t>
            </w:r>
          </w:p>
        </w:tc>
      </w:tr>
    </w:tbl>
    <w:p w14:paraId="606F8DF5"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DF8" w14:textId="77777777">
        <w:trPr>
          <w:tblCellSpacing w:w="0" w:type="dxa"/>
        </w:trPr>
        <w:tc>
          <w:tcPr>
            <w:tcW w:w="480" w:type="dxa"/>
            <w:shd w:val="clear" w:color="auto" w:fill="auto"/>
            <w:vAlign w:val="center"/>
          </w:tcPr>
          <w:p w14:paraId="606F8DF6" w14:textId="77777777" w:rsidR="00FB67F9" w:rsidRDefault="00FB67F9">
            <w:pPr>
              <w:rPr>
                <w:rFonts w:ascii="Times New Roman" w:hAnsi="Times New Roman"/>
                <w:sz w:val="20"/>
                <w:szCs w:val="20"/>
              </w:rPr>
            </w:pPr>
          </w:p>
        </w:tc>
        <w:tc>
          <w:tcPr>
            <w:tcW w:w="0" w:type="auto"/>
            <w:shd w:val="clear" w:color="auto" w:fill="auto"/>
            <w:vAlign w:val="center"/>
          </w:tcPr>
          <w:p w14:paraId="606F8DF7" w14:textId="77777777" w:rsidR="00FB67F9" w:rsidRDefault="00FB67F9">
            <w:pPr>
              <w:rPr>
                <w:rFonts w:ascii="Times New Roman" w:hAnsi="Times New Roman"/>
                <w:sz w:val="20"/>
                <w:szCs w:val="20"/>
              </w:rPr>
            </w:pPr>
          </w:p>
        </w:tc>
      </w:tr>
      <w:tr w:rsidR="00FB67F9" w14:paraId="606F8DFB" w14:textId="77777777">
        <w:trPr>
          <w:tblCellSpacing w:w="0" w:type="dxa"/>
        </w:trPr>
        <w:tc>
          <w:tcPr>
            <w:tcW w:w="0" w:type="auto"/>
            <w:shd w:val="clear" w:color="auto" w:fill="auto"/>
          </w:tcPr>
          <w:p w14:paraId="606F8DF9"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DFA"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an unfavorable change of $54 milli</w:t>
            </w:r>
            <w:r>
              <w:rPr>
                <w:rFonts w:ascii="Arial" w:eastAsia="宋体" w:hAnsi="Arial" w:cs="Arial"/>
                <w:sz w:val="17"/>
                <w:szCs w:val="17"/>
              </w:rPr>
              <w:t>on, primarily due to higher operating overhead expense driven by higher wage-related costs; and</w:t>
            </w:r>
          </w:p>
        </w:tc>
      </w:tr>
    </w:tbl>
    <w:p w14:paraId="606F8DFC"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DFF" w14:textId="77777777">
        <w:trPr>
          <w:tblCellSpacing w:w="0" w:type="dxa"/>
        </w:trPr>
        <w:tc>
          <w:tcPr>
            <w:tcW w:w="480" w:type="dxa"/>
            <w:shd w:val="clear" w:color="auto" w:fill="auto"/>
            <w:vAlign w:val="center"/>
          </w:tcPr>
          <w:p w14:paraId="606F8DFD" w14:textId="77777777" w:rsidR="00FB67F9" w:rsidRDefault="00FB67F9">
            <w:pPr>
              <w:rPr>
                <w:rFonts w:ascii="Times New Roman" w:hAnsi="Times New Roman"/>
                <w:sz w:val="20"/>
                <w:szCs w:val="20"/>
              </w:rPr>
            </w:pPr>
          </w:p>
        </w:tc>
        <w:tc>
          <w:tcPr>
            <w:tcW w:w="0" w:type="auto"/>
            <w:shd w:val="clear" w:color="auto" w:fill="auto"/>
            <w:vAlign w:val="center"/>
          </w:tcPr>
          <w:p w14:paraId="606F8DFE" w14:textId="77777777" w:rsidR="00FB67F9" w:rsidRDefault="00FB67F9">
            <w:pPr>
              <w:rPr>
                <w:rFonts w:ascii="Times New Roman" w:hAnsi="Times New Roman"/>
                <w:sz w:val="20"/>
                <w:szCs w:val="20"/>
              </w:rPr>
            </w:pPr>
          </w:p>
        </w:tc>
      </w:tr>
      <w:tr w:rsidR="00FB67F9" w14:paraId="606F8E02" w14:textId="77777777">
        <w:trPr>
          <w:tblCellSpacing w:w="0" w:type="dxa"/>
        </w:trPr>
        <w:tc>
          <w:tcPr>
            <w:tcW w:w="0" w:type="auto"/>
            <w:shd w:val="clear" w:color="auto" w:fill="auto"/>
          </w:tcPr>
          <w:p w14:paraId="606F8E00"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01"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an unfavorable change in net foreign currency gains and losses of $4 million related to the re-measurement of monetary assets and liabilities denominated in non-functional currencies and the impact of certain foreign currency derivative instruments, report</w:t>
            </w:r>
            <w:r>
              <w:rPr>
                <w:rFonts w:ascii="Arial" w:eastAsia="宋体" w:hAnsi="Arial" w:cs="Arial"/>
                <w:sz w:val="17"/>
                <w:szCs w:val="17"/>
              </w:rPr>
              <w:t xml:space="preserve">ed as a component of consolidated </w:t>
            </w:r>
            <w:r>
              <w:rPr>
                <w:rFonts w:ascii="Arial" w:eastAsia="宋体" w:hAnsi="Arial" w:cs="Arial"/>
                <w:i/>
                <w:iCs/>
                <w:sz w:val="17"/>
                <w:szCs w:val="17"/>
              </w:rPr>
              <w:t>Other (income) expense, net.</w:t>
            </w:r>
          </w:p>
        </w:tc>
      </w:tr>
    </w:tbl>
    <w:p w14:paraId="606F8E03"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FIRST SIX MONTHS OF FISCAL 2020 COMPARED TO FIRST SIX MONTHS OF FISCAL 2019</w:t>
      </w:r>
    </w:p>
    <w:p w14:paraId="606F8E04"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Corporate's loss before interest and taxes increased $12 million for the first six months of fiscal 2020, primarily </w:t>
      </w:r>
      <w:r>
        <w:rPr>
          <w:rFonts w:ascii="Arial" w:eastAsia="宋体" w:hAnsi="Arial" w:cs="Arial"/>
          <w:sz w:val="17"/>
          <w:szCs w:val="17"/>
        </w:rPr>
        <w:t>due to the following:</w:t>
      </w: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E07" w14:textId="77777777">
        <w:trPr>
          <w:tblCellSpacing w:w="0" w:type="dxa"/>
        </w:trPr>
        <w:tc>
          <w:tcPr>
            <w:tcW w:w="480" w:type="dxa"/>
            <w:shd w:val="clear" w:color="auto" w:fill="auto"/>
            <w:vAlign w:val="center"/>
          </w:tcPr>
          <w:p w14:paraId="606F8E05" w14:textId="77777777" w:rsidR="00FB67F9" w:rsidRDefault="00FB67F9">
            <w:pPr>
              <w:rPr>
                <w:rFonts w:ascii="Times New Roman" w:hAnsi="Times New Roman"/>
                <w:sz w:val="20"/>
                <w:szCs w:val="20"/>
              </w:rPr>
            </w:pPr>
          </w:p>
        </w:tc>
        <w:tc>
          <w:tcPr>
            <w:tcW w:w="0" w:type="auto"/>
            <w:shd w:val="clear" w:color="auto" w:fill="auto"/>
            <w:vAlign w:val="center"/>
          </w:tcPr>
          <w:p w14:paraId="606F8E06" w14:textId="77777777" w:rsidR="00FB67F9" w:rsidRDefault="00FB67F9">
            <w:pPr>
              <w:rPr>
                <w:rFonts w:ascii="Times New Roman" w:hAnsi="Times New Roman"/>
                <w:sz w:val="20"/>
                <w:szCs w:val="20"/>
              </w:rPr>
            </w:pPr>
          </w:p>
        </w:tc>
      </w:tr>
      <w:tr w:rsidR="00FB67F9" w14:paraId="606F8E0A" w14:textId="77777777">
        <w:trPr>
          <w:tblCellSpacing w:w="0" w:type="dxa"/>
        </w:trPr>
        <w:tc>
          <w:tcPr>
            <w:tcW w:w="0" w:type="auto"/>
            <w:shd w:val="clear" w:color="auto" w:fill="auto"/>
          </w:tcPr>
          <w:p w14:paraId="606F8E08"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09"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an unfavorable change of $124 million, primarily due to higher operating overhead expense driven by higher wage-related costs;</w:t>
            </w:r>
          </w:p>
        </w:tc>
      </w:tr>
    </w:tbl>
    <w:p w14:paraId="606F8E0B"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E0E" w14:textId="77777777">
        <w:trPr>
          <w:tblCellSpacing w:w="0" w:type="dxa"/>
        </w:trPr>
        <w:tc>
          <w:tcPr>
            <w:tcW w:w="480" w:type="dxa"/>
            <w:shd w:val="clear" w:color="auto" w:fill="auto"/>
            <w:vAlign w:val="center"/>
          </w:tcPr>
          <w:p w14:paraId="606F8E0C" w14:textId="77777777" w:rsidR="00FB67F9" w:rsidRDefault="00FB67F9">
            <w:pPr>
              <w:rPr>
                <w:rFonts w:ascii="Times New Roman" w:hAnsi="Times New Roman"/>
                <w:sz w:val="20"/>
                <w:szCs w:val="20"/>
              </w:rPr>
            </w:pPr>
          </w:p>
        </w:tc>
        <w:tc>
          <w:tcPr>
            <w:tcW w:w="0" w:type="auto"/>
            <w:shd w:val="clear" w:color="auto" w:fill="auto"/>
            <w:vAlign w:val="center"/>
          </w:tcPr>
          <w:p w14:paraId="606F8E0D" w14:textId="77777777" w:rsidR="00FB67F9" w:rsidRDefault="00FB67F9">
            <w:pPr>
              <w:rPr>
                <w:rFonts w:ascii="Times New Roman" w:hAnsi="Times New Roman"/>
                <w:sz w:val="20"/>
                <w:szCs w:val="20"/>
              </w:rPr>
            </w:pPr>
          </w:p>
        </w:tc>
      </w:tr>
      <w:tr w:rsidR="00FB67F9" w14:paraId="606F8E11" w14:textId="77777777">
        <w:trPr>
          <w:tblCellSpacing w:w="0" w:type="dxa"/>
        </w:trPr>
        <w:tc>
          <w:tcPr>
            <w:tcW w:w="0" w:type="auto"/>
            <w:shd w:val="clear" w:color="auto" w:fill="auto"/>
          </w:tcPr>
          <w:p w14:paraId="606F8E0F"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10"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a favorable change in net foreign currency gains and losses of $58 million related to the re-measurement of monetary assets and liabilities denominated in non-functional currencies and the impact of certain foreign currency derivative instruments, reported</w:t>
            </w:r>
            <w:r>
              <w:rPr>
                <w:rFonts w:ascii="Arial" w:eastAsia="宋体" w:hAnsi="Arial" w:cs="Arial"/>
                <w:sz w:val="17"/>
                <w:szCs w:val="17"/>
              </w:rPr>
              <w:t xml:space="preserve"> as a component of consolidated </w:t>
            </w:r>
            <w:r>
              <w:rPr>
                <w:rFonts w:ascii="Arial" w:eastAsia="宋体" w:hAnsi="Arial" w:cs="Arial"/>
                <w:i/>
                <w:iCs/>
                <w:sz w:val="17"/>
                <w:szCs w:val="17"/>
              </w:rPr>
              <w:t xml:space="preserve">Other (income) expense, net; </w:t>
            </w:r>
            <w:r>
              <w:rPr>
                <w:rFonts w:ascii="Arial" w:eastAsia="宋体" w:hAnsi="Arial" w:cs="Arial"/>
                <w:sz w:val="17"/>
                <w:szCs w:val="17"/>
              </w:rPr>
              <w:t>and</w:t>
            </w:r>
          </w:p>
        </w:tc>
      </w:tr>
    </w:tbl>
    <w:p w14:paraId="606F8E12"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E15" w14:textId="77777777">
        <w:trPr>
          <w:tblCellSpacing w:w="0" w:type="dxa"/>
        </w:trPr>
        <w:tc>
          <w:tcPr>
            <w:tcW w:w="480" w:type="dxa"/>
            <w:shd w:val="clear" w:color="auto" w:fill="auto"/>
            <w:vAlign w:val="center"/>
          </w:tcPr>
          <w:p w14:paraId="606F8E13" w14:textId="77777777" w:rsidR="00FB67F9" w:rsidRDefault="00FB67F9">
            <w:pPr>
              <w:rPr>
                <w:rFonts w:ascii="Times New Roman" w:hAnsi="Times New Roman"/>
                <w:sz w:val="20"/>
                <w:szCs w:val="20"/>
              </w:rPr>
            </w:pPr>
          </w:p>
        </w:tc>
        <w:tc>
          <w:tcPr>
            <w:tcW w:w="0" w:type="auto"/>
            <w:shd w:val="clear" w:color="auto" w:fill="auto"/>
            <w:vAlign w:val="center"/>
          </w:tcPr>
          <w:p w14:paraId="606F8E14" w14:textId="77777777" w:rsidR="00FB67F9" w:rsidRDefault="00FB67F9">
            <w:pPr>
              <w:rPr>
                <w:rFonts w:ascii="Times New Roman" w:hAnsi="Times New Roman"/>
                <w:sz w:val="20"/>
                <w:szCs w:val="20"/>
              </w:rPr>
            </w:pPr>
          </w:p>
        </w:tc>
      </w:tr>
      <w:tr w:rsidR="00FB67F9" w14:paraId="606F8E18" w14:textId="77777777">
        <w:trPr>
          <w:tblCellSpacing w:w="0" w:type="dxa"/>
        </w:trPr>
        <w:tc>
          <w:tcPr>
            <w:tcW w:w="0" w:type="auto"/>
            <w:shd w:val="clear" w:color="auto" w:fill="auto"/>
          </w:tcPr>
          <w:p w14:paraId="606F8E16"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17"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a favorable change of $54 million related to the difference between actual foreign currency exchange rates and standard foreign currency exchange rates assigned to the NIKE Brand </w:t>
            </w:r>
            <w:r>
              <w:rPr>
                <w:rFonts w:ascii="Arial" w:eastAsia="宋体" w:hAnsi="Arial" w:cs="Arial"/>
                <w:sz w:val="17"/>
                <w:szCs w:val="17"/>
              </w:rPr>
              <w:t>geographic operating segments and Converse, net of hedge gains and losses; these results are reported as a component of consolidated gross margin.</w:t>
            </w:r>
          </w:p>
        </w:tc>
      </w:tr>
    </w:tbl>
    <w:p w14:paraId="606F8E19"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FOREIGN CURRENCY EXPOSURES AND HEDGING PRACTICES</w:t>
      </w:r>
    </w:p>
    <w:p w14:paraId="606F8E1A"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OVERVIEW</w:t>
      </w:r>
    </w:p>
    <w:p w14:paraId="606F8E1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As a global company with significant </w:t>
      </w:r>
      <w:r>
        <w:rPr>
          <w:rFonts w:ascii="Arial" w:eastAsia="宋体" w:hAnsi="Arial" w:cs="Arial"/>
          <w:sz w:val="17"/>
          <w:szCs w:val="17"/>
        </w:rPr>
        <w:t>operations outside the United States, in the normal course of business we are exposed to risk arising from changes in currency exchange rates. Our primary foreign currency exposures arise from the recording of transactions denominated in non-functional cur</w:t>
      </w:r>
      <w:r>
        <w:rPr>
          <w:rFonts w:ascii="Arial" w:eastAsia="宋体" w:hAnsi="Arial" w:cs="Arial"/>
          <w:sz w:val="17"/>
          <w:szCs w:val="17"/>
        </w:rPr>
        <w:t>rencies and the translation of foreign currency denominated results of operations, financial position and cash flows into U.S. Dollars.</w:t>
      </w:r>
    </w:p>
    <w:p w14:paraId="606F8E1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Our foreign exchange risk management program is intended to lessen both the positive and negative effects of currency fl</w:t>
      </w:r>
      <w:r>
        <w:rPr>
          <w:rFonts w:ascii="Arial" w:eastAsia="宋体" w:hAnsi="Arial" w:cs="Arial"/>
          <w:sz w:val="17"/>
          <w:szCs w:val="17"/>
        </w:rPr>
        <w:t>uctuations on our consolidated results of operations, financial position and cash flows. We manage global foreign exchange risk centrally on a portfolio basis to address those risks material to NIKE, Inc. Our hedging policy is designed to partially or enti</w:t>
      </w:r>
      <w:r>
        <w:rPr>
          <w:rFonts w:ascii="Arial" w:eastAsia="宋体" w:hAnsi="Arial" w:cs="Arial"/>
          <w:sz w:val="17"/>
          <w:szCs w:val="17"/>
        </w:rPr>
        <w:t>rely offset the impact of exchange rate changes on the underlying net exposures being hedged. Where exposures are hedged, our program has the effect of delaying the impact of exchange rate movements on our Unaudited Condensed Consolidated Financial Stateme</w:t>
      </w:r>
      <w:r>
        <w:rPr>
          <w:rFonts w:ascii="Arial" w:eastAsia="宋体" w:hAnsi="Arial" w:cs="Arial"/>
          <w:sz w:val="17"/>
          <w:szCs w:val="17"/>
        </w:rPr>
        <w:t>nts; the length of the delay is dependent upon hedge horizons. We do not hold or issue derivative instruments for trading or speculative purposes. As of and for the six months ended November 30, 2019, there have been no material changes to the Company's he</w:t>
      </w:r>
      <w:r>
        <w:rPr>
          <w:rFonts w:ascii="Arial" w:eastAsia="宋体" w:hAnsi="Arial" w:cs="Arial"/>
          <w:sz w:val="17"/>
          <w:szCs w:val="17"/>
        </w:rPr>
        <w:t xml:space="preserve">dging program or strategy from what was disclosed within the Annual Report on Form 10-K. </w:t>
      </w:r>
    </w:p>
    <w:p w14:paraId="606F8E1D"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Refer to Note 4 — Fair Value Measurements and Note 9 — Risk Management and Derivatives in the accompanying Notes to the Unaudited Condensed Consolidated Financial Sta</w:t>
      </w:r>
      <w:r>
        <w:rPr>
          <w:rFonts w:ascii="Arial" w:eastAsia="宋体" w:hAnsi="Arial" w:cs="Arial"/>
          <w:sz w:val="17"/>
          <w:szCs w:val="17"/>
        </w:rPr>
        <w:t>tements for additional description of outstanding derivatives at each reported period end. For additional information about our Foreign Currency Exposures and Hedging Practices refer to Part II, Item 7. Management's Discussion and Analysis of Financial Con</w:t>
      </w:r>
      <w:r>
        <w:rPr>
          <w:rFonts w:ascii="Arial" w:eastAsia="宋体" w:hAnsi="Arial" w:cs="Arial"/>
          <w:sz w:val="17"/>
          <w:szCs w:val="17"/>
        </w:rPr>
        <w:t>dition and Results of Operations of our Annual Report on Form 10-K for the fiscal year ended May 31, 2019.</w:t>
      </w:r>
    </w:p>
    <w:p w14:paraId="606F8E1E" w14:textId="77777777" w:rsidR="00FB67F9" w:rsidRDefault="00FB67F9">
      <w:pPr>
        <w:rPr>
          <w:rFonts w:ascii="Times New Roman" w:hAnsi="Times New Roman"/>
          <w:sz w:val="20"/>
          <w:szCs w:val="20"/>
        </w:rPr>
      </w:pPr>
    </w:p>
    <w:p w14:paraId="606F8E1F"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39</w:t>
      </w:r>
    </w:p>
    <w:p w14:paraId="606F8E20" w14:textId="77777777" w:rsidR="00FB67F9" w:rsidRDefault="00E839DF">
      <w:r>
        <w:rPr>
          <w:rFonts w:ascii="Times New Roman" w:hAnsi="Times New Roman"/>
          <w:sz w:val="17"/>
          <w:szCs w:val="17"/>
        </w:rPr>
        <w:pict w14:anchorId="606F8FA4">
          <v:rect id="_x0000_i1065" style="width:415.3pt;height:1.5pt" o:hralign="center" o:hrstd="t" o:hr="t" fillcolor="#a0a0a0" stroked="f"/>
        </w:pict>
      </w:r>
    </w:p>
    <w:p w14:paraId="606F8E21" w14:textId="77777777" w:rsidR="00FB67F9" w:rsidRDefault="00FB67F9">
      <w:pPr>
        <w:rPr>
          <w:rFonts w:ascii="Times New Roman" w:hAnsi="Times New Roman"/>
          <w:sz w:val="17"/>
          <w:szCs w:val="17"/>
        </w:rPr>
      </w:pPr>
    </w:p>
    <w:p w14:paraId="606F8E22" w14:textId="77777777" w:rsidR="00FB67F9" w:rsidRDefault="00E839DF">
      <w:pPr>
        <w:rPr>
          <w:rFonts w:ascii="Times New Roman" w:hAnsi="Times New Roman"/>
          <w:sz w:val="17"/>
          <w:szCs w:val="17"/>
        </w:rPr>
      </w:pPr>
      <w:hyperlink r:id="rId109" w:anchor="s42C493F7582652B69E70047AB812E6A5" w:history="1">
        <w:r>
          <w:rPr>
            <w:rStyle w:val="a5"/>
            <w:rFonts w:ascii="sans-serif" w:eastAsia="sans-serif" w:hAnsi="sans-serif" w:cs="sans-serif"/>
            <w:sz w:val="17"/>
            <w:szCs w:val="17"/>
          </w:rPr>
          <w:t>Table of Contents</w:t>
        </w:r>
      </w:hyperlink>
    </w:p>
    <w:p w14:paraId="606F8E23" w14:textId="77777777" w:rsidR="00FB67F9" w:rsidRDefault="00FB67F9">
      <w:pPr>
        <w:rPr>
          <w:rFonts w:ascii="Times New Roman" w:hAnsi="Times New Roman"/>
          <w:sz w:val="17"/>
          <w:szCs w:val="17"/>
        </w:rPr>
      </w:pPr>
    </w:p>
    <w:p w14:paraId="606F8E24" w14:textId="77777777" w:rsidR="00FB67F9" w:rsidRDefault="00FB67F9">
      <w:pPr>
        <w:rPr>
          <w:rFonts w:ascii="Times New Roman" w:hAnsi="Times New Roman"/>
          <w:sz w:val="20"/>
          <w:szCs w:val="20"/>
        </w:rPr>
      </w:pPr>
    </w:p>
    <w:p w14:paraId="606F8E25"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TRANSACTIONAL EXPOSURES</w:t>
      </w:r>
    </w:p>
    <w:p w14:paraId="606F8E2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We conduct business in various currencies and have </w:t>
      </w:r>
      <w:r>
        <w:rPr>
          <w:rFonts w:ascii="Arial" w:eastAsia="宋体" w:hAnsi="Arial" w:cs="Arial"/>
          <w:sz w:val="17"/>
          <w:szCs w:val="17"/>
        </w:rPr>
        <w:t>transactions which subject us to foreign currency risk. Our most significant transactional foreign currency exposures are:</w:t>
      </w: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E29" w14:textId="77777777">
        <w:trPr>
          <w:tblCellSpacing w:w="0" w:type="dxa"/>
        </w:trPr>
        <w:tc>
          <w:tcPr>
            <w:tcW w:w="480" w:type="dxa"/>
            <w:shd w:val="clear" w:color="auto" w:fill="auto"/>
            <w:vAlign w:val="center"/>
          </w:tcPr>
          <w:p w14:paraId="606F8E27" w14:textId="77777777" w:rsidR="00FB67F9" w:rsidRDefault="00FB67F9">
            <w:pPr>
              <w:rPr>
                <w:rFonts w:ascii="Times New Roman" w:hAnsi="Times New Roman"/>
                <w:sz w:val="20"/>
                <w:szCs w:val="20"/>
              </w:rPr>
            </w:pPr>
          </w:p>
        </w:tc>
        <w:tc>
          <w:tcPr>
            <w:tcW w:w="0" w:type="auto"/>
            <w:shd w:val="clear" w:color="auto" w:fill="auto"/>
            <w:vAlign w:val="center"/>
          </w:tcPr>
          <w:p w14:paraId="606F8E28" w14:textId="77777777" w:rsidR="00FB67F9" w:rsidRDefault="00FB67F9">
            <w:pPr>
              <w:rPr>
                <w:rFonts w:ascii="Times New Roman" w:hAnsi="Times New Roman"/>
                <w:sz w:val="20"/>
                <w:szCs w:val="20"/>
              </w:rPr>
            </w:pPr>
          </w:p>
        </w:tc>
      </w:tr>
      <w:tr w:rsidR="00FB67F9" w14:paraId="606F8E2C" w14:textId="77777777">
        <w:trPr>
          <w:tblCellSpacing w:w="0" w:type="dxa"/>
        </w:trPr>
        <w:tc>
          <w:tcPr>
            <w:tcW w:w="0" w:type="auto"/>
            <w:shd w:val="clear" w:color="auto" w:fill="auto"/>
          </w:tcPr>
          <w:p w14:paraId="606F8E2A"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2B"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Product Costs — Product purchases denominated in currencies other than the functional currency of the transacting entity and fac</w:t>
            </w:r>
            <w:r>
              <w:rPr>
                <w:rFonts w:ascii="Arial" w:eastAsia="宋体" w:hAnsi="Arial" w:cs="Arial"/>
                <w:sz w:val="17"/>
                <w:szCs w:val="17"/>
              </w:rPr>
              <w:t>tory input costs from the foreign currency adjustments program with certain factories.</w:t>
            </w:r>
          </w:p>
        </w:tc>
      </w:tr>
    </w:tbl>
    <w:p w14:paraId="606F8E2D"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E30" w14:textId="77777777">
        <w:trPr>
          <w:tblCellSpacing w:w="0" w:type="dxa"/>
        </w:trPr>
        <w:tc>
          <w:tcPr>
            <w:tcW w:w="480" w:type="dxa"/>
            <w:shd w:val="clear" w:color="auto" w:fill="auto"/>
            <w:vAlign w:val="center"/>
          </w:tcPr>
          <w:p w14:paraId="606F8E2E" w14:textId="77777777" w:rsidR="00FB67F9" w:rsidRDefault="00FB67F9">
            <w:pPr>
              <w:rPr>
                <w:rFonts w:ascii="Times New Roman" w:hAnsi="Times New Roman"/>
                <w:sz w:val="20"/>
                <w:szCs w:val="20"/>
              </w:rPr>
            </w:pPr>
          </w:p>
        </w:tc>
        <w:tc>
          <w:tcPr>
            <w:tcW w:w="0" w:type="auto"/>
            <w:shd w:val="clear" w:color="auto" w:fill="auto"/>
            <w:vAlign w:val="center"/>
          </w:tcPr>
          <w:p w14:paraId="606F8E2F" w14:textId="77777777" w:rsidR="00FB67F9" w:rsidRDefault="00FB67F9">
            <w:pPr>
              <w:rPr>
                <w:rFonts w:ascii="Times New Roman" w:hAnsi="Times New Roman"/>
                <w:sz w:val="20"/>
                <w:szCs w:val="20"/>
              </w:rPr>
            </w:pPr>
          </w:p>
        </w:tc>
      </w:tr>
      <w:tr w:rsidR="00FB67F9" w14:paraId="606F8E33" w14:textId="77777777">
        <w:trPr>
          <w:tblCellSpacing w:w="0" w:type="dxa"/>
        </w:trPr>
        <w:tc>
          <w:tcPr>
            <w:tcW w:w="0" w:type="auto"/>
            <w:shd w:val="clear" w:color="auto" w:fill="auto"/>
          </w:tcPr>
          <w:p w14:paraId="606F8E31"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32"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Non-Functional Currency Denominated External Sales — A portion of our NIKE Brand and Converse revenues associated with European operations are earned in </w:t>
            </w:r>
            <w:r>
              <w:rPr>
                <w:rFonts w:ascii="Arial" w:eastAsia="宋体" w:hAnsi="Arial" w:cs="Arial"/>
                <w:sz w:val="17"/>
                <w:szCs w:val="17"/>
              </w:rPr>
              <w:t>currencies other than the Euro (e.g., the British Pound) but are recognized at a subsidiary that uses the Euro as its functional currency. These sales generate a foreign currency exposure.</w:t>
            </w:r>
          </w:p>
        </w:tc>
      </w:tr>
    </w:tbl>
    <w:p w14:paraId="606F8E34"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E37" w14:textId="77777777">
        <w:trPr>
          <w:tblCellSpacing w:w="0" w:type="dxa"/>
        </w:trPr>
        <w:tc>
          <w:tcPr>
            <w:tcW w:w="480" w:type="dxa"/>
            <w:shd w:val="clear" w:color="auto" w:fill="auto"/>
            <w:vAlign w:val="center"/>
          </w:tcPr>
          <w:p w14:paraId="606F8E35" w14:textId="77777777" w:rsidR="00FB67F9" w:rsidRDefault="00FB67F9">
            <w:pPr>
              <w:rPr>
                <w:rFonts w:ascii="Times New Roman" w:hAnsi="Times New Roman"/>
                <w:sz w:val="20"/>
                <w:szCs w:val="20"/>
              </w:rPr>
            </w:pPr>
          </w:p>
        </w:tc>
        <w:tc>
          <w:tcPr>
            <w:tcW w:w="0" w:type="auto"/>
            <w:shd w:val="clear" w:color="auto" w:fill="auto"/>
            <w:vAlign w:val="center"/>
          </w:tcPr>
          <w:p w14:paraId="606F8E36" w14:textId="77777777" w:rsidR="00FB67F9" w:rsidRDefault="00FB67F9">
            <w:pPr>
              <w:rPr>
                <w:rFonts w:ascii="Times New Roman" w:hAnsi="Times New Roman"/>
                <w:sz w:val="20"/>
                <w:szCs w:val="20"/>
              </w:rPr>
            </w:pPr>
          </w:p>
        </w:tc>
      </w:tr>
      <w:tr w:rsidR="00FB67F9" w14:paraId="606F8E3A" w14:textId="77777777">
        <w:trPr>
          <w:tblCellSpacing w:w="0" w:type="dxa"/>
        </w:trPr>
        <w:tc>
          <w:tcPr>
            <w:tcW w:w="0" w:type="auto"/>
            <w:shd w:val="clear" w:color="auto" w:fill="auto"/>
          </w:tcPr>
          <w:p w14:paraId="606F8E38"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39"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 xml:space="preserve">Other Costs — Non-functional currency denominated costs, such as endorsement contracts, also generate foreign currency risk, though to a lesser extent. </w:t>
            </w:r>
          </w:p>
        </w:tc>
      </w:tr>
    </w:tbl>
    <w:p w14:paraId="606F8E3B" w14:textId="77777777" w:rsidR="00FB67F9" w:rsidRDefault="00FB67F9">
      <w:pPr>
        <w:rPr>
          <w:vanish/>
        </w:rPr>
      </w:pPr>
    </w:p>
    <w:tbl>
      <w:tblPr>
        <w:tblW w:w="0" w:type="auto"/>
        <w:tblCellSpacing w:w="0" w:type="dxa"/>
        <w:tblCellMar>
          <w:top w:w="80" w:type="dxa"/>
          <w:left w:w="0" w:type="dxa"/>
          <w:bottom w:w="80" w:type="dxa"/>
          <w:right w:w="0" w:type="dxa"/>
        </w:tblCellMar>
        <w:tblLook w:val="04A0" w:firstRow="1" w:lastRow="0" w:firstColumn="1" w:lastColumn="0" w:noHBand="0" w:noVBand="1"/>
      </w:tblPr>
      <w:tblGrid>
        <w:gridCol w:w="480"/>
        <w:gridCol w:w="7826"/>
      </w:tblGrid>
      <w:tr w:rsidR="00FB67F9" w14:paraId="606F8E3E" w14:textId="77777777">
        <w:trPr>
          <w:tblCellSpacing w:w="0" w:type="dxa"/>
        </w:trPr>
        <w:tc>
          <w:tcPr>
            <w:tcW w:w="480" w:type="dxa"/>
            <w:shd w:val="clear" w:color="auto" w:fill="auto"/>
            <w:vAlign w:val="center"/>
          </w:tcPr>
          <w:p w14:paraId="606F8E3C" w14:textId="77777777" w:rsidR="00FB67F9" w:rsidRDefault="00FB67F9">
            <w:pPr>
              <w:rPr>
                <w:rFonts w:ascii="Times New Roman" w:hAnsi="Times New Roman"/>
                <w:sz w:val="20"/>
                <w:szCs w:val="20"/>
              </w:rPr>
            </w:pPr>
          </w:p>
        </w:tc>
        <w:tc>
          <w:tcPr>
            <w:tcW w:w="0" w:type="auto"/>
            <w:shd w:val="clear" w:color="auto" w:fill="auto"/>
            <w:vAlign w:val="center"/>
          </w:tcPr>
          <w:p w14:paraId="606F8E3D" w14:textId="77777777" w:rsidR="00FB67F9" w:rsidRDefault="00FB67F9">
            <w:pPr>
              <w:rPr>
                <w:rFonts w:ascii="Times New Roman" w:hAnsi="Times New Roman"/>
                <w:sz w:val="20"/>
                <w:szCs w:val="20"/>
              </w:rPr>
            </w:pPr>
          </w:p>
        </w:tc>
      </w:tr>
      <w:tr w:rsidR="00FB67F9" w14:paraId="606F8E41" w14:textId="77777777">
        <w:trPr>
          <w:tblCellSpacing w:w="0" w:type="dxa"/>
        </w:trPr>
        <w:tc>
          <w:tcPr>
            <w:tcW w:w="0" w:type="auto"/>
            <w:shd w:val="clear" w:color="auto" w:fill="auto"/>
          </w:tcPr>
          <w:p w14:paraId="606F8E3F" w14:textId="77777777" w:rsidR="00FB67F9" w:rsidRDefault="00E839DF">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606F8E40" w14:textId="77777777" w:rsidR="00FB67F9" w:rsidRDefault="00E839DF">
            <w:pPr>
              <w:spacing w:line="312" w:lineRule="auto"/>
              <w:textAlignment w:val="top"/>
              <w:rPr>
                <w:rFonts w:ascii="Times New Roman" w:hAnsi="Times New Roman"/>
                <w:sz w:val="17"/>
                <w:szCs w:val="17"/>
              </w:rPr>
            </w:pPr>
            <w:r>
              <w:rPr>
                <w:rFonts w:ascii="Arial" w:eastAsia="宋体" w:hAnsi="Arial" w:cs="Arial"/>
                <w:sz w:val="17"/>
                <w:szCs w:val="17"/>
              </w:rPr>
              <w:t>Non-Functional Currency Denominated Monetary Assets and Liabilities — Our global subsidiaries ha</w:t>
            </w:r>
            <w:r>
              <w:rPr>
                <w:rFonts w:ascii="Arial" w:eastAsia="宋体" w:hAnsi="Arial" w:cs="Arial"/>
                <w:sz w:val="17"/>
                <w:szCs w:val="17"/>
              </w:rPr>
              <w:t>ve various assets and liabilities, primarily receivables and payables, including intercompany receivables and payables, denominated in currencies other than their functional currencies. These balance sheet items are subject to re-measurement which may crea</w:t>
            </w:r>
            <w:r>
              <w:rPr>
                <w:rFonts w:ascii="Arial" w:eastAsia="宋体" w:hAnsi="Arial" w:cs="Arial"/>
                <w:sz w:val="17"/>
                <w:szCs w:val="17"/>
              </w:rPr>
              <w:t xml:space="preserve">te fluctuations in </w:t>
            </w:r>
            <w:r>
              <w:rPr>
                <w:rFonts w:ascii="Arial" w:eastAsia="宋体" w:hAnsi="Arial" w:cs="Arial"/>
                <w:i/>
                <w:iCs/>
                <w:sz w:val="17"/>
                <w:szCs w:val="17"/>
              </w:rPr>
              <w:t>Other (income) expense, net</w:t>
            </w:r>
            <w:r>
              <w:rPr>
                <w:rFonts w:ascii="Arial" w:eastAsia="宋体" w:hAnsi="Arial" w:cs="Arial"/>
                <w:sz w:val="17"/>
                <w:szCs w:val="17"/>
              </w:rPr>
              <w:t xml:space="preserve"> within our consolidated results of operations.</w:t>
            </w:r>
          </w:p>
        </w:tc>
      </w:tr>
    </w:tbl>
    <w:p w14:paraId="606F8E42"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MANAGING TRANSACTIONAL EXPOSURES</w:t>
      </w:r>
    </w:p>
    <w:p w14:paraId="606F8E43"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Transactional exposures are managed on a portfolio basis within our foreign currency risk management program. We manage these ex</w:t>
      </w:r>
      <w:r>
        <w:rPr>
          <w:rFonts w:ascii="Arial" w:eastAsia="宋体" w:hAnsi="Arial" w:cs="Arial"/>
          <w:sz w:val="17"/>
          <w:szCs w:val="17"/>
        </w:rPr>
        <w:t>posures by taking advantage of natural offsets and currency correlations that exist within the portfolio and may also elect to use currency forward and option contracts to hedge the remaining effect of exchange rate fluctuations on probable forecasted futu</w:t>
      </w:r>
      <w:r>
        <w:rPr>
          <w:rFonts w:ascii="Arial" w:eastAsia="宋体" w:hAnsi="Arial" w:cs="Arial"/>
          <w:sz w:val="17"/>
          <w:szCs w:val="17"/>
        </w:rPr>
        <w:t xml:space="preserve">re cash flows, including certain product cost exposures, non-functional currency denominated external sales and other costs described above. </w:t>
      </w:r>
    </w:p>
    <w:p w14:paraId="606F8E44"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Certain currency forward contracts used to manage the foreign exchange exposure of non-functional currency denomin</w:t>
      </w:r>
      <w:r>
        <w:rPr>
          <w:rFonts w:ascii="Arial" w:eastAsia="宋体" w:hAnsi="Arial" w:cs="Arial"/>
          <w:sz w:val="17"/>
          <w:szCs w:val="17"/>
        </w:rPr>
        <w:t xml:space="preserve">ated monetary assets and liabilities subject to re-measurement and embedded derivative contracts are not formally designated as hedging instruments and are recognized in </w:t>
      </w:r>
      <w:r>
        <w:rPr>
          <w:rFonts w:ascii="Arial" w:eastAsia="宋体" w:hAnsi="Arial" w:cs="Arial"/>
          <w:i/>
          <w:iCs/>
          <w:sz w:val="17"/>
          <w:szCs w:val="17"/>
        </w:rPr>
        <w:t>Other (income) expense, net</w:t>
      </w:r>
      <w:r>
        <w:rPr>
          <w:rFonts w:ascii="Arial" w:eastAsia="宋体" w:hAnsi="Arial" w:cs="Arial"/>
          <w:sz w:val="17"/>
          <w:szCs w:val="17"/>
        </w:rPr>
        <w:t xml:space="preserve">. </w:t>
      </w:r>
    </w:p>
    <w:p w14:paraId="606F8E45"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TRANSLATIONAL EXPOSURES</w:t>
      </w:r>
    </w:p>
    <w:p w14:paraId="606F8E4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Many of our foreign subsidiaries operate in functional currencies other than the U.S. Dollar. Fluctuations in currency exchange rates create volatility in our reported results as we are required to translate the balance sheets, operational results and cash</w:t>
      </w:r>
      <w:r>
        <w:rPr>
          <w:rFonts w:ascii="Arial" w:eastAsia="宋体" w:hAnsi="Arial" w:cs="Arial"/>
          <w:sz w:val="17"/>
          <w:szCs w:val="17"/>
        </w:rPr>
        <w:t xml:space="preserve"> flows of these subsidiaries into U.S. Dollars for consolidated reporting. The translation of foreign subsidiaries' non-U.S. Dollar denominated balance sheets into U.S. Dollars for consolidated reporting results in a cumulative translation adjustment to </w:t>
      </w:r>
      <w:r>
        <w:rPr>
          <w:rFonts w:ascii="Arial" w:eastAsia="宋体" w:hAnsi="Arial" w:cs="Arial"/>
          <w:i/>
          <w:iCs/>
          <w:sz w:val="17"/>
          <w:szCs w:val="17"/>
        </w:rPr>
        <w:t>Ac</w:t>
      </w:r>
      <w:r>
        <w:rPr>
          <w:rFonts w:ascii="Arial" w:eastAsia="宋体" w:hAnsi="Arial" w:cs="Arial"/>
          <w:i/>
          <w:iCs/>
          <w:sz w:val="17"/>
          <w:szCs w:val="17"/>
        </w:rPr>
        <w:t>cumulated other comprehensive income (loss)</w:t>
      </w:r>
      <w:r>
        <w:rPr>
          <w:rFonts w:ascii="Arial" w:eastAsia="宋体" w:hAnsi="Arial" w:cs="Arial"/>
          <w:sz w:val="17"/>
          <w:szCs w:val="17"/>
        </w:rPr>
        <w:t xml:space="preserve"> within </w:t>
      </w:r>
      <w:r>
        <w:rPr>
          <w:rFonts w:ascii="Arial" w:eastAsia="宋体" w:hAnsi="Arial" w:cs="Arial"/>
          <w:i/>
          <w:iCs/>
          <w:sz w:val="17"/>
          <w:szCs w:val="17"/>
        </w:rPr>
        <w:t>Shareholders' equity</w:t>
      </w:r>
      <w:r>
        <w:rPr>
          <w:rFonts w:ascii="Arial" w:eastAsia="宋体" w:hAnsi="Arial" w:cs="Arial"/>
          <w:sz w:val="17"/>
          <w:szCs w:val="17"/>
        </w:rPr>
        <w:t xml:space="preserve">. The impact of foreign exchange rate fluctuations on the translation of our consolidated </w:t>
      </w:r>
      <w:r>
        <w:rPr>
          <w:rFonts w:ascii="Arial" w:eastAsia="宋体" w:hAnsi="Arial" w:cs="Arial"/>
          <w:i/>
          <w:iCs/>
          <w:sz w:val="17"/>
          <w:szCs w:val="17"/>
        </w:rPr>
        <w:t>Revenues</w:t>
      </w:r>
      <w:r>
        <w:rPr>
          <w:rFonts w:ascii="Arial" w:eastAsia="宋体" w:hAnsi="Arial" w:cs="Arial"/>
          <w:sz w:val="17"/>
          <w:szCs w:val="17"/>
        </w:rPr>
        <w:t xml:space="preserve"> was a detriment of approximately $233 million and $546 million for the three and six m</w:t>
      </w:r>
      <w:r>
        <w:rPr>
          <w:rFonts w:ascii="Arial" w:eastAsia="宋体" w:hAnsi="Arial" w:cs="Arial"/>
          <w:sz w:val="17"/>
          <w:szCs w:val="17"/>
        </w:rPr>
        <w:t>onths ended November 30, 2019, respectively, and a detriment of approximately $347 million and $318 million for the three and six months ended November 30, 2018, respectively. The impact of foreign exchange rate fluctuations on the translation of our</w:t>
      </w:r>
      <w:r>
        <w:rPr>
          <w:rFonts w:ascii="Arial" w:eastAsia="宋体" w:hAnsi="Arial" w:cs="Arial"/>
          <w:i/>
          <w:iCs/>
          <w:sz w:val="17"/>
          <w:szCs w:val="17"/>
        </w:rPr>
        <w:t xml:space="preserve"> Incom</w:t>
      </w:r>
      <w:r>
        <w:rPr>
          <w:rFonts w:ascii="Arial" w:eastAsia="宋体" w:hAnsi="Arial" w:cs="Arial"/>
          <w:i/>
          <w:iCs/>
          <w:sz w:val="17"/>
          <w:szCs w:val="17"/>
        </w:rPr>
        <w:t>e before income taxes</w:t>
      </w:r>
      <w:r>
        <w:rPr>
          <w:rFonts w:ascii="Arial" w:eastAsia="宋体" w:hAnsi="Arial" w:cs="Arial"/>
          <w:sz w:val="17"/>
          <w:szCs w:val="17"/>
        </w:rPr>
        <w:t xml:space="preserve"> was a detriment of approximately $66 million and $152 million for the three and six months ended November 30, 2019, respectively, and a detriment of approximately $73 million and $43 million for the three and six months ended November</w:t>
      </w:r>
      <w:r>
        <w:rPr>
          <w:rFonts w:ascii="Arial" w:eastAsia="宋体" w:hAnsi="Arial" w:cs="Arial"/>
          <w:sz w:val="17"/>
          <w:szCs w:val="17"/>
        </w:rPr>
        <w:t xml:space="preserve"> 30, 2018, respectively.</w:t>
      </w:r>
    </w:p>
    <w:p w14:paraId="606F8E4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Management generally identifies hyper-inflationary markets as those markets whose cumulative inflation rate over a three-year period exceeds 100%. Management has concluded our Argentina subsidiary within our APLA operating segment </w:t>
      </w:r>
      <w:r>
        <w:rPr>
          <w:rFonts w:ascii="Arial" w:eastAsia="宋体" w:hAnsi="Arial" w:cs="Arial"/>
          <w:sz w:val="17"/>
          <w:szCs w:val="17"/>
        </w:rPr>
        <w:t>is operating in a hyper-inflationary market. As a result, beginning in the second quarter of fiscal 2019, the functional currency of our Argentina subsidiary changed from the local currency to the U.S. Dollar. As of and for the six months ended November 30</w:t>
      </w:r>
      <w:r>
        <w:rPr>
          <w:rFonts w:ascii="Arial" w:eastAsia="宋体" w:hAnsi="Arial" w:cs="Arial"/>
          <w:sz w:val="17"/>
          <w:szCs w:val="17"/>
        </w:rPr>
        <w:t>, 2019, this change did not have a material impact on our results of operations or financial condition and we do not anticipate it will have a material impact in future periods based on current rates.</w:t>
      </w:r>
    </w:p>
    <w:p w14:paraId="606F8E48" w14:textId="77777777" w:rsidR="00FB67F9" w:rsidRDefault="00E839DF">
      <w:pPr>
        <w:rPr>
          <w:rFonts w:ascii="Times New Roman" w:hAnsi="Times New Roman"/>
          <w:sz w:val="22"/>
          <w:szCs w:val="22"/>
        </w:rPr>
      </w:pPr>
      <w:r>
        <w:rPr>
          <w:rFonts w:ascii="sans-serif" w:eastAsia="sans-serif" w:hAnsi="sans-serif" w:cs="sans-serif"/>
          <w:b/>
          <w:bCs/>
          <w:color w:val="808080"/>
          <w:sz w:val="22"/>
          <w:szCs w:val="22"/>
        </w:rPr>
        <w:t>MANAGING TRANSLATIONAL EXPOSURES</w:t>
      </w:r>
    </w:p>
    <w:p w14:paraId="606F8E4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To minimize the impact</w:t>
      </w:r>
      <w:r>
        <w:rPr>
          <w:rFonts w:ascii="Arial" w:eastAsia="宋体" w:hAnsi="Arial" w:cs="Arial"/>
          <w:sz w:val="17"/>
          <w:szCs w:val="17"/>
        </w:rPr>
        <w:t xml:space="preserve"> of translating foreign currency denominated revenues and expenses into U.S. Dollars for consolidated reporting, certain foreign subsidiaries use excess cash to purchase U.S. Dollar denominated available-for-sale investments. The variable future cash flows</w:t>
      </w:r>
      <w:r>
        <w:rPr>
          <w:rFonts w:ascii="Arial" w:eastAsia="宋体" w:hAnsi="Arial" w:cs="Arial"/>
          <w:sz w:val="17"/>
          <w:szCs w:val="17"/>
        </w:rPr>
        <w:t xml:space="preserve"> associated with the purchase and subsequent sale of these U.S. Dollar denominated investments at non-U.S. Dollar functional currency subsidiaries creates a foreign currency exposure that qualifies for hedge accounting under U.S. GAAP. We utilize forward c</w:t>
      </w:r>
      <w:r>
        <w:rPr>
          <w:rFonts w:ascii="Arial" w:eastAsia="宋体" w:hAnsi="Arial" w:cs="Arial"/>
          <w:sz w:val="17"/>
          <w:szCs w:val="17"/>
        </w:rPr>
        <w:t>ontracts and/or options to mitigate the variability of the forecasted future purchases and sales of these U.S. Dollar investments. The combination of the purchase and sale of the U.S. Dollar investment and the hedging instrument has the effect of partially</w:t>
      </w:r>
      <w:r>
        <w:rPr>
          <w:rFonts w:ascii="Arial" w:eastAsia="宋体" w:hAnsi="Arial" w:cs="Arial"/>
          <w:sz w:val="17"/>
          <w:szCs w:val="17"/>
        </w:rPr>
        <w:t xml:space="preserve"> offsetting the year-over-year foreign currency translation impact on net earnings in the period the investments are sold. Hedges of the purchase of U.S. Dollar denominated available-for-sale investments are accounted for as cash flow hedges. </w:t>
      </w:r>
    </w:p>
    <w:p w14:paraId="606F8E4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We estimate </w:t>
      </w:r>
      <w:r>
        <w:rPr>
          <w:rFonts w:ascii="Arial" w:eastAsia="宋体" w:hAnsi="Arial" w:cs="Arial"/>
          <w:sz w:val="17"/>
          <w:szCs w:val="17"/>
        </w:rPr>
        <w:t xml:space="preserve">the combination of translation of foreign currency-denominated profits from our international businesses and the year-over-year change in foreign currency related gains and losses included in </w:t>
      </w:r>
      <w:r>
        <w:rPr>
          <w:rFonts w:ascii="Arial" w:eastAsia="宋体" w:hAnsi="Arial" w:cs="Arial"/>
          <w:i/>
          <w:iCs/>
          <w:sz w:val="17"/>
          <w:szCs w:val="17"/>
        </w:rPr>
        <w:t>Other (income) expense, net</w:t>
      </w:r>
      <w:r>
        <w:rPr>
          <w:rFonts w:ascii="Arial" w:eastAsia="宋体" w:hAnsi="Arial" w:cs="Arial"/>
          <w:sz w:val="17"/>
          <w:szCs w:val="17"/>
        </w:rPr>
        <w:t xml:space="preserve"> had an unfavorable </w:t>
      </w:r>
    </w:p>
    <w:p w14:paraId="606F8E4B" w14:textId="77777777" w:rsidR="00FB67F9" w:rsidRDefault="00FB67F9">
      <w:pPr>
        <w:rPr>
          <w:rFonts w:ascii="Times New Roman" w:hAnsi="Times New Roman"/>
          <w:sz w:val="20"/>
          <w:szCs w:val="20"/>
        </w:rPr>
      </w:pPr>
    </w:p>
    <w:p w14:paraId="606F8E4C"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40</w:t>
      </w:r>
      <w:r>
        <w:rPr>
          <w:rFonts w:ascii="sans-serif" w:eastAsia="sans-serif" w:hAnsi="sans-serif" w:cs="sans-serif"/>
          <w:sz w:val="17"/>
          <w:szCs w:val="17"/>
        </w:rPr>
        <w:t xml:space="preserve"> </w:t>
      </w:r>
    </w:p>
    <w:p w14:paraId="606F8E4D" w14:textId="77777777" w:rsidR="00FB67F9" w:rsidRDefault="00E839DF">
      <w:r>
        <w:rPr>
          <w:rFonts w:ascii="Times New Roman" w:hAnsi="Times New Roman"/>
          <w:sz w:val="17"/>
          <w:szCs w:val="17"/>
        </w:rPr>
        <w:pict w14:anchorId="606F8FA5">
          <v:rect id="_x0000_i1066" style="width:415.3pt;height:1.5pt" o:hralign="center" o:hrstd="t" o:hr="t" fillcolor="#a0a0a0" stroked="f"/>
        </w:pict>
      </w:r>
    </w:p>
    <w:p w14:paraId="606F8E4E" w14:textId="77777777" w:rsidR="00FB67F9" w:rsidRDefault="00FB67F9">
      <w:pPr>
        <w:rPr>
          <w:rFonts w:ascii="Times New Roman" w:hAnsi="Times New Roman"/>
          <w:sz w:val="17"/>
          <w:szCs w:val="17"/>
        </w:rPr>
      </w:pPr>
    </w:p>
    <w:p w14:paraId="606F8E4F" w14:textId="77777777" w:rsidR="00FB67F9" w:rsidRDefault="00E839DF">
      <w:pPr>
        <w:rPr>
          <w:rFonts w:ascii="Times New Roman" w:hAnsi="Times New Roman"/>
          <w:sz w:val="17"/>
          <w:szCs w:val="17"/>
        </w:rPr>
      </w:pPr>
      <w:hyperlink r:id="rId110" w:anchor="s42C493F7582652B69E70047AB812E6A5" w:history="1">
        <w:r>
          <w:rPr>
            <w:rStyle w:val="a5"/>
            <w:rFonts w:ascii="sans-serif" w:eastAsia="sans-serif" w:hAnsi="sans-serif" w:cs="sans-serif"/>
            <w:sz w:val="17"/>
            <w:szCs w:val="17"/>
          </w:rPr>
          <w:t>Table of Contents</w:t>
        </w:r>
      </w:hyperlink>
    </w:p>
    <w:p w14:paraId="606F8E50" w14:textId="77777777" w:rsidR="00FB67F9" w:rsidRDefault="00FB67F9">
      <w:pPr>
        <w:rPr>
          <w:rFonts w:ascii="Times New Roman" w:hAnsi="Times New Roman"/>
          <w:sz w:val="17"/>
          <w:szCs w:val="17"/>
        </w:rPr>
      </w:pPr>
    </w:p>
    <w:p w14:paraId="606F8E51" w14:textId="77777777" w:rsidR="00FB67F9" w:rsidRDefault="00FB67F9">
      <w:pPr>
        <w:rPr>
          <w:rFonts w:ascii="Times New Roman" w:hAnsi="Times New Roman"/>
          <w:sz w:val="20"/>
          <w:szCs w:val="20"/>
        </w:rPr>
      </w:pPr>
    </w:p>
    <w:p w14:paraId="606F8E52"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impact of approximately $77 million and $92 million on our </w:t>
      </w:r>
      <w:r>
        <w:rPr>
          <w:rFonts w:ascii="Arial" w:eastAsia="宋体" w:hAnsi="Arial" w:cs="Arial"/>
          <w:i/>
          <w:iCs/>
          <w:sz w:val="17"/>
          <w:szCs w:val="17"/>
        </w:rPr>
        <w:t>Income before income tax</w:t>
      </w:r>
      <w:r>
        <w:rPr>
          <w:rFonts w:ascii="Arial" w:eastAsia="宋体" w:hAnsi="Arial" w:cs="Arial"/>
          <w:i/>
          <w:iCs/>
          <w:sz w:val="17"/>
          <w:szCs w:val="17"/>
        </w:rPr>
        <w:t>es</w:t>
      </w:r>
      <w:r>
        <w:rPr>
          <w:rFonts w:ascii="Arial" w:eastAsia="宋体" w:hAnsi="Arial" w:cs="Arial"/>
          <w:sz w:val="17"/>
          <w:szCs w:val="17"/>
        </w:rPr>
        <w:t xml:space="preserve"> for the three and six months ended November 30, 2019, respectively.</w:t>
      </w:r>
    </w:p>
    <w:p w14:paraId="606F8E53"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LIQUIDITY AND CAPITAL RESOURCES</w:t>
      </w:r>
    </w:p>
    <w:p w14:paraId="606F8E54"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CASH FLOW ACTIVITY</w:t>
      </w:r>
    </w:p>
    <w:p w14:paraId="606F8E55"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Cash provided (used) by operations</w:t>
      </w:r>
      <w:r>
        <w:rPr>
          <w:rFonts w:ascii="Arial" w:eastAsia="宋体" w:hAnsi="Arial" w:cs="Arial"/>
          <w:sz w:val="17"/>
          <w:szCs w:val="17"/>
        </w:rPr>
        <w:t xml:space="preserve"> was an inflow of $1,306 million for the first six months of fiscal 2020, compared to $2,825 million</w:t>
      </w:r>
      <w:r>
        <w:rPr>
          <w:rFonts w:ascii="Arial" w:eastAsia="宋体" w:hAnsi="Arial" w:cs="Arial"/>
          <w:sz w:val="17"/>
          <w:szCs w:val="17"/>
        </w:rPr>
        <w:t xml:space="preserve"> for the first six months of fiscal 2019. </w:t>
      </w:r>
      <w:r>
        <w:rPr>
          <w:rFonts w:ascii="Arial" w:eastAsia="宋体" w:hAnsi="Arial" w:cs="Arial"/>
          <w:i/>
          <w:iCs/>
          <w:sz w:val="17"/>
          <w:szCs w:val="17"/>
        </w:rPr>
        <w:t>Net income</w:t>
      </w:r>
      <w:r>
        <w:rPr>
          <w:rFonts w:ascii="Arial" w:eastAsia="宋体" w:hAnsi="Arial" w:cs="Arial"/>
          <w:sz w:val="17"/>
          <w:szCs w:val="17"/>
        </w:rPr>
        <w:t>, adjusted for non-cash items, generated $2,906 million of operating cash inflow for the first six months of fiscal 2020, compared to $2,652 million for the first six months of fiscal 2019. The net change</w:t>
      </w:r>
      <w:r>
        <w:rPr>
          <w:rFonts w:ascii="Arial" w:eastAsia="宋体" w:hAnsi="Arial" w:cs="Arial"/>
          <w:sz w:val="17"/>
          <w:szCs w:val="17"/>
        </w:rPr>
        <w:t xml:space="preserve"> in working capital and other assets and liabilities resulted in a decrease to </w:t>
      </w:r>
      <w:r>
        <w:rPr>
          <w:rFonts w:ascii="Arial" w:eastAsia="宋体" w:hAnsi="Arial" w:cs="Arial"/>
          <w:i/>
          <w:iCs/>
          <w:sz w:val="17"/>
          <w:szCs w:val="17"/>
        </w:rPr>
        <w:t xml:space="preserve">Cash provided (used) by operations </w:t>
      </w:r>
      <w:r>
        <w:rPr>
          <w:rFonts w:ascii="Arial" w:eastAsia="宋体" w:hAnsi="Arial" w:cs="Arial"/>
          <w:sz w:val="17"/>
          <w:szCs w:val="17"/>
        </w:rPr>
        <w:t>of $1,600 million for the first six months of fiscal 2020 compared to an increase of $173 million for the first six months of fiscal 2019. The</w:t>
      </w:r>
      <w:r>
        <w:rPr>
          <w:rFonts w:ascii="Arial" w:eastAsia="宋体" w:hAnsi="Arial" w:cs="Arial"/>
          <w:sz w:val="17"/>
          <w:szCs w:val="17"/>
        </w:rPr>
        <w:t xml:space="preserve"> net change in working capital was partially impacted by the net change in cash collateral with derivative counterparties as a result of hedging transactions. During the first six months of fiscal 2020, cash collateral received from counterparties decrease</w:t>
      </w:r>
      <w:r>
        <w:rPr>
          <w:rFonts w:ascii="Arial" w:eastAsia="宋体" w:hAnsi="Arial" w:cs="Arial"/>
          <w:sz w:val="17"/>
          <w:szCs w:val="17"/>
        </w:rPr>
        <w:t>d $167 million as compared to an increase of $236 million during the first six months of fiscal 2019. Refer to the Credit Risk section of Note 9 — Risk Management and Derivatives in the accompanying Notes to the Unaudited Condensed Consolidated Financial S</w:t>
      </w:r>
      <w:r>
        <w:rPr>
          <w:rFonts w:ascii="Arial" w:eastAsia="宋体" w:hAnsi="Arial" w:cs="Arial"/>
          <w:sz w:val="17"/>
          <w:szCs w:val="17"/>
        </w:rPr>
        <w:t xml:space="preserve">tatements for additional details. The net change in working capital was also impacted by increases in </w:t>
      </w:r>
      <w:r>
        <w:rPr>
          <w:rFonts w:ascii="Arial" w:eastAsia="宋体" w:hAnsi="Arial" w:cs="Arial"/>
          <w:i/>
          <w:iCs/>
          <w:sz w:val="17"/>
          <w:szCs w:val="17"/>
        </w:rPr>
        <w:t>Inventory</w:t>
      </w:r>
      <w:r>
        <w:rPr>
          <w:rFonts w:ascii="Arial" w:eastAsia="宋体" w:hAnsi="Arial" w:cs="Arial"/>
          <w:sz w:val="17"/>
          <w:szCs w:val="17"/>
        </w:rPr>
        <w:t xml:space="preserve"> and </w:t>
      </w:r>
      <w:r>
        <w:rPr>
          <w:rFonts w:ascii="Arial" w:eastAsia="宋体" w:hAnsi="Arial" w:cs="Arial"/>
          <w:i/>
          <w:iCs/>
          <w:sz w:val="17"/>
          <w:szCs w:val="17"/>
        </w:rPr>
        <w:t xml:space="preserve">Accounts receivable, net </w:t>
      </w:r>
      <w:r>
        <w:rPr>
          <w:rFonts w:ascii="Arial" w:eastAsia="宋体" w:hAnsi="Arial" w:cs="Arial"/>
          <w:sz w:val="17"/>
          <w:szCs w:val="17"/>
        </w:rPr>
        <w:t xml:space="preserve">due to business growth, which decreased </w:t>
      </w:r>
      <w:r>
        <w:rPr>
          <w:rFonts w:ascii="Arial" w:eastAsia="宋体" w:hAnsi="Arial" w:cs="Arial"/>
          <w:i/>
          <w:iCs/>
          <w:sz w:val="17"/>
          <w:szCs w:val="17"/>
        </w:rPr>
        <w:t>Cash provided (used) by operations</w:t>
      </w:r>
      <w:r>
        <w:rPr>
          <w:rFonts w:ascii="Arial" w:eastAsia="宋体" w:hAnsi="Arial" w:cs="Arial"/>
          <w:sz w:val="17"/>
          <w:szCs w:val="17"/>
        </w:rPr>
        <w:t xml:space="preserve"> by $345 million and $244 million, respectively. The net change in working capital was also impacted by higher payments related to variable compensation for employees.</w:t>
      </w:r>
    </w:p>
    <w:p w14:paraId="606F8E56"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Cash provided (used) by investing activities</w:t>
      </w:r>
      <w:r>
        <w:rPr>
          <w:rFonts w:ascii="Arial" w:eastAsia="宋体" w:hAnsi="Arial" w:cs="Arial"/>
          <w:sz w:val="17"/>
          <w:szCs w:val="17"/>
        </w:rPr>
        <w:t xml:space="preserve"> was an outflow of $788 million for the firs</w:t>
      </w:r>
      <w:r>
        <w:rPr>
          <w:rFonts w:ascii="Arial" w:eastAsia="宋体" w:hAnsi="Arial" w:cs="Arial"/>
          <w:sz w:val="17"/>
          <w:szCs w:val="17"/>
        </w:rPr>
        <w:t>t six months of fiscal 2020, compared to $245 million for the first six months of fiscal 2019, driven by the net change in short-term investments. For the first six months of fiscal 2020, the net change in short-term investments (including sales, maturitie</w:t>
      </w:r>
      <w:r>
        <w:rPr>
          <w:rFonts w:ascii="Arial" w:eastAsia="宋体" w:hAnsi="Arial" w:cs="Arial"/>
          <w:sz w:val="17"/>
          <w:szCs w:val="17"/>
        </w:rPr>
        <w:t>s and purchases) resulted in a cash outflow of $157 million compared to an inflow of $381 million for the first six months of fiscal 2019.</w:t>
      </w:r>
    </w:p>
    <w:p w14:paraId="606F8E57" w14:textId="77777777" w:rsidR="00FB67F9" w:rsidRDefault="00E839DF">
      <w:pPr>
        <w:spacing w:line="312" w:lineRule="auto"/>
        <w:rPr>
          <w:rFonts w:ascii="Times New Roman" w:hAnsi="Times New Roman"/>
          <w:sz w:val="17"/>
          <w:szCs w:val="17"/>
        </w:rPr>
      </w:pPr>
      <w:r>
        <w:rPr>
          <w:rFonts w:ascii="Arial" w:eastAsia="宋体" w:hAnsi="Arial" w:cs="Arial"/>
          <w:i/>
          <w:iCs/>
          <w:sz w:val="17"/>
          <w:szCs w:val="17"/>
        </w:rPr>
        <w:t>Cash provided (used) by financing activities</w:t>
      </w:r>
      <w:r>
        <w:rPr>
          <w:rFonts w:ascii="Arial" w:eastAsia="宋体" w:hAnsi="Arial" w:cs="Arial"/>
          <w:sz w:val="17"/>
          <w:szCs w:val="17"/>
        </w:rPr>
        <w:t xml:space="preserve"> was an outflow of $1,868 million for the first six months of fiscal 2020</w:t>
      </w:r>
      <w:r>
        <w:rPr>
          <w:rFonts w:ascii="Arial" w:eastAsia="宋体" w:hAnsi="Arial" w:cs="Arial"/>
          <w:sz w:val="17"/>
          <w:szCs w:val="17"/>
        </w:rPr>
        <w:t xml:space="preserve"> compared to $3,290 million for the first six months of fiscal 2019, with the decrease from the prior period reflecting lower share repurchases and an increase in </w:t>
      </w:r>
      <w:r>
        <w:rPr>
          <w:rFonts w:ascii="Arial" w:eastAsia="宋体" w:hAnsi="Arial" w:cs="Arial"/>
          <w:i/>
          <w:iCs/>
          <w:sz w:val="17"/>
          <w:szCs w:val="17"/>
        </w:rPr>
        <w:t>Notes Payable</w:t>
      </w:r>
      <w:r>
        <w:rPr>
          <w:rFonts w:ascii="Arial" w:eastAsia="宋体" w:hAnsi="Arial" w:cs="Arial"/>
          <w:sz w:val="17"/>
          <w:szCs w:val="17"/>
        </w:rPr>
        <w:t>, primarily due to borrowings under our commercial paper program.</w:t>
      </w:r>
    </w:p>
    <w:p w14:paraId="606F8E5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During the fir</w:t>
      </w:r>
      <w:r>
        <w:rPr>
          <w:rFonts w:ascii="Arial" w:eastAsia="宋体" w:hAnsi="Arial" w:cs="Arial"/>
          <w:sz w:val="17"/>
          <w:szCs w:val="17"/>
        </w:rPr>
        <w:t>st six months of fiscal 2020, we repurchased 22.0 million shares of NIKE's Class B Common Stock for $1,917 million (an average price of $87.13 per share) under the four-year, $15 billion share repurchase program approved by the Board of Directors in June 2</w:t>
      </w:r>
      <w:r>
        <w:rPr>
          <w:rFonts w:ascii="Arial" w:eastAsia="宋体" w:hAnsi="Arial" w:cs="Arial"/>
          <w:sz w:val="17"/>
          <w:szCs w:val="17"/>
        </w:rPr>
        <w:t xml:space="preserve">018. As of November 30, 2019, we had repurchased 33.6 million shares at a cost of approximately $2.9 billion (an average price of $86.30 per share) under this program. We continue to expect funding of share repurchases will come from operating cash flows, </w:t>
      </w:r>
      <w:r>
        <w:rPr>
          <w:rFonts w:ascii="Arial" w:eastAsia="宋体" w:hAnsi="Arial" w:cs="Arial"/>
          <w:sz w:val="17"/>
          <w:szCs w:val="17"/>
        </w:rPr>
        <w:t>excess cash and/or proceeds from debt.</w:t>
      </w:r>
    </w:p>
    <w:p w14:paraId="606F8E59"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CAPITAL RESOURCES</w:t>
      </w:r>
    </w:p>
    <w:p w14:paraId="606F8E5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July 23, 2019, we filed a shelf registration statement (the “Shelf”) with the U.S. Securities and Exchange Commission (SEC) which permits us to issue an unlimited amount of debt securities from ti</w:t>
      </w:r>
      <w:r>
        <w:rPr>
          <w:rFonts w:ascii="Arial" w:eastAsia="宋体" w:hAnsi="Arial" w:cs="Arial"/>
          <w:sz w:val="17"/>
          <w:szCs w:val="17"/>
        </w:rPr>
        <w:t>me to time. The Shelf expires on July 23, 2022.</w:t>
      </w:r>
    </w:p>
    <w:p w14:paraId="606F8E5B"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On August 16, 2019, we entered into a committed credit facility agreement with a syndicate of banks which provides for up to $2 billion of borrowings, with the option to increase borrowings up to $3 billion i</w:t>
      </w:r>
      <w:r>
        <w:rPr>
          <w:rFonts w:ascii="Arial" w:eastAsia="宋体" w:hAnsi="Arial" w:cs="Arial"/>
          <w:sz w:val="17"/>
          <w:szCs w:val="17"/>
        </w:rPr>
        <w:t>n total upon lender approval. The facility matures on August 16, 2024, with a one-year extension option prior to any anniversary of the closing date, provided that in no event shall it extend beyond August 16, 2026. This facility replaces the prior $2 bill</w:t>
      </w:r>
      <w:r>
        <w:rPr>
          <w:rFonts w:ascii="Arial" w:eastAsia="宋体" w:hAnsi="Arial" w:cs="Arial"/>
          <w:sz w:val="17"/>
          <w:szCs w:val="17"/>
        </w:rPr>
        <w:t>ion credit facility agreement entered into on August 28, 2015, which would have matured August 28, 2020. As of November 30, 2019 and May 31, 2019, no amounts were outstanding under either committed credit facility.</w:t>
      </w:r>
    </w:p>
    <w:p w14:paraId="606F8E5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We currently have long-term debt ratings </w:t>
      </w:r>
      <w:r>
        <w:rPr>
          <w:rFonts w:ascii="Arial" w:eastAsia="宋体" w:hAnsi="Arial" w:cs="Arial"/>
          <w:sz w:val="17"/>
          <w:szCs w:val="17"/>
        </w:rPr>
        <w:t>of AA- and A1 from Standard and Poor's Corporation and Moody's Investor Services, respectively. If our long-term debt ratings were to decline, the facility fee and interest rate under our committed credit facility would increase. Conversely, if our long-te</w:t>
      </w:r>
      <w:r>
        <w:rPr>
          <w:rFonts w:ascii="Arial" w:eastAsia="宋体" w:hAnsi="Arial" w:cs="Arial"/>
          <w:sz w:val="17"/>
          <w:szCs w:val="17"/>
        </w:rPr>
        <w:t>rm debt ratings were to improve, the facility fee and interest rate would decrease. Changes in our long-term debt ratings would not trigger acceleration of maturity of any then-outstanding borrowings or any future borrowings under the committed credit faci</w:t>
      </w:r>
      <w:r>
        <w:rPr>
          <w:rFonts w:ascii="Arial" w:eastAsia="宋体" w:hAnsi="Arial" w:cs="Arial"/>
          <w:sz w:val="17"/>
          <w:szCs w:val="17"/>
        </w:rPr>
        <w:t>lity. Under this facility, we have agreed to various covenants. These covenants include limits on our disposal of fixed assets and the amount of debt secured by liens we may incur. In the event we were to have any borrowings outstanding under this facility</w:t>
      </w:r>
      <w:r>
        <w:rPr>
          <w:rFonts w:ascii="Arial" w:eastAsia="宋体" w:hAnsi="Arial" w:cs="Arial"/>
          <w:sz w:val="17"/>
          <w:szCs w:val="17"/>
        </w:rPr>
        <w:t xml:space="preserve"> and failed to meet any covenant, and were unable to obtain a waiver from a majority of the banks in the syndicate, any borrowings would become immediately due and payable. As of November 30, 2019, we were in full compliance with each of these covenants an</w:t>
      </w:r>
      <w:r>
        <w:rPr>
          <w:rFonts w:ascii="Arial" w:eastAsia="宋体" w:hAnsi="Arial" w:cs="Arial"/>
          <w:sz w:val="17"/>
          <w:szCs w:val="17"/>
        </w:rPr>
        <w:t>d believe it is unlikely we will fail to meet any of these covenants in the foreseeable future.</w:t>
      </w:r>
    </w:p>
    <w:p w14:paraId="606F8E5D"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Liquidity is also provided by our $2 billion commercial paper program. During the three months ended November 30, 2019, the maximum amount of commercial paper b</w:t>
      </w:r>
      <w:r>
        <w:rPr>
          <w:rFonts w:ascii="Arial" w:eastAsia="宋体" w:hAnsi="Arial" w:cs="Arial"/>
          <w:sz w:val="17"/>
          <w:szCs w:val="17"/>
        </w:rPr>
        <w:t xml:space="preserve">orrowings outstanding at any point was $841 million. As of November 30, 2019, we had $300 million in borrowings outstanding at a weighted average rate of 1.63%. No borrowings were outstanding as of May 31, </w:t>
      </w:r>
    </w:p>
    <w:p w14:paraId="606F8E5E" w14:textId="77777777" w:rsidR="00FB67F9" w:rsidRDefault="00FB67F9">
      <w:pPr>
        <w:rPr>
          <w:rFonts w:ascii="Times New Roman" w:hAnsi="Times New Roman"/>
          <w:sz w:val="20"/>
          <w:szCs w:val="20"/>
        </w:rPr>
      </w:pPr>
    </w:p>
    <w:p w14:paraId="606F8E5F"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41</w:t>
      </w:r>
    </w:p>
    <w:p w14:paraId="606F8E60" w14:textId="77777777" w:rsidR="00FB67F9" w:rsidRDefault="00E839DF">
      <w:r>
        <w:rPr>
          <w:rFonts w:ascii="Times New Roman" w:hAnsi="Times New Roman"/>
          <w:sz w:val="17"/>
          <w:szCs w:val="17"/>
        </w:rPr>
        <w:pict w14:anchorId="606F8FA6">
          <v:rect id="_x0000_i1067" style="width:415.3pt;height:1.5pt" o:hralign="center" o:hrstd="t" o:hr="t" fillcolor="#a0a0a0" stroked="f"/>
        </w:pict>
      </w:r>
    </w:p>
    <w:p w14:paraId="606F8E61" w14:textId="77777777" w:rsidR="00FB67F9" w:rsidRDefault="00FB67F9">
      <w:pPr>
        <w:rPr>
          <w:rFonts w:ascii="Times New Roman" w:hAnsi="Times New Roman"/>
          <w:sz w:val="17"/>
          <w:szCs w:val="17"/>
        </w:rPr>
      </w:pPr>
    </w:p>
    <w:p w14:paraId="606F8E62" w14:textId="77777777" w:rsidR="00FB67F9" w:rsidRDefault="00E839DF">
      <w:pPr>
        <w:rPr>
          <w:rFonts w:ascii="Times New Roman" w:hAnsi="Times New Roman"/>
          <w:sz w:val="17"/>
          <w:szCs w:val="17"/>
        </w:rPr>
      </w:pPr>
      <w:hyperlink r:id="rId111" w:anchor="s42C493F7582652B69E70047AB812E6A5" w:history="1">
        <w:r>
          <w:rPr>
            <w:rStyle w:val="a5"/>
            <w:rFonts w:ascii="sans-serif" w:eastAsia="sans-serif" w:hAnsi="sans-serif" w:cs="sans-serif"/>
            <w:sz w:val="17"/>
            <w:szCs w:val="17"/>
          </w:rPr>
          <w:t>Table of Contents</w:t>
        </w:r>
      </w:hyperlink>
    </w:p>
    <w:p w14:paraId="606F8E63" w14:textId="77777777" w:rsidR="00FB67F9" w:rsidRDefault="00FB67F9">
      <w:pPr>
        <w:rPr>
          <w:rFonts w:ascii="Times New Roman" w:hAnsi="Times New Roman"/>
          <w:sz w:val="17"/>
          <w:szCs w:val="17"/>
        </w:rPr>
      </w:pPr>
    </w:p>
    <w:p w14:paraId="606F8E64" w14:textId="77777777" w:rsidR="00FB67F9" w:rsidRDefault="00FB67F9">
      <w:pPr>
        <w:rPr>
          <w:rFonts w:ascii="Times New Roman" w:hAnsi="Times New Roman"/>
          <w:sz w:val="20"/>
          <w:szCs w:val="20"/>
        </w:rPr>
      </w:pPr>
    </w:p>
    <w:p w14:paraId="606F8E65"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2019. We may continue to issue commercial paper or other debt securities </w:t>
      </w:r>
      <w:r>
        <w:rPr>
          <w:rFonts w:ascii="Arial" w:eastAsia="宋体" w:hAnsi="Arial" w:cs="Arial"/>
          <w:sz w:val="17"/>
          <w:szCs w:val="17"/>
        </w:rPr>
        <w:t>depending on general corporate needs. We currently have short-term debt ratings of A1+ and P1 from Standard and Poor's Corporation and Moody's Investor Services, respectively.</w:t>
      </w:r>
    </w:p>
    <w:p w14:paraId="606F8E6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To date, in fiscal 2020, we have not experienced difficulty accessing the credit</w:t>
      </w:r>
      <w:r>
        <w:rPr>
          <w:rFonts w:ascii="Arial" w:eastAsia="宋体" w:hAnsi="Arial" w:cs="Arial"/>
          <w:sz w:val="17"/>
          <w:szCs w:val="17"/>
        </w:rPr>
        <w:t xml:space="preserve"> markets or incurred higher interest costs; however, future volatility in the capital markets may increase costs associated with issuing commercial paper or other debt instruments or affect our ability to access those markets.</w:t>
      </w:r>
    </w:p>
    <w:p w14:paraId="606F8E67"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As of November 30, 2019, we h</w:t>
      </w:r>
      <w:r>
        <w:rPr>
          <w:rFonts w:ascii="Arial" w:eastAsia="宋体" w:hAnsi="Arial" w:cs="Arial"/>
          <w:sz w:val="17"/>
          <w:szCs w:val="17"/>
        </w:rPr>
        <w:t>ad cash, cash equivalents and short-term investments totaling $3.5 billion, primarily consisting of deposits held at major banks, money market funds, commercial paper, corporate notes, U.S. Treasury obligations, U.S. government sponsored enterprise obligat</w:t>
      </w:r>
      <w:r>
        <w:rPr>
          <w:rFonts w:ascii="Arial" w:eastAsia="宋体" w:hAnsi="Arial" w:cs="Arial"/>
          <w:sz w:val="17"/>
          <w:szCs w:val="17"/>
        </w:rPr>
        <w:t>ions and other investment grade fixed-income securities. Our fixed-income investments are exposed to both credit and interest rate risk. All of our investments are investment grade to minimize our credit risk. While individual securities have varying durat</w:t>
      </w:r>
      <w:r>
        <w:rPr>
          <w:rFonts w:ascii="Arial" w:eastAsia="宋体" w:hAnsi="Arial" w:cs="Arial"/>
          <w:sz w:val="17"/>
          <w:szCs w:val="17"/>
        </w:rPr>
        <w:t>ions, as of November 30, 2019, the weighted-average days to maturity of our cash equivalents and short-term investments portfolio was 32 days.</w:t>
      </w:r>
    </w:p>
    <w:p w14:paraId="606F8E6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We believe that existing cash, cash equivalents, short-term investments and cash generated by operations, togethe</w:t>
      </w:r>
      <w:r>
        <w:rPr>
          <w:rFonts w:ascii="Arial" w:eastAsia="宋体" w:hAnsi="Arial" w:cs="Arial"/>
          <w:sz w:val="17"/>
          <w:szCs w:val="17"/>
        </w:rPr>
        <w:t>r with access to external sources of funds as described above, will be sufficient to meet our domestic and foreign capital needs in the foreseeable future.</w:t>
      </w:r>
    </w:p>
    <w:p w14:paraId="606F8E69"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OFF-BALANCE SHEET ARRANGEMENTS</w:t>
      </w:r>
    </w:p>
    <w:p w14:paraId="606F8E6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As of November 30, 2019, we did not have any off-balance sheet arrang</w:t>
      </w:r>
      <w:r>
        <w:rPr>
          <w:rFonts w:ascii="Arial" w:eastAsia="宋体" w:hAnsi="Arial" w:cs="Arial"/>
          <w:sz w:val="17"/>
          <w:szCs w:val="17"/>
        </w:rPr>
        <w:t>ements that have, or are reasonably likely to have, a material current or future effect on our financial condition, results of operations, liquidity, capital expenditures or capital resources.</w:t>
      </w:r>
    </w:p>
    <w:p w14:paraId="606F8E6B" w14:textId="77777777" w:rsidR="00FB67F9" w:rsidRDefault="00E839DF">
      <w:pPr>
        <w:rPr>
          <w:rFonts w:ascii="Times New Roman" w:hAnsi="Times New Roman"/>
          <w:sz w:val="28"/>
          <w:szCs w:val="28"/>
        </w:rPr>
      </w:pPr>
      <w:r>
        <w:rPr>
          <w:rFonts w:ascii="sans-serif" w:eastAsia="sans-serif" w:hAnsi="sans-serif" w:cs="sans-serif"/>
          <w:b/>
          <w:bCs/>
          <w:color w:val="000000"/>
          <w:sz w:val="28"/>
          <w:szCs w:val="28"/>
        </w:rPr>
        <w:t>CONTRACTUAL OBLIGATIONS</w:t>
      </w:r>
    </w:p>
    <w:p w14:paraId="606F8E6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There have been no significant changes </w:t>
      </w:r>
      <w:r>
        <w:rPr>
          <w:rFonts w:ascii="Arial" w:eastAsia="宋体" w:hAnsi="Arial" w:cs="Arial"/>
          <w:sz w:val="17"/>
          <w:szCs w:val="17"/>
        </w:rPr>
        <w:t>to the contractual obligations reported in our Annual Report on Form 10-K for the fiscal year ended May 31, 2019.</w:t>
      </w:r>
    </w:p>
    <w:p w14:paraId="606F8E6D"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NEW ACCOUNTING PRONOUNCEMENTS</w:t>
      </w:r>
    </w:p>
    <w:p w14:paraId="606F8E6E"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Refer to Note 1 — Summary of Significant Accounting Policies in the accompanying Notes to the Unaudited Condense</w:t>
      </w:r>
      <w:r>
        <w:rPr>
          <w:rFonts w:ascii="Arial" w:eastAsia="宋体" w:hAnsi="Arial" w:cs="Arial"/>
          <w:sz w:val="17"/>
          <w:szCs w:val="17"/>
        </w:rPr>
        <w:t xml:space="preserve">d Consolidated Financial Statements for recently adopted and recently issued accounting standards. </w:t>
      </w:r>
    </w:p>
    <w:p w14:paraId="606F8E6F" w14:textId="77777777" w:rsidR="00FB67F9" w:rsidRDefault="00E839DF">
      <w:pPr>
        <w:rPr>
          <w:rFonts w:ascii="Times New Roman" w:hAnsi="Times New Roman"/>
          <w:sz w:val="36"/>
          <w:szCs w:val="36"/>
        </w:rPr>
      </w:pPr>
      <w:r>
        <w:rPr>
          <w:rFonts w:ascii="sans-serif" w:eastAsia="sans-serif" w:hAnsi="sans-serif" w:cs="sans-serif"/>
          <w:b/>
          <w:bCs/>
          <w:color w:val="E87722"/>
          <w:sz w:val="36"/>
          <w:szCs w:val="36"/>
        </w:rPr>
        <w:t>CRITICAL ACCOUNTING POLICIES</w:t>
      </w:r>
    </w:p>
    <w:p w14:paraId="606F8E70"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Our discussion and analysis of our financial condition and results of operations are based upon our Unaudited Condensed Consoli</w:t>
      </w:r>
      <w:r>
        <w:rPr>
          <w:rFonts w:ascii="Arial" w:eastAsia="宋体" w:hAnsi="Arial" w:cs="Arial"/>
          <w:sz w:val="17"/>
          <w:szCs w:val="17"/>
        </w:rPr>
        <w:t>dated Financial Statements, which have been prepared in accordance with accounting principles generally accepted in the United States of America. The preparation of these financial statements requires us to make estimates and judgments that affect the repo</w:t>
      </w:r>
      <w:r>
        <w:rPr>
          <w:rFonts w:ascii="Arial" w:eastAsia="宋体" w:hAnsi="Arial" w:cs="Arial"/>
          <w:sz w:val="17"/>
          <w:szCs w:val="17"/>
        </w:rPr>
        <w:t xml:space="preserve">rted amounts of assets, liabilities, revenues and expenses and related disclosure of contingent assets and liabilities. </w:t>
      </w:r>
    </w:p>
    <w:p w14:paraId="606F8E7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We believe that the estimates, assumptions and judgments involved in the accounting policies described in the “Management's Discussion </w:t>
      </w:r>
      <w:r>
        <w:rPr>
          <w:rFonts w:ascii="Arial" w:eastAsia="宋体" w:hAnsi="Arial" w:cs="Arial"/>
          <w:sz w:val="17"/>
          <w:szCs w:val="17"/>
        </w:rPr>
        <w:t>and Analysis of Financial Condition and Results of Operations” section of our most recent Annual Report on Form 10-K have the greatest potential impact on our financial statements, so we consider these to be our critical accounting policies. Actual results</w:t>
      </w:r>
      <w:r>
        <w:rPr>
          <w:rFonts w:ascii="Arial" w:eastAsia="宋体" w:hAnsi="Arial" w:cs="Arial"/>
          <w:sz w:val="17"/>
          <w:szCs w:val="17"/>
        </w:rPr>
        <w:t xml:space="preserve"> could differ from the estimates we use in applying our critical accounting policies. We are not currently aware of any reasonably likely events or circumstances that would result in materially different amounts being reported.</w:t>
      </w:r>
    </w:p>
    <w:p w14:paraId="606F8E72" w14:textId="77777777" w:rsidR="00FB67F9" w:rsidRDefault="00FB67F9">
      <w:pPr>
        <w:rPr>
          <w:rFonts w:ascii="Times New Roman" w:hAnsi="Times New Roman"/>
          <w:sz w:val="20"/>
          <w:szCs w:val="20"/>
        </w:rPr>
      </w:pPr>
    </w:p>
    <w:p w14:paraId="606F8E73"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42</w:t>
      </w:r>
      <w:r>
        <w:rPr>
          <w:rFonts w:ascii="sans-serif" w:eastAsia="sans-serif" w:hAnsi="sans-serif" w:cs="sans-serif"/>
          <w:sz w:val="17"/>
          <w:szCs w:val="17"/>
        </w:rPr>
        <w:t xml:space="preserve"> </w:t>
      </w:r>
    </w:p>
    <w:p w14:paraId="606F8E74" w14:textId="77777777" w:rsidR="00FB67F9" w:rsidRDefault="00E839DF">
      <w:r>
        <w:rPr>
          <w:rFonts w:ascii="Times New Roman" w:hAnsi="Times New Roman"/>
          <w:sz w:val="17"/>
          <w:szCs w:val="17"/>
        </w:rPr>
        <w:pict w14:anchorId="606F8FA7">
          <v:rect id="_x0000_i1068" style="width:415.3pt;height:1.5pt" o:hralign="center" o:hrstd="t" o:hr="t" fillcolor="#a0a0a0" stroked="f"/>
        </w:pict>
      </w:r>
    </w:p>
    <w:p w14:paraId="606F8E75" w14:textId="77777777" w:rsidR="00FB67F9" w:rsidRDefault="00FB67F9">
      <w:pPr>
        <w:rPr>
          <w:rFonts w:ascii="Times New Roman" w:hAnsi="Times New Roman"/>
          <w:sz w:val="17"/>
          <w:szCs w:val="17"/>
        </w:rPr>
      </w:pPr>
    </w:p>
    <w:p w14:paraId="606F8E76" w14:textId="77777777" w:rsidR="00FB67F9" w:rsidRDefault="00E839DF">
      <w:pPr>
        <w:rPr>
          <w:rFonts w:ascii="Times New Roman" w:hAnsi="Times New Roman"/>
          <w:sz w:val="17"/>
          <w:szCs w:val="17"/>
        </w:rPr>
      </w:pPr>
      <w:hyperlink r:id="rId112" w:anchor="s42C493F7582652B69E70047AB812E6A5" w:history="1">
        <w:r>
          <w:rPr>
            <w:rStyle w:val="a5"/>
            <w:rFonts w:ascii="sans-serif" w:eastAsia="sans-serif" w:hAnsi="sans-serif" w:cs="sans-serif"/>
            <w:sz w:val="17"/>
            <w:szCs w:val="17"/>
          </w:rPr>
          <w:t>Table of Contents</w:t>
        </w:r>
      </w:hyperlink>
    </w:p>
    <w:p w14:paraId="606F8E77" w14:textId="77777777" w:rsidR="00FB67F9" w:rsidRDefault="00FB67F9">
      <w:pPr>
        <w:rPr>
          <w:rFonts w:ascii="Times New Roman" w:hAnsi="Times New Roman"/>
          <w:sz w:val="17"/>
          <w:szCs w:val="17"/>
        </w:rPr>
      </w:pPr>
    </w:p>
    <w:p w14:paraId="606F8E78" w14:textId="77777777" w:rsidR="00FB67F9" w:rsidRDefault="00FB67F9">
      <w:pPr>
        <w:rPr>
          <w:rFonts w:ascii="Times New Roman" w:hAnsi="Times New Roman"/>
          <w:sz w:val="20"/>
          <w:szCs w:val="20"/>
        </w:rPr>
      </w:pPr>
    </w:p>
    <w:p w14:paraId="606F8E79"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3. QUANTITATIVE AND QUALITATIVE DISCLOSURES ABOUT MARKET RISK</w:t>
      </w:r>
    </w:p>
    <w:p w14:paraId="606F8E7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There have been </w:t>
      </w:r>
      <w:r>
        <w:rPr>
          <w:rFonts w:ascii="Arial" w:eastAsia="宋体" w:hAnsi="Arial" w:cs="Arial"/>
          <w:sz w:val="17"/>
          <w:szCs w:val="17"/>
        </w:rPr>
        <w:t>no material changes from the information previously reported under Part II, Item 7A of our Annual Report on Form 10-K for the fiscal year ended May 31, 2019.</w:t>
      </w:r>
    </w:p>
    <w:p w14:paraId="606F8E7B"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4. CONTROLS AND PROCEDURES</w:t>
      </w:r>
    </w:p>
    <w:p w14:paraId="606F8E7C"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We maintain disclosure controls and procedures that are designed t</w:t>
      </w:r>
      <w:r>
        <w:rPr>
          <w:rFonts w:ascii="Arial" w:eastAsia="宋体" w:hAnsi="Arial" w:cs="Arial"/>
          <w:sz w:val="17"/>
          <w:szCs w:val="17"/>
        </w:rPr>
        <w:t>o provide reasonable assurance that ensure information required to be disclosed in our Securities Exchange Act of 1934, as amended ("the Exchange Act") reports is recorded, processed, summarized and reported within the time periods specified in the Securit</w:t>
      </w:r>
      <w:r>
        <w:rPr>
          <w:rFonts w:ascii="Arial" w:eastAsia="宋体" w:hAnsi="Arial" w:cs="Arial"/>
          <w:sz w:val="17"/>
          <w:szCs w:val="17"/>
        </w:rPr>
        <w:t>ies and Exchange Commission's rules and forms and that such information is accumulated and communicated to our management, including our Chief Executive Officer and Chief Financial Officer, as appropriate, to allow for timely decisions regarding required d</w:t>
      </w:r>
      <w:r>
        <w:rPr>
          <w:rFonts w:ascii="Arial" w:eastAsia="宋体" w:hAnsi="Arial" w:cs="Arial"/>
          <w:sz w:val="17"/>
          <w:szCs w:val="17"/>
        </w:rPr>
        <w:t>isclosure. In designing and evaluating the disclosure controls and procedures, management recognizes that any controls and procedures, no matter how well designed and operated, can provide only reasonable assurance of achieving the desired control objectiv</w:t>
      </w:r>
      <w:r>
        <w:rPr>
          <w:rFonts w:ascii="Arial" w:eastAsia="宋体" w:hAnsi="Arial" w:cs="Arial"/>
          <w:sz w:val="17"/>
          <w:szCs w:val="17"/>
        </w:rPr>
        <w:t>es, and management is required to apply its judgment in evaluating the cost-benefit relationship of possible controls and procedures.</w:t>
      </w:r>
    </w:p>
    <w:p w14:paraId="606F8E7D"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We carry out a variety of ongoing procedures, under the supervision and with the participation of our </w:t>
      </w:r>
      <w:r>
        <w:rPr>
          <w:rFonts w:ascii="Arial" w:eastAsia="宋体" w:hAnsi="Arial" w:cs="Arial"/>
          <w:sz w:val="17"/>
          <w:szCs w:val="17"/>
        </w:rPr>
        <w:t>management, including our Chief Executive Officer and Chief Financial Officer, to evaluate the effectiveness of the design and operation of our disclosure controls and procedures. Based on the foregoing, our Chief Executive Officer and Chief Financial Offi</w:t>
      </w:r>
      <w:r>
        <w:rPr>
          <w:rFonts w:ascii="Arial" w:eastAsia="宋体" w:hAnsi="Arial" w:cs="Arial"/>
          <w:sz w:val="17"/>
          <w:szCs w:val="17"/>
        </w:rPr>
        <w:t>cer concluded that our disclosure controls and procedures were effective at the reasonable assurance level as of November 30, 2019.</w:t>
      </w:r>
    </w:p>
    <w:p w14:paraId="606F8E7E"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We are continuing several transformation initiatives to centralize and simplify our business processes and systems. These ar</w:t>
      </w:r>
      <w:r>
        <w:rPr>
          <w:rFonts w:ascii="Arial" w:eastAsia="宋体" w:hAnsi="Arial" w:cs="Arial"/>
          <w:sz w:val="17"/>
          <w:szCs w:val="17"/>
        </w:rPr>
        <w:t>e long-term initiatives, which we believe will enhance our internal control over financial reporting due to increased automation and further integration of related processes. We will continue to monitor our internal control over financial reporting for eff</w:t>
      </w:r>
      <w:r>
        <w:rPr>
          <w:rFonts w:ascii="Arial" w:eastAsia="宋体" w:hAnsi="Arial" w:cs="Arial"/>
          <w:sz w:val="17"/>
          <w:szCs w:val="17"/>
        </w:rPr>
        <w:t>ectiveness throughout these transformation initiatives.</w:t>
      </w:r>
    </w:p>
    <w:p w14:paraId="606F8E7F"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There have not been any changes in our internal control over financial reporting during our most recent fiscal quarter that have materially affected, or are reasonably likely to materially </w:t>
      </w:r>
      <w:r>
        <w:rPr>
          <w:rFonts w:ascii="Arial" w:eastAsia="宋体" w:hAnsi="Arial" w:cs="Arial"/>
          <w:sz w:val="17"/>
          <w:szCs w:val="17"/>
        </w:rPr>
        <w:t>affect, our internal control over financial reporting.</w:t>
      </w:r>
    </w:p>
    <w:p w14:paraId="606F8E80" w14:textId="77777777" w:rsidR="00FB67F9" w:rsidRDefault="00FB67F9">
      <w:pPr>
        <w:rPr>
          <w:rFonts w:ascii="Times New Roman" w:hAnsi="Times New Roman"/>
          <w:sz w:val="20"/>
          <w:szCs w:val="20"/>
        </w:rPr>
      </w:pPr>
    </w:p>
    <w:p w14:paraId="606F8E81"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43</w:t>
      </w:r>
    </w:p>
    <w:p w14:paraId="606F8E82" w14:textId="77777777" w:rsidR="00FB67F9" w:rsidRDefault="00E839DF">
      <w:r>
        <w:rPr>
          <w:rFonts w:ascii="Times New Roman" w:hAnsi="Times New Roman"/>
          <w:sz w:val="17"/>
          <w:szCs w:val="17"/>
        </w:rPr>
        <w:pict w14:anchorId="606F8FA8">
          <v:rect id="_x0000_i1069" style="width:415.3pt;height:1.5pt" o:hralign="center" o:hrstd="t" o:hr="t" fillcolor="#a0a0a0" stroked="f"/>
        </w:pict>
      </w:r>
    </w:p>
    <w:p w14:paraId="606F8E83" w14:textId="77777777" w:rsidR="00FB67F9" w:rsidRDefault="00FB67F9">
      <w:pPr>
        <w:rPr>
          <w:rFonts w:ascii="Times New Roman" w:hAnsi="Times New Roman"/>
          <w:sz w:val="17"/>
          <w:szCs w:val="17"/>
        </w:rPr>
      </w:pPr>
    </w:p>
    <w:p w14:paraId="606F8E84" w14:textId="77777777" w:rsidR="00FB67F9" w:rsidRDefault="00E839DF">
      <w:pPr>
        <w:rPr>
          <w:rFonts w:ascii="Times New Roman" w:hAnsi="Times New Roman"/>
          <w:sz w:val="17"/>
          <w:szCs w:val="17"/>
        </w:rPr>
      </w:pPr>
      <w:hyperlink r:id="rId113" w:anchor="s42C493F7582652B69E70047AB812E6A5" w:history="1">
        <w:r>
          <w:rPr>
            <w:rStyle w:val="a5"/>
            <w:rFonts w:ascii="sans-serif" w:eastAsia="sans-serif" w:hAnsi="sans-serif" w:cs="sans-serif"/>
            <w:sz w:val="17"/>
            <w:szCs w:val="17"/>
          </w:rPr>
          <w:t>Table of Contents</w:t>
        </w:r>
      </w:hyperlink>
    </w:p>
    <w:p w14:paraId="606F8E85" w14:textId="77777777" w:rsidR="00FB67F9" w:rsidRDefault="00FB67F9">
      <w:pPr>
        <w:rPr>
          <w:rFonts w:ascii="Times New Roman" w:hAnsi="Times New Roman"/>
          <w:sz w:val="17"/>
          <w:szCs w:val="17"/>
        </w:rPr>
      </w:pPr>
    </w:p>
    <w:p w14:paraId="606F8E86" w14:textId="77777777" w:rsidR="00FB67F9" w:rsidRDefault="00FB67F9">
      <w:pPr>
        <w:rPr>
          <w:rFonts w:ascii="Times New Roman" w:hAnsi="Times New Roman"/>
          <w:sz w:val="20"/>
          <w:szCs w:val="20"/>
        </w:rPr>
      </w:pPr>
    </w:p>
    <w:p w14:paraId="606F8E87"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SPECIAL NOTE REGARDIN</w:t>
      </w:r>
      <w:r>
        <w:rPr>
          <w:rFonts w:ascii="sans-serif" w:eastAsia="sans-serif" w:hAnsi="sans-serif" w:cs="sans-serif"/>
          <w:color w:val="000000"/>
          <w:sz w:val="44"/>
          <w:szCs w:val="44"/>
        </w:rPr>
        <w:t>G FORWARD-LOOKING STATEMENTS AND ANALYST REPORTS</w:t>
      </w:r>
    </w:p>
    <w:p w14:paraId="606F8E8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Certain written and oral statements, other than purely historic information, including estimates, projections, statements relating to NIKE’s business plans, objectives and expected operating results and the </w:t>
      </w:r>
      <w:r>
        <w:rPr>
          <w:rFonts w:ascii="Arial" w:eastAsia="宋体" w:hAnsi="Arial" w:cs="Arial"/>
          <w:sz w:val="17"/>
          <w:szCs w:val="17"/>
        </w:rPr>
        <w:t>assumptions upon which those statements are based, made or incorporated by reference from time to time by NIKE or its representatives in this report, other reports, filings with the Securities and Exchange Commission, press releases, conferences or otherwi</w:t>
      </w:r>
      <w:r>
        <w:rPr>
          <w:rFonts w:ascii="Arial" w:eastAsia="宋体" w:hAnsi="Arial" w:cs="Arial"/>
          <w:sz w:val="17"/>
          <w:szCs w:val="17"/>
        </w:rPr>
        <w:t>se, are “forward-looking statements” within the meaning of the Private Securities Litigation Reform Act of 1995 and Section 21E of the Securities Exchange Act of 1934, as amended. Forward-looking statements include, without limitation, any statement that m</w:t>
      </w:r>
      <w:r>
        <w:rPr>
          <w:rFonts w:ascii="Arial" w:eastAsia="宋体" w:hAnsi="Arial" w:cs="Arial"/>
          <w:sz w:val="17"/>
          <w:szCs w:val="17"/>
        </w:rPr>
        <w:t>ay predict, forecast, indicate or imply future results, performance or achievements, and may contain the words “believe,” “anticipate,” “expect,” “estimate,” “project,” “will be,” “will continue,” “will likely result” or words or phrases of similar meaning</w:t>
      </w:r>
      <w:r>
        <w:rPr>
          <w:rFonts w:ascii="Arial" w:eastAsia="宋体" w:hAnsi="Arial" w:cs="Arial"/>
          <w:sz w:val="17"/>
          <w:szCs w:val="17"/>
        </w:rPr>
        <w:t>. Forward-looking statements involve risks and uncertainties which may cause actual results to differ materially from the forward-looking statements. The risks and uncertainties are detailed from time to time in reports filed by NIKE with the Securities an</w:t>
      </w:r>
      <w:r>
        <w:rPr>
          <w:rFonts w:ascii="Arial" w:eastAsia="宋体" w:hAnsi="Arial" w:cs="Arial"/>
          <w:sz w:val="17"/>
          <w:szCs w:val="17"/>
        </w:rPr>
        <w:t>d Exchange Commission, including reports filed on Forms 8-K, 10-Q and 10-K, and include, among others, the following: international, national and local general economic and market conditions; the size and growth of the overall athletic footwear, apparel an</w:t>
      </w:r>
      <w:r>
        <w:rPr>
          <w:rFonts w:ascii="Arial" w:eastAsia="宋体" w:hAnsi="Arial" w:cs="Arial"/>
          <w:sz w:val="17"/>
          <w:szCs w:val="17"/>
        </w:rPr>
        <w:t>d equipment markets; intense competition among designers, marketers, distributors and sellers of athletic footwear, apparel and equipment for consumers and endorsers; demographic changes; changes in consumer preferences; popularity of particular designs, c</w:t>
      </w:r>
      <w:r>
        <w:rPr>
          <w:rFonts w:ascii="Arial" w:eastAsia="宋体" w:hAnsi="Arial" w:cs="Arial"/>
          <w:sz w:val="17"/>
          <w:szCs w:val="17"/>
        </w:rPr>
        <w:t xml:space="preserve">ategories of products and sports; seasonal and geographic demand for NIKE products; difficulties in anticipating or forecasting changes in consumer preferences, consumer demand for NIKE products and the various market factors described above; difficulties </w:t>
      </w:r>
      <w:r>
        <w:rPr>
          <w:rFonts w:ascii="Arial" w:eastAsia="宋体" w:hAnsi="Arial" w:cs="Arial"/>
          <w:sz w:val="17"/>
          <w:szCs w:val="17"/>
        </w:rPr>
        <w:t>in implementing, operating and maintaining NIKE’s increasingly complex information technology systems and controls, including, without limitation, the systems related to demand and supply planning and inventory control; interruptions in data and informatio</w:t>
      </w:r>
      <w:r>
        <w:rPr>
          <w:rFonts w:ascii="Arial" w:eastAsia="宋体" w:hAnsi="Arial" w:cs="Arial"/>
          <w:sz w:val="17"/>
          <w:szCs w:val="17"/>
        </w:rPr>
        <w:t>n technology systems; consumer data security; fluctuations and difficulty in forecasting operating results, including, without limitation, the fact that advance orders may not be indicative of future revenues due to changes in shipment timing, the changing</w:t>
      </w:r>
      <w:r>
        <w:rPr>
          <w:rFonts w:ascii="Arial" w:eastAsia="宋体" w:hAnsi="Arial" w:cs="Arial"/>
          <w:sz w:val="17"/>
          <w:szCs w:val="17"/>
        </w:rPr>
        <w:t xml:space="preserve"> mix of orders with shorter lead times, and discounts, order cancellations and returns; the ability of NIKE to sustain, manage or forecast its growth and inventories; the size, timing and mix of purchases of NIKE’s products; increases in the cost of materi</w:t>
      </w:r>
      <w:r>
        <w:rPr>
          <w:rFonts w:ascii="Arial" w:eastAsia="宋体" w:hAnsi="Arial" w:cs="Arial"/>
          <w:sz w:val="17"/>
          <w:szCs w:val="17"/>
        </w:rPr>
        <w:t>als, labor and energy used to manufacture products; new product development and introduction; the ability to secure and protect trademarks, patents and other intellectual property; product performance and quality; customer service; adverse publicity, inclu</w:t>
      </w:r>
      <w:r>
        <w:rPr>
          <w:rFonts w:ascii="Arial" w:eastAsia="宋体" w:hAnsi="Arial" w:cs="Arial"/>
          <w:sz w:val="17"/>
          <w:szCs w:val="17"/>
        </w:rPr>
        <w:t>ding without limitation, through social media or in connection with brand damaging events; the loss of significant customers or suppliers; dependence on distributors and licensees; business disruptions; increased costs of freight and transportation to meet</w:t>
      </w:r>
      <w:r>
        <w:rPr>
          <w:rFonts w:ascii="Arial" w:eastAsia="宋体" w:hAnsi="Arial" w:cs="Arial"/>
          <w:sz w:val="17"/>
          <w:szCs w:val="17"/>
        </w:rPr>
        <w:t xml:space="preserve"> delivery deadlines; increases in borrowing costs due to any decline in NIKE’s debt ratings; changes in business strategy or development plans; general risks associated with doing business outside of the United States, including, without limitation, exchan</w:t>
      </w:r>
      <w:r>
        <w:rPr>
          <w:rFonts w:ascii="Arial" w:eastAsia="宋体" w:hAnsi="Arial" w:cs="Arial"/>
          <w:sz w:val="17"/>
          <w:szCs w:val="17"/>
        </w:rPr>
        <w:t>ge rate fluctuations, inflation, import duties, tariffs, quotas, political and economic instability and terrorism; the impact of recent U.S. tax reform legislation on our results of operations; the political impact of new laws, regulations or policy, inclu</w:t>
      </w:r>
      <w:r>
        <w:rPr>
          <w:rFonts w:ascii="Arial" w:eastAsia="宋体" w:hAnsi="Arial" w:cs="Arial"/>
          <w:sz w:val="17"/>
          <w:szCs w:val="17"/>
        </w:rPr>
        <w:t>ding, without limitation, tariffs, import/export, trade and immigration regulations or policies; changes in government regulations; the impact of, including business and legal developments relating to, climate change and natural disasters; litigation, regu</w:t>
      </w:r>
      <w:r>
        <w:rPr>
          <w:rFonts w:ascii="Arial" w:eastAsia="宋体" w:hAnsi="Arial" w:cs="Arial"/>
          <w:sz w:val="17"/>
          <w:szCs w:val="17"/>
        </w:rPr>
        <w:t>latory proceedings and other claims asserted against NIKE; the ability to attract and retain qualified employees, and any negative public perception with respect to personnel; the effects of NIKE’s decision to invest in or divest of businesses and other fa</w:t>
      </w:r>
      <w:r>
        <w:rPr>
          <w:rFonts w:ascii="Arial" w:eastAsia="宋体" w:hAnsi="Arial" w:cs="Arial"/>
          <w:sz w:val="17"/>
          <w:szCs w:val="17"/>
        </w:rPr>
        <w:t>ctors referenced or incorporated by reference in this report and other reports.</w:t>
      </w:r>
    </w:p>
    <w:p w14:paraId="606F8E8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 risks included here are not exhaustive. Other sections of this report may include additional factors which could adversely affect NIKE’s business and financial performance.</w:t>
      </w:r>
      <w:r>
        <w:rPr>
          <w:rFonts w:ascii="Arial" w:eastAsia="宋体" w:hAnsi="Arial" w:cs="Arial"/>
          <w:sz w:val="17"/>
          <w:szCs w:val="17"/>
        </w:rPr>
        <w:t xml:space="preserve"> Moreover, NIKE operates in a very competitive and rapidly changing environment. New risks emerge from time to time and it is not possible for management to predict all such risks, nor can it assess the impact of all such risks on NIKE’s business or the ex</w:t>
      </w:r>
      <w:r>
        <w:rPr>
          <w:rFonts w:ascii="Arial" w:eastAsia="宋体" w:hAnsi="Arial" w:cs="Arial"/>
          <w:sz w:val="17"/>
          <w:szCs w:val="17"/>
        </w:rPr>
        <w:t>tent to which any risk, or combination of risks, may cause actual results to differ materially from those contained in any forward-looking statements. Given these risks and uncertainties, investors should not place undue reliance on forward-looking stateme</w:t>
      </w:r>
      <w:r>
        <w:rPr>
          <w:rFonts w:ascii="Arial" w:eastAsia="宋体" w:hAnsi="Arial" w:cs="Arial"/>
          <w:sz w:val="17"/>
          <w:szCs w:val="17"/>
        </w:rPr>
        <w:t>nts as a prediction of actual results.</w:t>
      </w:r>
    </w:p>
    <w:p w14:paraId="606F8E8A"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Investors should also be aware that while NIKE does, from time to time, communicate with securities analysts, it is against NIKE’s policy to disclose to them any material non-public information or other confidential c</w:t>
      </w:r>
      <w:r>
        <w:rPr>
          <w:rFonts w:ascii="Arial" w:eastAsia="宋体" w:hAnsi="Arial" w:cs="Arial"/>
          <w:sz w:val="17"/>
          <w:szCs w:val="17"/>
        </w:rPr>
        <w:t>ommercial information. Accordingly, shareholders should not assume that NIKE agrees with any statement or report issued by any analyst irrespective of the content of the statement or report. Furthermore, NIKE has a policy against issuing or confirming fina</w:t>
      </w:r>
      <w:r>
        <w:rPr>
          <w:rFonts w:ascii="Arial" w:eastAsia="宋体" w:hAnsi="Arial" w:cs="Arial"/>
          <w:sz w:val="17"/>
          <w:szCs w:val="17"/>
        </w:rPr>
        <w:t>ncial forecasts or projections issued by others. Thus, to the extent that reports issued by securities analysts contain any projections, forecasts or opinions, such reports are not the responsibility of NIKE.</w:t>
      </w:r>
    </w:p>
    <w:p w14:paraId="606F8E8B" w14:textId="77777777" w:rsidR="00FB67F9" w:rsidRDefault="00FB67F9">
      <w:pPr>
        <w:rPr>
          <w:rFonts w:ascii="Times New Roman" w:hAnsi="Times New Roman"/>
          <w:sz w:val="20"/>
          <w:szCs w:val="20"/>
        </w:rPr>
      </w:pPr>
    </w:p>
    <w:p w14:paraId="606F8E8C"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44</w:t>
      </w:r>
      <w:r>
        <w:rPr>
          <w:rFonts w:ascii="sans-serif" w:eastAsia="sans-serif" w:hAnsi="sans-serif" w:cs="sans-serif"/>
          <w:sz w:val="17"/>
          <w:szCs w:val="17"/>
        </w:rPr>
        <w:t xml:space="preserve"> </w:t>
      </w:r>
    </w:p>
    <w:p w14:paraId="606F8E8D" w14:textId="77777777" w:rsidR="00FB67F9" w:rsidRDefault="00E839DF">
      <w:r>
        <w:rPr>
          <w:rFonts w:ascii="Times New Roman" w:hAnsi="Times New Roman"/>
          <w:sz w:val="17"/>
          <w:szCs w:val="17"/>
        </w:rPr>
        <w:pict w14:anchorId="606F8FA9">
          <v:rect id="_x0000_i1070" style="width:415.3pt;height:1.5pt" o:hralign="center" o:hrstd="t" o:hr="t" fillcolor="#a0a0a0" stroked="f"/>
        </w:pict>
      </w:r>
    </w:p>
    <w:p w14:paraId="606F8E8E" w14:textId="77777777" w:rsidR="00FB67F9" w:rsidRDefault="00FB67F9">
      <w:pPr>
        <w:rPr>
          <w:rFonts w:ascii="Times New Roman" w:hAnsi="Times New Roman"/>
          <w:sz w:val="17"/>
          <w:szCs w:val="17"/>
        </w:rPr>
      </w:pPr>
    </w:p>
    <w:p w14:paraId="606F8E8F" w14:textId="77777777" w:rsidR="00FB67F9" w:rsidRDefault="00E839DF">
      <w:pPr>
        <w:rPr>
          <w:rFonts w:ascii="Times New Roman" w:hAnsi="Times New Roman"/>
          <w:sz w:val="17"/>
          <w:szCs w:val="17"/>
        </w:rPr>
      </w:pPr>
      <w:hyperlink r:id="rId114" w:anchor="s42C493F7582652B69E70047AB812E6A5" w:history="1">
        <w:r>
          <w:rPr>
            <w:rStyle w:val="a5"/>
            <w:rFonts w:ascii="sans-serif" w:eastAsia="sans-serif" w:hAnsi="sans-serif" w:cs="sans-serif"/>
            <w:sz w:val="17"/>
            <w:szCs w:val="17"/>
          </w:rPr>
          <w:t>Table of Contents</w:t>
        </w:r>
      </w:hyperlink>
    </w:p>
    <w:p w14:paraId="606F8E90" w14:textId="77777777" w:rsidR="00FB67F9" w:rsidRDefault="00FB67F9">
      <w:pPr>
        <w:rPr>
          <w:rFonts w:ascii="Times New Roman" w:hAnsi="Times New Roman"/>
          <w:sz w:val="17"/>
          <w:szCs w:val="17"/>
        </w:rPr>
      </w:pPr>
    </w:p>
    <w:p w14:paraId="606F8E91" w14:textId="77777777" w:rsidR="00FB67F9" w:rsidRDefault="00FB67F9">
      <w:pPr>
        <w:rPr>
          <w:rFonts w:ascii="Times New Roman" w:hAnsi="Times New Roman"/>
          <w:sz w:val="20"/>
          <w:szCs w:val="20"/>
        </w:rPr>
      </w:pPr>
    </w:p>
    <w:p w14:paraId="606F8E92" w14:textId="77777777" w:rsidR="00FB67F9" w:rsidRDefault="00E839DF">
      <w:pPr>
        <w:rPr>
          <w:rFonts w:ascii="Times New Roman" w:hAnsi="Times New Roman"/>
          <w:sz w:val="68"/>
          <w:szCs w:val="68"/>
        </w:rPr>
      </w:pPr>
      <w:r>
        <w:rPr>
          <w:rFonts w:ascii="sans-serif" w:eastAsia="sans-serif" w:hAnsi="sans-serif" w:cs="sans-serif"/>
          <w:color w:val="E87722"/>
          <w:sz w:val="68"/>
          <w:szCs w:val="68"/>
        </w:rPr>
        <w:t>PART II - OTHER INFORMATION</w:t>
      </w:r>
    </w:p>
    <w:p w14:paraId="606F8E93"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1. LEGAL PROCEEDINGS</w:t>
      </w:r>
    </w:p>
    <w:p w14:paraId="606F8E94"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There have been no material d</w:t>
      </w:r>
      <w:r>
        <w:rPr>
          <w:rFonts w:ascii="Arial" w:eastAsia="宋体" w:hAnsi="Arial" w:cs="Arial"/>
          <w:sz w:val="17"/>
          <w:szCs w:val="17"/>
        </w:rPr>
        <w:t>evelopments with respect to the information previously reported under Part I, Item 3 of our Annual Report on Form 10-K for the fiscal year ended May 31, 2019.</w:t>
      </w:r>
    </w:p>
    <w:p w14:paraId="606F8E95"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1A. RISK FACTORS</w:t>
      </w:r>
    </w:p>
    <w:p w14:paraId="606F8E96"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There have been no material changes in our risk factors from those </w:t>
      </w:r>
      <w:r>
        <w:rPr>
          <w:rFonts w:ascii="Arial" w:eastAsia="宋体" w:hAnsi="Arial" w:cs="Arial"/>
          <w:sz w:val="17"/>
          <w:szCs w:val="17"/>
        </w:rPr>
        <w:t>disclosed in Part I, Item 1A of our Annual Report on Form 10-K for the fiscal year ended May 31, 2019.</w:t>
      </w:r>
    </w:p>
    <w:p w14:paraId="606F8E97"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2. UNREGISTERED SALES OF EQUITY SECURITIES AND USE OF PROCEEDS</w:t>
      </w:r>
    </w:p>
    <w:p w14:paraId="606F8E9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In June 2018, the Board of Directors approved a four-year, $15 billion share repurcha</w:t>
      </w:r>
      <w:r>
        <w:rPr>
          <w:rFonts w:ascii="Arial" w:eastAsia="宋体" w:hAnsi="Arial" w:cs="Arial"/>
          <w:sz w:val="17"/>
          <w:szCs w:val="17"/>
        </w:rPr>
        <w:t>se program. As of November 30, 2019, the Company had repurchased 33.6 million shares at an average price of $86.30 per share for a total approximate cost of $2.9 billion under this program.</w:t>
      </w:r>
    </w:p>
    <w:p w14:paraId="606F8E99"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All share repurchases were made under NIKE's publicly announced program and there are no other programs under which the Company repurchases shares. The following table presents a summary of share repurchases made during the quarter ended November 30, 2019:</w:t>
      </w:r>
      <w:r>
        <w:rPr>
          <w:rFonts w:ascii="Arial" w:eastAsia="宋体" w:hAnsi="Arial" w:cs="Arial"/>
          <w:sz w:val="17"/>
          <w:szCs w:val="17"/>
        </w:rPr>
        <w:t xml:space="preserve"> </w:t>
      </w:r>
    </w:p>
    <w:tbl>
      <w:tblPr>
        <w:tblW w:w="4979" w:type="pct"/>
        <w:tblCellMar>
          <w:left w:w="0" w:type="dxa"/>
          <w:right w:w="0" w:type="dxa"/>
        </w:tblCellMar>
        <w:tblLook w:val="04A0" w:firstRow="1" w:lastRow="0" w:firstColumn="1" w:lastColumn="0" w:noHBand="0" w:noVBand="1"/>
      </w:tblPr>
      <w:tblGrid>
        <w:gridCol w:w="3706"/>
        <w:gridCol w:w="1307"/>
        <w:gridCol w:w="68"/>
        <w:gridCol w:w="136"/>
        <w:gridCol w:w="1226"/>
        <w:gridCol w:w="68"/>
        <w:gridCol w:w="136"/>
        <w:gridCol w:w="1556"/>
        <w:gridCol w:w="68"/>
      </w:tblGrid>
      <w:tr w:rsidR="00FB67F9" w14:paraId="606F8E9B" w14:textId="77777777">
        <w:tc>
          <w:tcPr>
            <w:tcW w:w="0" w:type="auto"/>
            <w:gridSpan w:val="9"/>
            <w:shd w:val="clear" w:color="auto" w:fill="auto"/>
            <w:vAlign w:val="center"/>
          </w:tcPr>
          <w:p w14:paraId="606F8E9A" w14:textId="77777777" w:rsidR="00FB67F9" w:rsidRDefault="00FB67F9">
            <w:pPr>
              <w:rPr>
                <w:rFonts w:ascii="Times New Roman" w:hAnsi="Times New Roman"/>
                <w:sz w:val="20"/>
                <w:szCs w:val="20"/>
              </w:rPr>
            </w:pPr>
          </w:p>
        </w:tc>
      </w:tr>
      <w:tr w:rsidR="00FB67F9" w14:paraId="606F8EA5" w14:textId="77777777">
        <w:tc>
          <w:tcPr>
            <w:tcW w:w="2250" w:type="pct"/>
            <w:shd w:val="clear" w:color="auto" w:fill="auto"/>
            <w:vAlign w:val="center"/>
          </w:tcPr>
          <w:p w14:paraId="606F8E9C" w14:textId="77777777" w:rsidR="00FB67F9" w:rsidRDefault="00FB67F9">
            <w:pPr>
              <w:rPr>
                <w:rFonts w:ascii="Times New Roman" w:hAnsi="Times New Roman"/>
                <w:sz w:val="20"/>
                <w:szCs w:val="20"/>
              </w:rPr>
            </w:pPr>
          </w:p>
        </w:tc>
        <w:tc>
          <w:tcPr>
            <w:tcW w:w="800" w:type="pct"/>
            <w:shd w:val="clear" w:color="auto" w:fill="auto"/>
            <w:vAlign w:val="center"/>
          </w:tcPr>
          <w:p w14:paraId="606F8E9D" w14:textId="77777777" w:rsidR="00FB67F9" w:rsidRDefault="00FB67F9">
            <w:pPr>
              <w:rPr>
                <w:rFonts w:ascii="Times New Roman" w:hAnsi="Times New Roman"/>
                <w:sz w:val="20"/>
                <w:szCs w:val="20"/>
              </w:rPr>
            </w:pPr>
          </w:p>
        </w:tc>
        <w:tc>
          <w:tcPr>
            <w:tcW w:w="50" w:type="pct"/>
            <w:shd w:val="clear" w:color="auto" w:fill="auto"/>
            <w:vAlign w:val="center"/>
          </w:tcPr>
          <w:p w14:paraId="606F8E9E" w14:textId="77777777" w:rsidR="00FB67F9" w:rsidRDefault="00FB67F9">
            <w:pPr>
              <w:rPr>
                <w:rFonts w:ascii="Times New Roman" w:hAnsi="Times New Roman"/>
                <w:sz w:val="20"/>
                <w:szCs w:val="20"/>
              </w:rPr>
            </w:pPr>
          </w:p>
        </w:tc>
        <w:tc>
          <w:tcPr>
            <w:tcW w:w="50" w:type="pct"/>
            <w:shd w:val="clear" w:color="auto" w:fill="auto"/>
            <w:vAlign w:val="center"/>
          </w:tcPr>
          <w:p w14:paraId="606F8E9F" w14:textId="77777777" w:rsidR="00FB67F9" w:rsidRDefault="00FB67F9">
            <w:pPr>
              <w:rPr>
                <w:rFonts w:ascii="Times New Roman" w:hAnsi="Times New Roman"/>
                <w:sz w:val="20"/>
                <w:szCs w:val="20"/>
              </w:rPr>
            </w:pPr>
          </w:p>
        </w:tc>
        <w:tc>
          <w:tcPr>
            <w:tcW w:w="750" w:type="pct"/>
            <w:shd w:val="clear" w:color="auto" w:fill="auto"/>
            <w:vAlign w:val="center"/>
          </w:tcPr>
          <w:p w14:paraId="606F8EA0" w14:textId="77777777" w:rsidR="00FB67F9" w:rsidRDefault="00FB67F9">
            <w:pPr>
              <w:rPr>
                <w:rFonts w:ascii="Times New Roman" w:hAnsi="Times New Roman"/>
                <w:sz w:val="20"/>
                <w:szCs w:val="20"/>
              </w:rPr>
            </w:pPr>
          </w:p>
        </w:tc>
        <w:tc>
          <w:tcPr>
            <w:tcW w:w="50" w:type="pct"/>
            <w:shd w:val="clear" w:color="auto" w:fill="auto"/>
            <w:vAlign w:val="center"/>
          </w:tcPr>
          <w:p w14:paraId="606F8EA1" w14:textId="77777777" w:rsidR="00FB67F9" w:rsidRDefault="00FB67F9">
            <w:pPr>
              <w:rPr>
                <w:rFonts w:ascii="Times New Roman" w:hAnsi="Times New Roman"/>
                <w:sz w:val="20"/>
                <w:szCs w:val="20"/>
              </w:rPr>
            </w:pPr>
          </w:p>
        </w:tc>
        <w:tc>
          <w:tcPr>
            <w:tcW w:w="50" w:type="pct"/>
            <w:shd w:val="clear" w:color="auto" w:fill="auto"/>
            <w:vAlign w:val="center"/>
          </w:tcPr>
          <w:p w14:paraId="606F8EA2" w14:textId="77777777" w:rsidR="00FB67F9" w:rsidRDefault="00FB67F9">
            <w:pPr>
              <w:rPr>
                <w:rFonts w:ascii="Times New Roman" w:hAnsi="Times New Roman"/>
                <w:sz w:val="20"/>
                <w:szCs w:val="20"/>
              </w:rPr>
            </w:pPr>
          </w:p>
        </w:tc>
        <w:tc>
          <w:tcPr>
            <w:tcW w:w="950" w:type="pct"/>
            <w:shd w:val="clear" w:color="auto" w:fill="auto"/>
            <w:vAlign w:val="center"/>
          </w:tcPr>
          <w:p w14:paraId="606F8EA3" w14:textId="77777777" w:rsidR="00FB67F9" w:rsidRDefault="00FB67F9">
            <w:pPr>
              <w:rPr>
                <w:rFonts w:ascii="Times New Roman" w:hAnsi="Times New Roman"/>
                <w:sz w:val="20"/>
                <w:szCs w:val="20"/>
              </w:rPr>
            </w:pPr>
          </w:p>
        </w:tc>
        <w:tc>
          <w:tcPr>
            <w:tcW w:w="50" w:type="pct"/>
            <w:shd w:val="clear" w:color="auto" w:fill="auto"/>
            <w:vAlign w:val="center"/>
          </w:tcPr>
          <w:p w14:paraId="606F8EA4" w14:textId="77777777" w:rsidR="00FB67F9" w:rsidRDefault="00FB67F9">
            <w:pPr>
              <w:rPr>
                <w:rFonts w:ascii="Times New Roman" w:hAnsi="Times New Roman"/>
                <w:sz w:val="20"/>
                <w:szCs w:val="20"/>
              </w:rPr>
            </w:pPr>
          </w:p>
        </w:tc>
      </w:tr>
      <w:tr w:rsidR="00FB67F9" w14:paraId="606F8EA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EA6" w14:textId="77777777" w:rsidR="00FB67F9" w:rsidRDefault="00E839DF">
            <w:pPr>
              <w:textAlignment w:val="bottom"/>
              <w:rPr>
                <w:rFonts w:ascii="Times New Roman" w:hAnsi="Times New Roman"/>
                <w:sz w:val="17"/>
                <w:szCs w:val="17"/>
              </w:rPr>
            </w:pPr>
            <w:r>
              <w:rPr>
                <w:rFonts w:ascii="sans-serif" w:eastAsia="sans-serif" w:hAnsi="sans-serif" w:cs="sans-serif"/>
                <w:b/>
                <w:bCs/>
                <w:color w:val="000000"/>
                <w:sz w:val="17"/>
                <w:szCs w:val="17"/>
              </w:rPr>
              <w:t>PERIOD</w:t>
            </w:r>
          </w:p>
        </w:tc>
        <w:tc>
          <w:tcPr>
            <w:tcW w:w="0" w:type="auto"/>
            <w:tcBorders>
              <w:bottom w:val="single" w:sz="8" w:space="0" w:color="E87722"/>
            </w:tcBorders>
            <w:shd w:val="clear" w:color="auto" w:fill="auto"/>
            <w:tcMar>
              <w:top w:w="40" w:type="dxa"/>
              <w:left w:w="40" w:type="dxa"/>
              <w:bottom w:w="40" w:type="dxa"/>
            </w:tcMar>
            <w:vAlign w:val="bottom"/>
          </w:tcPr>
          <w:p w14:paraId="606F8EA7"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NUMBER OF SHARES PURCHASED</w:t>
            </w:r>
          </w:p>
        </w:tc>
        <w:tc>
          <w:tcPr>
            <w:tcW w:w="0" w:type="auto"/>
            <w:tcBorders>
              <w:bottom w:val="single" w:sz="8" w:space="0" w:color="E87722"/>
            </w:tcBorders>
            <w:shd w:val="clear" w:color="auto" w:fill="auto"/>
            <w:vAlign w:val="bottom"/>
          </w:tcPr>
          <w:p w14:paraId="606F8EA8"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8EA9"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tcBorders>
              <w:bottom w:val="single" w:sz="8" w:space="0" w:color="E87722"/>
            </w:tcBorders>
            <w:shd w:val="clear" w:color="auto" w:fill="auto"/>
            <w:vAlign w:val="bottom"/>
          </w:tcPr>
          <w:p w14:paraId="606F8EAA" w14:textId="77777777" w:rsidR="00FB67F9" w:rsidRDefault="00FB67F9">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606F8EAB" w14:textId="77777777" w:rsidR="00FB67F9" w:rsidRDefault="00E839DF">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c>
          <w:tcPr>
            <w:tcW w:w="0" w:type="auto"/>
            <w:tcBorders>
              <w:bottom w:val="single" w:sz="8" w:space="0" w:color="E87722"/>
            </w:tcBorders>
            <w:shd w:val="clear" w:color="auto" w:fill="auto"/>
            <w:vAlign w:val="bottom"/>
          </w:tcPr>
          <w:p w14:paraId="606F8EAC" w14:textId="77777777" w:rsidR="00FB67F9" w:rsidRDefault="00FB67F9">
            <w:pPr>
              <w:textAlignment w:val="bottom"/>
              <w:rPr>
                <w:rFonts w:ascii="Times New Roman" w:hAnsi="Times New Roman"/>
                <w:sz w:val="20"/>
                <w:szCs w:val="20"/>
              </w:rPr>
            </w:pPr>
          </w:p>
        </w:tc>
      </w:tr>
      <w:tr w:rsidR="00FB67F9" w14:paraId="606F8EB7" w14:textId="77777777">
        <w:tc>
          <w:tcPr>
            <w:tcW w:w="0" w:type="auto"/>
            <w:shd w:val="clear" w:color="auto" w:fill="auto"/>
            <w:tcMar>
              <w:top w:w="40" w:type="dxa"/>
              <w:left w:w="40" w:type="dxa"/>
              <w:bottom w:w="40" w:type="dxa"/>
              <w:right w:w="40" w:type="dxa"/>
            </w:tcMar>
            <w:vAlign w:val="bottom"/>
          </w:tcPr>
          <w:p w14:paraId="606F8EAE" w14:textId="77777777" w:rsidR="00FB67F9" w:rsidRDefault="00E839DF">
            <w:pPr>
              <w:textAlignment w:val="bottom"/>
              <w:rPr>
                <w:rFonts w:ascii="Times New Roman" w:hAnsi="Times New Roman"/>
                <w:sz w:val="17"/>
                <w:szCs w:val="17"/>
              </w:rPr>
            </w:pPr>
            <w:r>
              <w:rPr>
                <w:rFonts w:ascii="Arial" w:eastAsia="宋体" w:hAnsi="Arial" w:cs="Arial"/>
                <w:sz w:val="17"/>
                <w:szCs w:val="17"/>
              </w:rPr>
              <w:t>September 1 — September 30, 2019</w:t>
            </w:r>
          </w:p>
        </w:tc>
        <w:tc>
          <w:tcPr>
            <w:tcW w:w="0" w:type="auto"/>
            <w:shd w:val="clear" w:color="auto" w:fill="FFF1E7"/>
            <w:tcMar>
              <w:top w:w="40" w:type="dxa"/>
              <w:left w:w="40" w:type="dxa"/>
              <w:bottom w:w="40" w:type="dxa"/>
            </w:tcMar>
            <w:vAlign w:val="bottom"/>
          </w:tcPr>
          <w:p w14:paraId="606F8EA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3,073,015</w:t>
            </w:r>
          </w:p>
        </w:tc>
        <w:tc>
          <w:tcPr>
            <w:tcW w:w="0" w:type="auto"/>
            <w:shd w:val="clear" w:color="auto" w:fill="FFF1E7"/>
            <w:vAlign w:val="bottom"/>
          </w:tcPr>
          <w:p w14:paraId="606F8EB0" w14:textId="77777777" w:rsidR="00FB67F9" w:rsidRDefault="00FB67F9">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606F8EB1"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EB2"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88.14</w:t>
            </w:r>
          </w:p>
        </w:tc>
        <w:tc>
          <w:tcPr>
            <w:tcW w:w="0" w:type="auto"/>
            <w:shd w:val="clear" w:color="auto" w:fill="FFF1E7"/>
            <w:vAlign w:val="bottom"/>
          </w:tcPr>
          <w:p w14:paraId="606F8EB3" w14:textId="77777777" w:rsidR="00FB67F9" w:rsidRDefault="00FB67F9">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606F8EB4"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EB5"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12,748</w:t>
            </w:r>
          </w:p>
        </w:tc>
        <w:tc>
          <w:tcPr>
            <w:tcW w:w="0" w:type="auto"/>
            <w:shd w:val="clear" w:color="auto" w:fill="FFF1E7"/>
            <w:vAlign w:val="bottom"/>
          </w:tcPr>
          <w:p w14:paraId="606F8EB6" w14:textId="77777777" w:rsidR="00FB67F9" w:rsidRDefault="00FB67F9">
            <w:pPr>
              <w:textAlignment w:val="bottom"/>
              <w:rPr>
                <w:rFonts w:ascii="Times New Roman" w:hAnsi="Times New Roman"/>
                <w:sz w:val="20"/>
                <w:szCs w:val="20"/>
              </w:rPr>
            </w:pPr>
          </w:p>
        </w:tc>
      </w:tr>
      <w:tr w:rsidR="00FB67F9" w14:paraId="606F8EC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B8" w14:textId="77777777" w:rsidR="00FB67F9" w:rsidRDefault="00E839DF">
            <w:pPr>
              <w:textAlignment w:val="bottom"/>
              <w:rPr>
                <w:rFonts w:ascii="Times New Roman" w:hAnsi="Times New Roman"/>
                <w:sz w:val="17"/>
                <w:szCs w:val="17"/>
              </w:rPr>
            </w:pPr>
            <w:r>
              <w:rPr>
                <w:rFonts w:ascii="Arial" w:eastAsia="宋体" w:hAnsi="Arial" w:cs="Arial"/>
                <w:sz w:val="17"/>
                <w:szCs w:val="17"/>
              </w:rPr>
              <w:t>October 1 — October 31, 2019</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EB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3,518,723</w:t>
            </w:r>
          </w:p>
        </w:tc>
        <w:tc>
          <w:tcPr>
            <w:tcW w:w="0" w:type="auto"/>
            <w:tcBorders>
              <w:top w:val="single" w:sz="8" w:space="0" w:color="808080"/>
              <w:bottom w:val="single" w:sz="8" w:space="0" w:color="808080"/>
            </w:tcBorders>
            <w:shd w:val="clear" w:color="auto" w:fill="FFF1E7"/>
            <w:vAlign w:val="bottom"/>
          </w:tcPr>
          <w:p w14:paraId="606F8EBA"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EBB"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EBC"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92.73</w:t>
            </w:r>
          </w:p>
        </w:tc>
        <w:tc>
          <w:tcPr>
            <w:tcW w:w="0" w:type="auto"/>
            <w:tcBorders>
              <w:top w:val="single" w:sz="8" w:space="0" w:color="808080"/>
              <w:bottom w:val="single" w:sz="8" w:space="0" w:color="808080"/>
            </w:tcBorders>
            <w:shd w:val="clear" w:color="auto" w:fill="FFF1E7"/>
            <w:vAlign w:val="bottom"/>
          </w:tcPr>
          <w:p w14:paraId="606F8EBD" w14:textId="77777777" w:rsidR="00FB67F9" w:rsidRDefault="00FB67F9">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606F8EBE"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606F8EBF"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12,422</w:t>
            </w:r>
          </w:p>
        </w:tc>
        <w:tc>
          <w:tcPr>
            <w:tcW w:w="0" w:type="auto"/>
            <w:tcBorders>
              <w:top w:val="single" w:sz="8" w:space="0" w:color="808080"/>
              <w:bottom w:val="single" w:sz="8" w:space="0" w:color="808080"/>
            </w:tcBorders>
            <w:shd w:val="clear" w:color="auto" w:fill="FFF1E7"/>
            <w:vAlign w:val="bottom"/>
          </w:tcPr>
          <w:p w14:paraId="606F8EC0" w14:textId="77777777" w:rsidR="00FB67F9" w:rsidRDefault="00FB67F9">
            <w:pPr>
              <w:textAlignment w:val="bottom"/>
              <w:rPr>
                <w:rFonts w:ascii="Times New Roman" w:hAnsi="Times New Roman"/>
                <w:sz w:val="20"/>
                <w:szCs w:val="20"/>
              </w:rPr>
            </w:pPr>
          </w:p>
        </w:tc>
      </w:tr>
      <w:tr w:rsidR="00FB67F9" w14:paraId="606F8ECB" w14:textId="77777777">
        <w:tc>
          <w:tcPr>
            <w:tcW w:w="0" w:type="auto"/>
            <w:shd w:val="clear" w:color="auto" w:fill="auto"/>
            <w:tcMar>
              <w:top w:w="40" w:type="dxa"/>
              <w:left w:w="40" w:type="dxa"/>
              <w:bottom w:w="40" w:type="dxa"/>
              <w:right w:w="40" w:type="dxa"/>
            </w:tcMar>
            <w:vAlign w:val="bottom"/>
          </w:tcPr>
          <w:p w14:paraId="606F8EC2" w14:textId="77777777" w:rsidR="00FB67F9" w:rsidRDefault="00E839DF">
            <w:pPr>
              <w:textAlignment w:val="bottom"/>
              <w:rPr>
                <w:rFonts w:ascii="Times New Roman" w:hAnsi="Times New Roman"/>
                <w:sz w:val="17"/>
                <w:szCs w:val="17"/>
              </w:rPr>
            </w:pPr>
            <w:r>
              <w:rPr>
                <w:rFonts w:ascii="Arial" w:eastAsia="宋体" w:hAnsi="Arial" w:cs="Arial"/>
                <w:sz w:val="17"/>
                <w:szCs w:val="17"/>
              </w:rPr>
              <w:t>November 1 — November 30, 2019</w:t>
            </w:r>
          </w:p>
        </w:tc>
        <w:tc>
          <w:tcPr>
            <w:tcW w:w="0" w:type="auto"/>
            <w:shd w:val="clear" w:color="auto" w:fill="FFF1E7"/>
            <w:tcMar>
              <w:top w:w="40" w:type="dxa"/>
              <w:left w:w="40" w:type="dxa"/>
              <w:bottom w:w="40" w:type="dxa"/>
            </w:tcMar>
            <w:vAlign w:val="bottom"/>
          </w:tcPr>
          <w:p w14:paraId="606F8EC3"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3,545,320</w:t>
            </w:r>
          </w:p>
        </w:tc>
        <w:tc>
          <w:tcPr>
            <w:tcW w:w="0" w:type="auto"/>
            <w:shd w:val="clear" w:color="auto" w:fill="FFF1E7"/>
            <w:vAlign w:val="bottom"/>
          </w:tcPr>
          <w:p w14:paraId="606F8EC4" w14:textId="77777777" w:rsidR="00FB67F9" w:rsidRDefault="00FB67F9">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606F8EC5"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EC6"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91.61</w:t>
            </w:r>
          </w:p>
        </w:tc>
        <w:tc>
          <w:tcPr>
            <w:tcW w:w="0" w:type="auto"/>
            <w:shd w:val="clear" w:color="auto" w:fill="FFF1E7"/>
            <w:vAlign w:val="bottom"/>
          </w:tcPr>
          <w:p w14:paraId="606F8EC7" w14:textId="77777777" w:rsidR="00FB67F9" w:rsidRDefault="00FB67F9">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606F8EC8" w14:textId="77777777" w:rsidR="00FB67F9" w:rsidRDefault="00E839DF">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606F8EC9" w14:textId="77777777" w:rsidR="00FB67F9" w:rsidRDefault="00E839DF">
            <w:pPr>
              <w:jc w:val="right"/>
              <w:textAlignment w:val="bottom"/>
              <w:rPr>
                <w:rFonts w:ascii="Times New Roman" w:hAnsi="Times New Roman"/>
                <w:sz w:val="17"/>
                <w:szCs w:val="17"/>
              </w:rPr>
            </w:pPr>
            <w:r>
              <w:rPr>
                <w:rFonts w:ascii="Arial" w:eastAsia="宋体" w:hAnsi="Arial" w:cs="Arial"/>
                <w:sz w:val="17"/>
                <w:szCs w:val="17"/>
              </w:rPr>
              <w:t>12,097</w:t>
            </w:r>
          </w:p>
        </w:tc>
        <w:tc>
          <w:tcPr>
            <w:tcW w:w="0" w:type="auto"/>
            <w:shd w:val="clear" w:color="auto" w:fill="FFF1E7"/>
            <w:vAlign w:val="bottom"/>
          </w:tcPr>
          <w:p w14:paraId="606F8ECA" w14:textId="77777777" w:rsidR="00FB67F9" w:rsidRDefault="00FB67F9">
            <w:pPr>
              <w:textAlignment w:val="bottom"/>
              <w:rPr>
                <w:rFonts w:ascii="Times New Roman" w:hAnsi="Times New Roman"/>
                <w:sz w:val="20"/>
                <w:szCs w:val="20"/>
              </w:rPr>
            </w:pPr>
          </w:p>
        </w:tc>
      </w:tr>
      <w:tr w:rsidR="00FB67F9" w14:paraId="606F8ED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606F8EC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ECD"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10,137,058</w:t>
            </w:r>
          </w:p>
        </w:tc>
        <w:tc>
          <w:tcPr>
            <w:tcW w:w="0" w:type="auto"/>
            <w:tcBorders>
              <w:top w:val="single" w:sz="8" w:space="0" w:color="E87722"/>
              <w:bottom w:val="single" w:sz="8" w:space="0" w:color="E87722"/>
            </w:tcBorders>
            <w:shd w:val="clear" w:color="auto" w:fill="FFF1E7"/>
            <w:vAlign w:val="bottom"/>
          </w:tcPr>
          <w:p w14:paraId="606F8ECE" w14:textId="77777777" w:rsidR="00FB67F9" w:rsidRDefault="00FB67F9">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606F8ECF"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606F8ED0" w14:textId="77777777" w:rsidR="00FB67F9" w:rsidRDefault="00E839DF">
            <w:pPr>
              <w:jc w:val="right"/>
              <w:textAlignment w:val="bottom"/>
              <w:rPr>
                <w:rFonts w:ascii="Times New Roman" w:hAnsi="Times New Roman"/>
                <w:sz w:val="17"/>
                <w:szCs w:val="17"/>
              </w:rPr>
            </w:pPr>
            <w:r>
              <w:rPr>
                <w:rFonts w:ascii="Arial" w:eastAsia="宋体" w:hAnsi="Arial" w:cs="Arial"/>
                <w:b/>
                <w:bCs/>
                <w:sz w:val="17"/>
                <w:szCs w:val="17"/>
              </w:rPr>
              <w:t>90.95</w:t>
            </w:r>
          </w:p>
        </w:tc>
        <w:tc>
          <w:tcPr>
            <w:tcW w:w="0" w:type="auto"/>
            <w:tcBorders>
              <w:top w:val="single" w:sz="8" w:space="0" w:color="E87722"/>
              <w:bottom w:val="single" w:sz="8" w:space="0" w:color="E87722"/>
            </w:tcBorders>
            <w:shd w:val="clear" w:color="auto" w:fill="FFF1E7"/>
            <w:vAlign w:val="bottom"/>
          </w:tcPr>
          <w:p w14:paraId="606F8ED1" w14:textId="77777777" w:rsidR="00FB67F9" w:rsidRDefault="00FB67F9">
            <w:pPr>
              <w:textAlignment w:val="bottom"/>
              <w:rPr>
                <w:rFonts w:ascii="Times New Roman" w:hAnsi="Times New Roman"/>
                <w:sz w:val="20"/>
                <w:szCs w:val="20"/>
              </w:rPr>
            </w:pPr>
          </w:p>
        </w:tc>
        <w:tc>
          <w:tcPr>
            <w:tcW w:w="0" w:type="auto"/>
            <w:gridSpan w:val="3"/>
            <w:tcBorders>
              <w:top w:val="single" w:sz="8" w:space="0" w:color="E87722"/>
              <w:bottom w:val="single" w:sz="8" w:space="0" w:color="E87722"/>
            </w:tcBorders>
            <w:shd w:val="clear" w:color="auto" w:fill="FFF1E7"/>
            <w:tcMar>
              <w:top w:w="40" w:type="dxa"/>
              <w:left w:w="40" w:type="dxa"/>
              <w:bottom w:w="40" w:type="dxa"/>
              <w:right w:w="40" w:type="dxa"/>
            </w:tcMar>
            <w:vAlign w:val="bottom"/>
          </w:tcPr>
          <w:p w14:paraId="606F8ED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bl>
    <w:p w14:paraId="606F8ED4" w14:textId="77777777" w:rsidR="00FB67F9" w:rsidRDefault="00FB67F9">
      <w:pPr>
        <w:rPr>
          <w:rFonts w:ascii="Times New Roman" w:hAnsi="Times New Roman"/>
          <w:sz w:val="20"/>
          <w:szCs w:val="20"/>
        </w:rPr>
      </w:pPr>
    </w:p>
    <w:p w14:paraId="606F8ED5"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45</w:t>
      </w:r>
    </w:p>
    <w:p w14:paraId="606F8ED6" w14:textId="77777777" w:rsidR="00FB67F9" w:rsidRDefault="00E839DF">
      <w:r>
        <w:rPr>
          <w:rFonts w:ascii="Times New Roman" w:hAnsi="Times New Roman"/>
          <w:sz w:val="17"/>
          <w:szCs w:val="17"/>
        </w:rPr>
        <w:pict w14:anchorId="606F8FAA">
          <v:rect id="_x0000_i1071" style="width:415.3pt;height:1.5pt" o:hralign="center" o:hrstd="t" o:hr="t" fillcolor="#a0a0a0" stroked="f"/>
        </w:pict>
      </w:r>
    </w:p>
    <w:p w14:paraId="606F8ED7" w14:textId="77777777" w:rsidR="00FB67F9" w:rsidRDefault="00FB67F9">
      <w:pPr>
        <w:rPr>
          <w:rFonts w:ascii="Times New Roman" w:hAnsi="Times New Roman"/>
          <w:sz w:val="17"/>
          <w:szCs w:val="17"/>
        </w:rPr>
      </w:pPr>
    </w:p>
    <w:p w14:paraId="606F8ED8" w14:textId="77777777" w:rsidR="00FB67F9" w:rsidRDefault="00E839DF">
      <w:pPr>
        <w:rPr>
          <w:rFonts w:ascii="Times New Roman" w:hAnsi="Times New Roman"/>
          <w:sz w:val="17"/>
          <w:szCs w:val="17"/>
        </w:rPr>
      </w:pPr>
      <w:hyperlink r:id="rId115" w:anchor="s42C493F7582652B69E70047AB812E6A5" w:history="1">
        <w:r>
          <w:rPr>
            <w:rStyle w:val="a5"/>
            <w:rFonts w:ascii="sans-serif" w:eastAsia="sans-serif" w:hAnsi="sans-serif" w:cs="sans-serif"/>
            <w:sz w:val="17"/>
            <w:szCs w:val="17"/>
          </w:rPr>
          <w:t>Table of Contents</w:t>
        </w:r>
      </w:hyperlink>
    </w:p>
    <w:p w14:paraId="606F8ED9" w14:textId="77777777" w:rsidR="00FB67F9" w:rsidRDefault="00FB67F9">
      <w:pPr>
        <w:rPr>
          <w:rFonts w:ascii="Times New Roman" w:hAnsi="Times New Roman"/>
          <w:sz w:val="17"/>
          <w:szCs w:val="17"/>
        </w:rPr>
      </w:pPr>
    </w:p>
    <w:p w14:paraId="606F8EDA" w14:textId="77777777" w:rsidR="00FB67F9" w:rsidRDefault="00FB67F9">
      <w:pPr>
        <w:rPr>
          <w:rFonts w:ascii="Times New Roman" w:hAnsi="Times New Roman"/>
          <w:sz w:val="20"/>
          <w:szCs w:val="20"/>
        </w:rPr>
      </w:pPr>
    </w:p>
    <w:p w14:paraId="606F8EDB"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ITEM 6. EXHIBITS</w:t>
      </w:r>
    </w:p>
    <w:p w14:paraId="606F8EDC" w14:textId="77777777" w:rsidR="00FB67F9" w:rsidRDefault="00E839DF">
      <w:pPr>
        <w:spacing w:line="312" w:lineRule="auto"/>
        <w:rPr>
          <w:rFonts w:ascii="Times New Roman" w:hAnsi="Times New Roman"/>
          <w:sz w:val="20"/>
          <w:szCs w:val="20"/>
        </w:rPr>
      </w:pPr>
      <w:r>
        <w:rPr>
          <w:rFonts w:ascii="Arial" w:eastAsia="宋体" w:hAnsi="Arial" w:cs="Arial"/>
          <w:sz w:val="17"/>
          <w:szCs w:val="17"/>
        </w:rPr>
        <w:t>(a) EXHIBITS:</w:t>
      </w:r>
    </w:p>
    <w:tbl>
      <w:tblPr>
        <w:tblW w:w="5000" w:type="pct"/>
        <w:tblCellMar>
          <w:left w:w="0" w:type="dxa"/>
          <w:right w:w="0" w:type="dxa"/>
        </w:tblCellMar>
        <w:tblLook w:val="04A0" w:firstRow="1" w:lastRow="0" w:firstColumn="1" w:lastColumn="0" w:noHBand="0" w:noVBand="1"/>
      </w:tblPr>
      <w:tblGrid>
        <w:gridCol w:w="831"/>
        <w:gridCol w:w="7475"/>
      </w:tblGrid>
      <w:tr w:rsidR="00FB67F9" w14:paraId="606F8EDE" w14:textId="77777777">
        <w:tc>
          <w:tcPr>
            <w:tcW w:w="0" w:type="auto"/>
            <w:gridSpan w:val="2"/>
            <w:shd w:val="clear" w:color="auto" w:fill="auto"/>
            <w:vAlign w:val="center"/>
          </w:tcPr>
          <w:p w14:paraId="606F8EDD" w14:textId="77777777" w:rsidR="00FB67F9" w:rsidRDefault="00FB67F9">
            <w:pPr>
              <w:rPr>
                <w:rFonts w:ascii="Times New Roman" w:hAnsi="Times New Roman"/>
                <w:sz w:val="20"/>
                <w:szCs w:val="20"/>
              </w:rPr>
            </w:pPr>
          </w:p>
        </w:tc>
      </w:tr>
      <w:tr w:rsidR="00FB67F9" w14:paraId="606F8EE1" w14:textId="77777777">
        <w:tc>
          <w:tcPr>
            <w:tcW w:w="500" w:type="pct"/>
            <w:shd w:val="clear" w:color="auto" w:fill="auto"/>
            <w:vAlign w:val="center"/>
          </w:tcPr>
          <w:p w14:paraId="606F8EDF" w14:textId="77777777" w:rsidR="00FB67F9" w:rsidRDefault="00FB67F9">
            <w:pPr>
              <w:rPr>
                <w:rFonts w:ascii="Times New Roman" w:hAnsi="Times New Roman"/>
                <w:sz w:val="20"/>
                <w:szCs w:val="20"/>
              </w:rPr>
            </w:pPr>
          </w:p>
        </w:tc>
        <w:tc>
          <w:tcPr>
            <w:tcW w:w="4500" w:type="pct"/>
            <w:shd w:val="clear" w:color="auto" w:fill="auto"/>
            <w:vAlign w:val="center"/>
          </w:tcPr>
          <w:p w14:paraId="606F8EE0" w14:textId="77777777" w:rsidR="00FB67F9" w:rsidRDefault="00FB67F9">
            <w:pPr>
              <w:rPr>
                <w:rFonts w:ascii="Times New Roman" w:hAnsi="Times New Roman"/>
                <w:sz w:val="20"/>
                <w:szCs w:val="20"/>
              </w:rPr>
            </w:pPr>
          </w:p>
        </w:tc>
      </w:tr>
      <w:tr w:rsidR="00FB67F9" w14:paraId="606F8EE4"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606F8EE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EE3"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r>
      <w:tr w:rsidR="00FB67F9" w14:paraId="606F8EE7" w14:textId="77777777">
        <w:tc>
          <w:tcPr>
            <w:tcW w:w="0" w:type="auto"/>
            <w:tcBorders>
              <w:bottom w:val="single" w:sz="8" w:space="0" w:color="E87722"/>
            </w:tcBorders>
            <w:shd w:val="clear" w:color="auto" w:fill="auto"/>
            <w:tcMar>
              <w:top w:w="40" w:type="dxa"/>
              <w:left w:w="40" w:type="dxa"/>
              <w:bottom w:w="40" w:type="dxa"/>
              <w:right w:w="40" w:type="dxa"/>
            </w:tcMar>
          </w:tcPr>
          <w:p w14:paraId="606F8EE5" w14:textId="77777777" w:rsidR="00FB67F9" w:rsidRDefault="00E839DF">
            <w:pPr>
              <w:textAlignment w:val="top"/>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EE6"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Exhibits:</w:t>
            </w:r>
          </w:p>
        </w:tc>
      </w:tr>
      <w:tr w:rsidR="00FB67F9" w14:paraId="606F8EEA"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tcPr>
          <w:p w14:paraId="606F8EE8" w14:textId="77777777" w:rsidR="00FB67F9" w:rsidRDefault="00E839DF">
            <w:pPr>
              <w:textAlignment w:val="top"/>
              <w:rPr>
                <w:rFonts w:ascii="Times New Roman" w:hAnsi="Times New Roman"/>
                <w:sz w:val="17"/>
                <w:szCs w:val="17"/>
              </w:rPr>
            </w:pPr>
            <w:r>
              <w:rPr>
                <w:rFonts w:ascii="Arial" w:eastAsia="宋体" w:hAnsi="Arial" w:cs="Arial"/>
                <w:sz w:val="17"/>
                <w:szCs w:val="17"/>
              </w:rPr>
              <w:t>3.1</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606F8EE9" w14:textId="77777777" w:rsidR="00FB67F9" w:rsidRDefault="00E839DF">
            <w:pPr>
              <w:textAlignment w:val="bottom"/>
              <w:rPr>
                <w:rFonts w:ascii="Times New Roman" w:hAnsi="Times New Roman"/>
                <w:sz w:val="17"/>
                <w:szCs w:val="17"/>
              </w:rPr>
            </w:pPr>
            <w:hyperlink r:id="rId116"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FB67F9" w14:paraId="606F8EE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EEB" w14:textId="77777777" w:rsidR="00FB67F9" w:rsidRDefault="00E839DF">
            <w:pPr>
              <w:textAlignment w:val="top"/>
              <w:rPr>
                <w:rFonts w:ascii="Times New Roman" w:hAnsi="Times New Roman"/>
                <w:sz w:val="17"/>
                <w:szCs w:val="17"/>
              </w:rPr>
            </w:pPr>
            <w:r>
              <w:rPr>
                <w:rFonts w:ascii="Arial" w:eastAsia="宋体" w:hAnsi="Arial" w:cs="Arial"/>
                <w:sz w:val="17"/>
                <w:szCs w:val="17"/>
              </w:rPr>
              <w:t>3.2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EC" w14:textId="77777777" w:rsidR="00FB67F9" w:rsidRDefault="00E839DF">
            <w:pPr>
              <w:textAlignment w:val="bottom"/>
              <w:rPr>
                <w:rFonts w:ascii="Times New Roman" w:hAnsi="Times New Roman"/>
                <w:sz w:val="17"/>
                <w:szCs w:val="17"/>
              </w:rPr>
            </w:pPr>
            <w:hyperlink r:id="rId117" w:history="1">
              <w:r>
                <w:rPr>
                  <w:rStyle w:val="a5"/>
                  <w:rFonts w:ascii="Arial" w:eastAsia="宋体" w:hAnsi="Arial" w:cs="Arial"/>
                  <w:color w:val="000000"/>
                  <w:sz w:val="17"/>
                  <w:szCs w:val="17"/>
                  <w:u w:val="none"/>
                </w:rPr>
                <w:t>Fifth Restated Bylaws, as amended (incorporated by reference to Exhibit 3.2 to the Company's Current Repo</w:t>
              </w:r>
              <w:r>
                <w:rPr>
                  <w:rStyle w:val="a5"/>
                  <w:rFonts w:ascii="Arial" w:eastAsia="宋体" w:hAnsi="Arial" w:cs="Arial"/>
                  <w:color w:val="000000"/>
                  <w:sz w:val="17"/>
                  <w:szCs w:val="17"/>
                  <w:u w:val="none"/>
                </w:rPr>
                <w:t>rt on Form 8-K filed November 17, 2017).</w:t>
              </w:r>
            </w:hyperlink>
          </w:p>
        </w:tc>
      </w:tr>
      <w:tr w:rsidR="00FB67F9" w14:paraId="606F8EF0"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EEE" w14:textId="77777777" w:rsidR="00FB67F9" w:rsidRDefault="00E839DF">
            <w:pPr>
              <w:textAlignment w:val="top"/>
              <w:rPr>
                <w:rFonts w:ascii="Times New Roman" w:hAnsi="Times New Roman"/>
                <w:sz w:val="17"/>
                <w:szCs w:val="17"/>
              </w:rPr>
            </w:pPr>
            <w:r>
              <w:rPr>
                <w:rFonts w:ascii="Arial" w:eastAsia="宋体" w:hAnsi="Arial" w:cs="Arial"/>
                <w:sz w:val="17"/>
                <w:szCs w:val="17"/>
              </w:rPr>
              <w:t>4.1</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EF" w14:textId="77777777" w:rsidR="00FB67F9" w:rsidRDefault="00E839DF">
            <w:pPr>
              <w:textAlignment w:val="bottom"/>
              <w:rPr>
                <w:rFonts w:ascii="Times New Roman" w:hAnsi="Times New Roman"/>
                <w:sz w:val="17"/>
                <w:szCs w:val="17"/>
              </w:rPr>
            </w:pPr>
            <w:hyperlink r:id="rId118" w:history="1">
              <w:r>
                <w:rPr>
                  <w:rStyle w:val="a5"/>
                  <w:rFonts w:ascii="Arial" w:eastAsia="宋体" w:hAnsi="Arial" w:cs="Arial"/>
                  <w:color w:val="000000"/>
                  <w:sz w:val="17"/>
                  <w:szCs w:val="17"/>
                  <w:u w:val="none"/>
                </w:rPr>
                <w:t>Restated Articles of Incorporation, as amended (see Exhibit 3.1).</w:t>
              </w:r>
            </w:hyperlink>
          </w:p>
        </w:tc>
      </w:tr>
      <w:tr w:rsidR="00FB67F9" w14:paraId="606F8EF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EF1" w14:textId="77777777" w:rsidR="00FB67F9" w:rsidRDefault="00E839DF">
            <w:pPr>
              <w:textAlignment w:val="top"/>
              <w:rPr>
                <w:rFonts w:ascii="Times New Roman" w:hAnsi="Times New Roman"/>
                <w:sz w:val="17"/>
                <w:szCs w:val="17"/>
              </w:rPr>
            </w:pPr>
            <w:r>
              <w:rPr>
                <w:rFonts w:ascii="Arial" w:eastAsia="宋体" w:hAnsi="Arial" w:cs="Arial"/>
                <w:sz w:val="17"/>
                <w:szCs w:val="17"/>
              </w:rPr>
              <w:t>4.2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F2" w14:textId="77777777" w:rsidR="00FB67F9" w:rsidRDefault="00E839DF">
            <w:pPr>
              <w:textAlignment w:val="bottom"/>
              <w:rPr>
                <w:rFonts w:ascii="Times New Roman" w:hAnsi="Times New Roman"/>
                <w:sz w:val="17"/>
                <w:szCs w:val="17"/>
              </w:rPr>
            </w:pPr>
            <w:hyperlink r:id="rId119" w:history="1">
              <w:r>
                <w:rPr>
                  <w:rStyle w:val="a5"/>
                  <w:rFonts w:ascii="Arial" w:eastAsia="宋体" w:hAnsi="Arial" w:cs="Arial"/>
                  <w:color w:val="000000"/>
                  <w:sz w:val="17"/>
                  <w:szCs w:val="17"/>
                  <w:u w:val="none"/>
                </w:rPr>
                <w:t>Fifth Restated Bylaws, as amended (see Exhibit 3.2).</w:t>
              </w:r>
            </w:hyperlink>
          </w:p>
        </w:tc>
      </w:tr>
      <w:tr w:rsidR="00FB67F9" w14:paraId="606F8EF6"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EF4" w14:textId="77777777" w:rsidR="00FB67F9" w:rsidRDefault="00E839DF">
            <w:pPr>
              <w:textAlignment w:val="top"/>
              <w:rPr>
                <w:rFonts w:ascii="Times New Roman" w:hAnsi="Times New Roman"/>
                <w:sz w:val="17"/>
                <w:szCs w:val="17"/>
              </w:rPr>
            </w:pPr>
            <w:r>
              <w:rPr>
                <w:rFonts w:ascii="Arial" w:eastAsia="宋体" w:hAnsi="Arial" w:cs="Arial"/>
                <w:sz w:val="17"/>
                <w:szCs w:val="17"/>
              </w:rPr>
              <w:t>4.3</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F5" w14:textId="77777777" w:rsidR="00FB67F9" w:rsidRDefault="00E839DF">
            <w:pPr>
              <w:textAlignment w:val="bottom"/>
              <w:rPr>
                <w:rFonts w:ascii="Times New Roman" w:hAnsi="Times New Roman"/>
                <w:sz w:val="17"/>
                <w:szCs w:val="17"/>
              </w:rPr>
            </w:pPr>
            <w:hyperlink r:id="rId120" w:history="1">
              <w:r>
                <w:rPr>
                  <w:rStyle w:val="a5"/>
                  <w:rFonts w:ascii="Arial" w:eastAsia="宋体" w:hAnsi="Arial" w:cs="Arial"/>
                  <w:color w:val="000000"/>
                  <w:sz w:val="17"/>
                  <w:szCs w:val="17"/>
                  <w:u w:val="none"/>
                </w:rPr>
                <w:t>Third Supplemental Indenture, dated as of October 21, 2016, by and b</w:t>
              </w:r>
              <w:r>
                <w:rPr>
                  <w:rStyle w:val="a5"/>
                  <w:rFonts w:ascii="Arial" w:eastAsia="宋体" w:hAnsi="Arial" w:cs="Arial"/>
                  <w:color w:val="000000"/>
                  <w:sz w:val="17"/>
                  <w:szCs w:val="17"/>
                  <w:u w:val="none"/>
                </w:rPr>
                <w:t>etween NIKE, Inc. and Deutsche Bank Trust Company Americas, as trustee, including the form of 2.375% Notes due 2026 and form of 3.375% Notes due 2046 (incorporated by reference to Exhibit 4.2 to the Company's Form 8-K filed October 21, 2016).</w:t>
              </w:r>
            </w:hyperlink>
          </w:p>
        </w:tc>
      </w:tr>
      <w:tr w:rsidR="00FB67F9" w14:paraId="606F8EF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EF7" w14:textId="77777777" w:rsidR="00FB67F9" w:rsidRDefault="00E839DF">
            <w:pPr>
              <w:textAlignment w:val="top"/>
              <w:rPr>
                <w:rFonts w:ascii="Times New Roman" w:hAnsi="Times New Roman"/>
                <w:sz w:val="17"/>
                <w:szCs w:val="17"/>
              </w:rPr>
            </w:pPr>
            <w:r>
              <w:rPr>
                <w:rFonts w:ascii="Arial" w:eastAsia="宋体" w:hAnsi="Arial" w:cs="Arial"/>
                <w:sz w:val="17"/>
                <w:szCs w:val="17"/>
              </w:rPr>
              <w:t>31.1†</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F8" w14:textId="77777777" w:rsidR="00FB67F9" w:rsidRDefault="00E839DF">
            <w:pPr>
              <w:textAlignment w:val="bottom"/>
              <w:rPr>
                <w:rFonts w:ascii="Times New Roman" w:hAnsi="Times New Roman"/>
                <w:sz w:val="17"/>
                <w:szCs w:val="17"/>
              </w:rPr>
            </w:pPr>
            <w:hyperlink r:id="rId121" w:history="1">
              <w:r>
                <w:rPr>
                  <w:rStyle w:val="a5"/>
                  <w:rFonts w:ascii="Arial" w:eastAsia="宋体" w:hAnsi="Arial" w:cs="Arial"/>
                  <w:color w:val="000000"/>
                  <w:sz w:val="17"/>
                  <w:szCs w:val="17"/>
                  <w:u w:val="none"/>
                </w:rPr>
                <w:t>Rule 13a-14(a)/15d-14(a) Certification of Chief Executive Officer.</w:t>
              </w:r>
            </w:hyperlink>
          </w:p>
        </w:tc>
      </w:tr>
      <w:tr w:rsidR="00FB67F9" w14:paraId="606F8EFC"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EFA" w14:textId="77777777" w:rsidR="00FB67F9" w:rsidRDefault="00E839DF">
            <w:pPr>
              <w:textAlignment w:val="top"/>
              <w:rPr>
                <w:rFonts w:ascii="Times New Roman" w:hAnsi="Times New Roman"/>
                <w:sz w:val="17"/>
                <w:szCs w:val="17"/>
              </w:rPr>
            </w:pPr>
            <w:r>
              <w:rPr>
                <w:rFonts w:ascii="Arial" w:eastAsia="宋体" w:hAnsi="Arial" w:cs="Arial"/>
                <w:sz w:val="17"/>
                <w:szCs w:val="17"/>
              </w:rPr>
              <w:t>31.2†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FB" w14:textId="77777777" w:rsidR="00FB67F9" w:rsidRDefault="00E839DF">
            <w:pPr>
              <w:textAlignment w:val="bottom"/>
              <w:rPr>
                <w:rFonts w:ascii="Times New Roman" w:hAnsi="Times New Roman"/>
                <w:sz w:val="17"/>
                <w:szCs w:val="17"/>
              </w:rPr>
            </w:pPr>
            <w:hyperlink r:id="rId122" w:history="1">
              <w:r>
                <w:rPr>
                  <w:rStyle w:val="a5"/>
                  <w:rFonts w:ascii="Arial" w:eastAsia="宋体" w:hAnsi="Arial" w:cs="Arial"/>
                  <w:color w:val="000000"/>
                  <w:sz w:val="17"/>
                  <w:szCs w:val="17"/>
                  <w:u w:val="none"/>
                </w:rPr>
                <w:t>Rule 13a-14(a)/15d-14(a) Certification of Chief Financial Officer.</w:t>
              </w:r>
            </w:hyperlink>
          </w:p>
        </w:tc>
      </w:tr>
      <w:tr w:rsidR="00FB67F9" w14:paraId="606F8EF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EFD" w14:textId="77777777" w:rsidR="00FB67F9" w:rsidRDefault="00E839DF">
            <w:pPr>
              <w:textAlignment w:val="top"/>
              <w:rPr>
                <w:rFonts w:ascii="Times New Roman" w:hAnsi="Times New Roman"/>
                <w:sz w:val="17"/>
                <w:szCs w:val="17"/>
              </w:rPr>
            </w:pPr>
            <w:r>
              <w:rPr>
                <w:rFonts w:ascii="Arial" w:eastAsia="宋体" w:hAnsi="Arial" w:cs="Arial"/>
                <w:sz w:val="17"/>
                <w:szCs w:val="17"/>
              </w:rPr>
              <w:t>32.1†</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EFE" w14:textId="77777777" w:rsidR="00FB67F9" w:rsidRDefault="00E839DF">
            <w:pPr>
              <w:textAlignment w:val="bottom"/>
              <w:rPr>
                <w:rFonts w:ascii="Times New Roman" w:hAnsi="Times New Roman"/>
                <w:sz w:val="17"/>
                <w:szCs w:val="17"/>
              </w:rPr>
            </w:pPr>
            <w:hyperlink r:id="rId123" w:history="1">
              <w:r>
                <w:rPr>
                  <w:rStyle w:val="a5"/>
                  <w:rFonts w:ascii="Arial" w:eastAsia="宋体" w:hAnsi="Arial" w:cs="Arial"/>
                  <w:color w:val="000000"/>
                  <w:sz w:val="17"/>
                  <w:szCs w:val="17"/>
                  <w:u w:val="none"/>
                </w:rPr>
                <w:t xml:space="preserve">Section 1350 Certificate of </w:t>
              </w:r>
              <w:r>
                <w:rPr>
                  <w:rStyle w:val="a5"/>
                  <w:rFonts w:ascii="Arial" w:eastAsia="宋体" w:hAnsi="Arial" w:cs="Arial"/>
                  <w:color w:val="000000"/>
                  <w:sz w:val="17"/>
                  <w:szCs w:val="17"/>
                  <w:u w:val="none"/>
                </w:rPr>
                <w:t>Chief Executive Officer.</w:t>
              </w:r>
            </w:hyperlink>
          </w:p>
        </w:tc>
      </w:tr>
      <w:tr w:rsidR="00FB67F9" w14:paraId="606F8F0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F00" w14:textId="77777777" w:rsidR="00FB67F9" w:rsidRDefault="00E839DF">
            <w:pPr>
              <w:textAlignment w:val="top"/>
              <w:rPr>
                <w:rFonts w:ascii="Times New Roman" w:hAnsi="Times New Roman"/>
                <w:sz w:val="17"/>
                <w:szCs w:val="17"/>
              </w:rPr>
            </w:pPr>
            <w:r>
              <w:rPr>
                <w:rFonts w:ascii="Arial" w:eastAsia="宋体" w:hAnsi="Arial" w:cs="Arial"/>
                <w:sz w:val="17"/>
                <w:szCs w:val="17"/>
              </w:rPr>
              <w:t>32.2†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F01" w14:textId="77777777" w:rsidR="00FB67F9" w:rsidRDefault="00E839DF">
            <w:pPr>
              <w:textAlignment w:val="bottom"/>
              <w:rPr>
                <w:rFonts w:ascii="Times New Roman" w:hAnsi="Times New Roman"/>
                <w:sz w:val="17"/>
                <w:szCs w:val="17"/>
              </w:rPr>
            </w:pPr>
            <w:hyperlink r:id="rId124" w:history="1">
              <w:r>
                <w:rPr>
                  <w:rStyle w:val="a5"/>
                  <w:rFonts w:ascii="Arial" w:eastAsia="宋体" w:hAnsi="Arial" w:cs="Arial"/>
                  <w:color w:val="000000"/>
                  <w:sz w:val="17"/>
                  <w:szCs w:val="17"/>
                  <w:u w:val="none"/>
                </w:rPr>
                <w:t>Section 1350 Certificate of Chief Financial Officer.</w:t>
              </w:r>
            </w:hyperlink>
          </w:p>
        </w:tc>
      </w:tr>
      <w:tr w:rsidR="00FB67F9" w14:paraId="606F8F05" w14:textId="77777777">
        <w:tc>
          <w:tcPr>
            <w:tcW w:w="0" w:type="auto"/>
            <w:tcBorders>
              <w:top w:val="single" w:sz="8" w:space="0" w:color="808080"/>
            </w:tcBorders>
            <w:shd w:val="clear" w:color="auto" w:fill="auto"/>
            <w:tcMar>
              <w:top w:w="40" w:type="dxa"/>
              <w:left w:w="40" w:type="dxa"/>
              <w:bottom w:w="40" w:type="dxa"/>
              <w:right w:w="40" w:type="dxa"/>
            </w:tcMar>
          </w:tcPr>
          <w:p w14:paraId="606F8F03" w14:textId="77777777" w:rsidR="00FB67F9" w:rsidRDefault="00E839DF">
            <w:pPr>
              <w:textAlignment w:val="top"/>
              <w:rPr>
                <w:rFonts w:ascii="Times New Roman" w:hAnsi="Times New Roman"/>
                <w:sz w:val="17"/>
                <w:szCs w:val="17"/>
              </w:rPr>
            </w:pPr>
            <w:r>
              <w:rPr>
                <w:rFonts w:ascii="Arial" w:eastAsia="宋体" w:hAnsi="Arial" w:cs="Arial"/>
                <w:sz w:val="17"/>
                <w:szCs w:val="17"/>
              </w:rPr>
              <w:t>101.INS</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F04" w14:textId="77777777" w:rsidR="00FB67F9" w:rsidRDefault="00E839DF">
            <w:pPr>
              <w:textAlignment w:val="bottom"/>
              <w:rPr>
                <w:rFonts w:ascii="Times New Roman" w:hAnsi="Times New Roman"/>
                <w:sz w:val="17"/>
                <w:szCs w:val="17"/>
              </w:rPr>
            </w:pPr>
            <w:r>
              <w:rPr>
                <w:rFonts w:ascii="Arial" w:eastAsia="宋体" w:hAnsi="Arial" w:cs="Arial"/>
                <w:sz w:val="17"/>
                <w:szCs w:val="17"/>
              </w:rPr>
              <w:t>XBRL Instance Document.</w:t>
            </w:r>
          </w:p>
        </w:tc>
      </w:tr>
      <w:tr w:rsidR="00FB67F9" w14:paraId="606F8F08" w14:textId="77777777">
        <w:tc>
          <w:tcPr>
            <w:tcW w:w="0" w:type="auto"/>
            <w:tcBorders>
              <w:top w:val="single" w:sz="8" w:space="0" w:color="808080"/>
            </w:tcBorders>
            <w:shd w:val="clear" w:color="auto" w:fill="auto"/>
            <w:tcMar>
              <w:top w:w="40" w:type="dxa"/>
              <w:left w:w="40" w:type="dxa"/>
              <w:bottom w:w="40" w:type="dxa"/>
              <w:right w:w="40" w:type="dxa"/>
            </w:tcMar>
          </w:tcPr>
          <w:p w14:paraId="606F8F06" w14:textId="77777777" w:rsidR="00FB67F9" w:rsidRDefault="00E839DF">
            <w:pPr>
              <w:textAlignment w:val="top"/>
              <w:rPr>
                <w:rFonts w:ascii="Times New Roman" w:hAnsi="Times New Roman"/>
                <w:sz w:val="17"/>
                <w:szCs w:val="17"/>
              </w:rPr>
            </w:pPr>
            <w:r>
              <w:rPr>
                <w:rFonts w:ascii="Arial" w:eastAsia="宋体" w:hAnsi="Arial" w:cs="Arial"/>
                <w:sz w:val="17"/>
                <w:szCs w:val="17"/>
              </w:rPr>
              <w:t>101.SCH</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F07"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XBRL Taxonomy Extension Schema </w:t>
            </w:r>
            <w:r>
              <w:rPr>
                <w:rFonts w:ascii="Arial" w:eastAsia="宋体" w:hAnsi="Arial" w:cs="Arial"/>
                <w:sz w:val="17"/>
                <w:szCs w:val="17"/>
              </w:rPr>
              <w:t>Document.</w:t>
            </w:r>
          </w:p>
        </w:tc>
      </w:tr>
      <w:tr w:rsidR="00FB67F9" w14:paraId="606F8F0B" w14:textId="77777777">
        <w:tc>
          <w:tcPr>
            <w:tcW w:w="0" w:type="auto"/>
            <w:tcBorders>
              <w:top w:val="single" w:sz="8" w:space="0" w:color="808080"/>
            </w:tcBorders>
            <w:shd w:val="clear" w:color="auto" w:fill="auto"/>
            <w:tcMar>
              <w:top w:w="40" w:type="dxa"/>
              <w:left w:w="40" w:type="dxa"/>
              <w:bottom w:w="40" w:type="dxa"/>
              <w:right w:w="40" w:type="dxa"/>
            </w:tcMar>
          </w:tcPr>
          <w:p w14:paraId="606F8F09" w14:textId="77777777" w:rsidR="00FB67F9" w:rsidRDefault="00E839DF">
            <w:pPr>
              <w:textAlignment w:val="top"/>
              <w:rPr>
                <w:rFonts w:ascii="Times New Roman" w:hAnsi="Times New Roman"/>
                <w:sz w:val="17"/>
                <w:szCs w:val="17"/>
              </w:rPr>
            </w:pPr>
            <w:r>
              <w:rPr>
                <w:rFonts w:ascii="Arial" w:eastAsia="宋体" w:hAnsi="Arial" w:cs="Arial"/>
                <w:sz w:val="17"/>
                <w:szCs w:val="17"/>
              </w:rPr>
              <w:t>101.CAL</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F0A" w14:textId="77777777" w:rsidR="00FB67F9" w:rsidRDefault="00E839DF">
            <w:pPr>
              <w:textAlignment w:val="bottom"/>
              <w:rPr>
                <w:rFonts w:ascii="Times New Roman" w:hAnsi="Times New Roman"/>
                <w:sz w:val="17"/>
                <w:szCs w:val="17"/>
              </w:rPr>
            </w:pPr>
            <w:r>
              <w:rPr>
                <w:rFonts w:ascii="Arial" w:eastAsia="宋体" w:hAnsi="Arial" w:cs="Arial"/>
                <w:sz w:val="17"/>
                <w:szCs w:val="17"/>
              </w:rPr>
              <w:t>XBRL Taxonomy Extension Calculation Linkbase Document.</w:t>
            </w:r>
          </w:p>
        </w:tc>
      </w:tr>
      <w:tr w:rsidR="00FB67F9" w14:paraId="606F8F0E" w14:textId="77777777">
        <w:tc>
          <w:tcPr>
            <w:tcW w:w="0" w:type="auto"/>
            <w:tcBorders>
              <w:top w:val="single" w:sz="8" w:space="0" w:color="808080"/>
            </w:tcBorders>
            <w:shd w:val="clear" w:color="auto" w:fill="auto"/>
            <w:tcMar>
              <w:top w:w="40" w:type="dxa"/>
              <w:left w:w="40" w:type="dxa"/>
              <w:bottom w:w="40" w:type="dxa"/>
              <w:right w:w="40" w:type="dxa"/>
            </w:tcMar>
          </w:tcPr>
          <w:p w14:paraId="606F8F0C" w14:textId="77777777" w:rsidR="00FB67F9" w:rsidRDefault="00E839DF">
            <w:pPr>
              <w:textAlignment w:val="top"/>
              <w:rPr>
                <w:rFonts w:ascii="Times New Roman" w:hAnsi="Times New Roman"/>
                <w:sz w:val="17"/>
                <w:szCs w:val="17"/>
              </w:rPr>
            </w:pPr>
            <w:r>
              <w:rPr>
                <w:rFonts w:ascii="Arial" w:eastAsia="宋体" w:hAnsi="Arial" w:cs="Arial"/>
                <w:sz w:val="17"/>
                <w:szCs w:val="17"/>
              </w:rPr>
              <w:t>101.DEF</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F0D" w14:textId="77777777" w:rsidR="00FB67F9" w:rsidRDefault="00E839DF">
            <w:pPr>
              <w:textAlignment w:val="bottom"/>
              <w:rPr>
                <w:rFonts w:ascii="Times New Roman" w:hAnsi="Times New Roman"/>
                <w:sz w:val="17"/>
                <w:szCs w:val="17"/>
              </w:rPr>
            </w:pPr>
            <w:r>
              <w:rPr>
                <w:rFonts w:ascii="Arial" w:eastAsia="宋体" w:hAnsi="Arial" w:cs="Arial"/>
                <w:sz w:val="17"/>
                <w:szCs w:val="17"/>
              </w:rPr>
              <w:t>XBRL Taxonomy Extension Definition Document.</w:t>
            </w:r>
          </w:p>
        </w:tc>
      </w:tr>
      <w:tr w:rsidR="00FB67F9" w14:paraId="606F8F1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F0F" w14:textId="77777777" w:rsidR="00FB67F9" w:rsidRDefault="00E839DF">
            <w:pPr>
              <w:textAlignment w:val="top"/>
              <w:rPr>
                <w:rFonts w:ascii="Times New Roman" w:hAnsi="Times New Roman"/>
                <w:sz w:val="17"/>
                <w:szCs w:val="17"/>
              </w:rPr>
            </w:pPr>
            <w:r>
              <w:rPr>
                <w:rFonts w:ascii="Arial" w:eastAsia="宋体" w:hAnsi="Arial" w:cs="Arial"/>
                <w:sz w:val="17"/>
                <w:szCs w:val="17"/>
              </w:rPr>
              <w:t>101.LAB</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F10" w14:textId="77777777" w:rsidR="00FB67F9" w:rsidRDefault="00E839DF">
            <w:pPr>
              <w:textAlignment w:val="bottom"/>
              <w:rPr>
                <w:rFonts w:ascii="Times New Roman" w:hAnsi="Times New Roman"/>
                <w:sz w:val="17"/>
                <w:szCs w:val="17"/>
              </w:rPr>
            </w:pPr>
            <w:r>
              <w:rPr>
                <w:rFonts w:ascii="Arial" w:eastAsia="宋体" w:hAnsi="Arial" w:cs="Arial"/>
                <w:sz w:val="17"/>
                <w:szCs w:val="17"/>
              </w:rPr>
              <w:t>XBRL Taxonomy Extension Label Linkbase Document.</w:t>
            </w:r>
          </w:p>
        </w:tc>
      </w:tr>
      <w:tr w:rsidR="00FB67F9" w14:paraId="606F8F14"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606F8F12" w14:textId="77777777" w:rsidR="00FB67F9" w:rsidRDefault="00E839DF">
            <w:pPr>
              <w:textAlignment w:val="top"/>
              <w:rPr>
                <w:rFonts w:ascii="Times New Roman" w:hAnsi="Times New Roman"/>
                <w:sz w:val="17"/>
                <w:szCs w:val="17"/>
              </w:rPr>
            </w:pPr>
            <w:r>
              <w:rPr>
                <w:rFonts w:ascii="Arial" w:eastAsia="宋体" w:hAnsi="Arial" w:cs="Arial"/>
                <w:sz w:val="17"/>
                <w:szCs w:val="17"/>
              </w:rPr>
              <w:t>101.PRE</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606F8F13"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XBRL Taxonomy Extension Presentation Linkbase </w:t>
            </w:r>
            <w:r>
              <w:rPr>
                <w:rFonts w:ascii="Arial" w:eastAsia="宋体" w:hAnsi="Arial" w:cs="Arial"/>
                <w:sz w:val="17"/>
                <w:szCs w:val="17"/>
              </w:rPr>
              <w:t>Document.</w:t>
            </w:r>
          </w:p>
        </w:tc>
      </w:tr>
      <w:tr w:rsidR="00FB67F9" w14:paraId="606F8F17" w14:textId="77777777">
        <w:tc>
          <w:tcPr>
            <w:tcW w:w="0" w:type="auto"/>
            <w:tcBorders>
              <w:bottom w:val="single" w:sz="8" w:space="0" w:color="E87722"/>
            </w:tcBorders>
            <w:shd w:val="clear" w:color="auto" w:fill="auto"/>
            <w:tcMar>
              <w:top w:w="40" w:type="dxa"/>
              <w:left w:w="40" w:type="dxa"/>
              <w:bottom w:w="40" w:type="dxa"/>
              <w:right w:w="40" w:type="dxa"/>
            </w:tcMar>
          </w:tcPr>
          <w:p w14:paraId="606F8F15" w14:textId="77777777" w:rsidR="00FB67F9" w:rsidRDefault="00E839DF">
            <w:pPr>
              <w:textAlignment w:val="top"/>
              <w:rPr>
                <w:rFonts w:ascii="Times New Roman" w:hAnsi="Times New Roman"/>
                <w:sz w:val="17"/>
                <w:szCs w:val="17"/>
              </w:rPr>
            </w:pPr>
            <w:r>
              <w:rPr>
                <w:rFonts w:ascii="Arial" w:eastAsia="宋体" w:hAnsi="Arial" w:cs="Arial"/>
                <w:sz w:val="17"/>
                <w:szCs w:val="17"/>
              </w:rPr>
              <w:t>104</w:t>
            </w:r>
          </w:p>
        </w:tc>
        <w:tc>
          <w:tcPr>
            <w:tcW w:w="0" w:type="auto"/>
            <w:tcBorders>
              <w:bottom w:val="single" w:sz="8" w:space="0" w:color="E87722"/>
            </w:tcBorders>
            <w:shd w:val="clear" w:color="auto" w:fill="auto"/>
            <w:tcMar>
              <w:top w:w="40" w:type="dxa"/>
              <w:left w:w="40" w:type="dxa"/>
              <w:bottom w:w="40" w:type="dxa"/>
              <w:right w:w="40" w:type="dxa"/>
            </w:tcMar>
            <w:vAlign w:val="bottom"/>
          </w:tcPr>
          <w:p w14:paraId="606F8F16" w14:textId="77777777" w:rsidR="00FB67F9" w:rsidRDefault="00E839DF">
            <w:pPr>
              <w:textAlignment w:val="bottom"/>
              <w:rPr>
                <w:rFonts w:ascii="Times New Roman" w:hAnsi="Times New Roman"/>
                <w:sz w:val="17"/>
                <w:szCs w:val="17"/>
              </w:rPr>
            </w:pPr>
            <w:r>
              <w:rPr>
                <w:rFonts w:ascii="Arial" w:eastAsia="宋体" w:hAnsi="Arial" w:cs="Arial"/>
                <w:sz w:val="17"/>
                <w:szCs w:val="17"/>
              </w:rPr>
              <w:t>Cover Page Interactive Data File (formatted in iXBRL Exhibit 101)</w:t>
            </w:r>
          </w:p>
        </w:tc>
      </w:tr>
    </w:tbl>
    <w:p w14:paraId="606F8F18"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w:t>
      </w:r>
      <w:r>
        <w:rPr>
          <w:rFonts w:ascii="Arial" w:eastAsia="宋体" w:hAnsi="Arial" w:cs="Arial"/>
          <w:i/>
          <w:iCs/>
          <w:sz w:val="17"/>
          <w:szCs w:val="17"/>
        </w:rPr>
        <w:t xml:space="preserve"> Furnished herewith</w:t>
      </w:r>
    </w:p>
    <w:p w14:paraId="606F8F19" w14:textId="77777777" w:rsidR="00FB67F9" w:rsidRDefault="00FB67F9">
      <w:pPr>
        <w:rPr>
          <w:rFonts w:ascii="Times New Roman" w:hAnsi="Times New Roman"/>
          <w:sz w:val="20"/>
          <w:szCs w:val="20"/>
        </w:rPr>
      </w:pPr>
    </w:p>
    <w:p w14:paraId="606F8F1A" w14:textId="77777777" w:rsidR="00FB67F9" w:rsidRDefault="00E839DF">
      <w:pPr>
        <w:rPr>
          <w:rFonts w:ascii="Times New Roman" w:hAnsi="Times New Roman"/>
          <w:sz w:val="17"/>
          <w:szCs w:val="17"/>
        </w:rPr>
      </w:pPr>
      <w:r>
        <w:rPr>
          <w:rFonts w:ascii="sans-serif" w:eastAsia="sans-serif" w:hAnsi="sans-serif" w:cs="sans-serif"/>
          <w:color w:val="E87722"/>
          <w:sz w:val="17"/>
          <w:szCs w:val="17"/>
        </w:rPr>
        <w:t>46</w:t>
      </w:r>
      <w:r>
        <w:rPr>
          <w:rFonts w:ascii="sans-serif" w:eastAsia="sans-serif" w:hAnsi="sans-serif" w:cs="sans-serif"/>
          <w:sz w:val="17"/>
          <w:szCs w:val="17"/>
        </w:rPr>
        <w:t xml:space="preserve"> </w:t>
      </w:r>
    </w:p>
    <w:p w14:paraId="606F8F1B" w14:textId="77777777" w:rsidR="00FB67F9" w:rsidRDefault="00E839DF">
      <w:r>
        <w:rPr>
          <w:rFonts w:ascii="Times New Roman" w:hAnsi="Times New Roman"/>
          <w:sz w:val="17"/>
          <w:szCs w:val="17"/>
        </w:rPr>
        <w:pict w14:anchorId="606F8FAB">
          <v:rect id="_x0000_i1072" style="width:415.3pt;height:1.5pt" o:hralign="center" o:hrstd="t" o:hr="t" fillcolor="#a0a0a0" stroked="f"/>
        </w:pict>
      </w:r>
    </w:p>
    <w:p w14:paraId="606F8F1C" w14:textId="77777777" w:rsidR="00FB67F9" w:rsidRDefault="00FB67F9">
      <w:pPr>
        <w:rPr>
          <w:rFonts w:ascii="Times New Roman" w:hAnsi="Times New Roman"/>
          <w:sz w:val="17"/>
          <w:szCs w:val="17"/>
        </w:rPr>
      </w:pPr>
    </w:p>
    <w:p w14:paraId="606F8F1D" w14:textId="77777777" w:rsidR="00FB67F9" w:rsidRDefault="00E839DF">
      <w:pPr>
        <w:rPr>
          <w:rFonts w:ascii="Times New Roman" w:hAnsi="Times New Roman"/>
          <w:sz w:val="17"/>
          <w:szCs w:val="17"/>
        </w:rPr>
      </w:pPr>
      <w:hyperlink r:id="rId125" w:anchor="s42C493F7582652B69E70047AB812E6A5" w:history="1">
        <w:r>
          <w:rPr>
            <w:rStyle w:val="a5"/>
            <w:rFonts w:ascii="sans-serif" w:eastAsia="sans-serif" w:hAnsi="sans-serif" w:cs="sans-serif"/>
            <w:sz w:val="17"/>
            <w:szCs w:val="17"/>
          </w:rPr>
          <w:t>Table of Contents</w:t>
        </w:r>
      </w:hyperlink>
    </w:p>
    <w:p w14:paraId="606F8F1E" w14:textId="77777777" w:rsidR="00FB67F9" w:rsidRDefault="00FB67F9">
      <w:pPr>
        <w:rPr>
          <w:rFonts w:ascii="Times New Roman" w:hAnsi="Times New Roman"/>
          <w:sz w:val="17"/>
          <w:szCs w:val="17"/>
        </w:rPr>
      </w:pPr>
    </w:p>
    <w:p w14:paraId="606F8F1F" w14:textId="77777777" w:rsidR="00FB67F9" w:rsidRDefault="00FB67F9">
      <w:pPr>
        <w:rPr>
          <w:rFonts w:ascii="Times New Roman" w:hAnsi="Times New Roman"/>
          <w:sz w:val="20"/>
          <w:szCs w:val="20"/>
        </w:rPr>
      </w:pPr>
    </w:p>
    <w:p w14:paraId="606F8F20" w14:textId="77777777" w:rsidR="00FB67F9" w:rsidRDefault="00E839DF">
      <w:pPr>
        <w:rPr>
          <w:rFonts w:ascii="Times New Roman" w:hAnsi="Times New Roman"/>
          <w:sz w:val="44"/>
          <w:szCs w:val="44"/>
        </w:rPr>
      </w:pPr>
      <w:r>
        <w:rPr>
          <w:rFonts w:ascii="sans-serif" w:eastAsia="sans-serif" w:hAnsi="sans-serif" w:cs="sans-serif"/>
          <w:color w:val="000000"/>
          <w:sz w:val="44"/>
          <w:szCs w:val="44"/>
        </w:rPr>
        <w:t>SIGNATURES</w:t>
      </w:r>
    </w:p>
    <w:p w14:paraId="606F8F21" w14:textId="77777777" w:rsidR="00FB67F9" w:rsidRDefault="00E839DF">
      <w:pPr>
        <w:spacing w:line="312" w:lineRule="auto"/>
        <w:rPr>
          <w:rFonts w:ascii="Times New Roman" w:hAnsi="Times New Roman"/>
          <w:sz w:val="17"/>
          <w:szCs w:val="17"/>
        </w:rPr>
      </w:pPr>
      <w:r>
        <w:rPr>
          <w:rFonts w:ascii="Arial" w:eastAsia="宋体" w:hAnsi="Arial" w:cs="Arial"/>
          <w:sz w:val="17"/>
          <w:szCs w:val="17"/>
        </w:rPr>
        <w:t xml:space="preserve">Pursuant to the requirements of the Securities Exchange Act of </w:t>
      </w:r>
      <w:r>
        <w:rPr>
          <w:rFonts w:ascii="Arial" w:eastAsia="宋体" w:hAnsi="Arial" w:cs="Arial"/>
          <w:sz w:val="17"/>
          <w:szCs w:val="17"/>
        </w:rPr>
        <w:t>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498"/>
        <w:gridCol w:w="166"/>
        <w:gridCol w:w="7642"/>
      </w:tblGrid>
      <w:tr w:rsidR="00FB67F9" w14:paraId="606F8F23" w14:textId="77777777">
        <w:tc>
          <w:tcPr>
            <w:tcW w:w="0" w:type="auto"/>
            <w:gridSpan w:val="3"/>
            <w:shd w:val="clear" w:color="auto" w:fill="auto"/>
            <w:vAlign w:val="center"/>
          </w:tcPr>
          <w:p w14:paraId="606F8F22" w14:textId="77777777" w:rsidR="00FB67F9" w:rsidRDefault="00FB67F9">
            <w:pPr>
              <w:rPr>
                <w:rFonts w:ascii="Times New Roman" w:hAnsi="Times New Roman"/>
                <w:sz w:val="20"/>
                <w:szCs w:val="20"/>
              </w:rPr>
            </w:pPr>
          </w:p>
        </w:tc>
      </w:tr>
      <w:tr w:rsidR="00FB67F9" w14:paraId="606F8F27" w14:textId="77777777">
        <w:tc>
          <w:tcPr>
            <w:tcW w:w="300" w:type="pct"/>
            <w:shd w:val="clear" w:color="auto" w:fill="auto"/>
            <w:vAlign w:val="center"/>
          </w:tcPr>
          <w:p w14:paraId="606F8F24" w14:textId="77777777" w:rsidR="00FB67F9" w:rsidRDefault="00FB67F9">
            <w:pPr>
              <w:rPr>
                <w:rFonts w:ascii="Times New Roman" w:hAnsi="Times New Roman"/>
                <w:sz w:val="20"/>
                <w:szCs w:val="20"/>
              </w:rPr>
            </w:pPr>
          </w:p>
        </w:tc>
        <w:tc>
          <w:tcPr>
            <w:tcW w:w="100" w:type="pct"/>
            <w:shd w:val="clear" w:color="auto" w:fill="auto"/>
            <w:vAlign w:val="center"/>
          </w:tcPr>
          <w:p w14:paraId="606F8F25" w14:textId="77777777" w:rsidR="00FB67F9" w:rsidRDefault="00FB67F9">
            <w:pPr>
              <w:rPr>
                <w:rFonts w:ascii="Times New Roman" w:hAnsi="Times New Roman"/>
                <w:sz w:val="20"/>
                <w:szCs w:val="20"/>
              </w:rPr>
            </w:pPr>
          </w:p>
        </w:tc>
        <w:tc>
          <w:tcPr>
            <w:tcW w:w="4600" w:type="pct"/>
            <w:shd w:val="clear" w:color="auto" w:fill="auto"/>
            <w:vAlign w:val="center"/>
          </w:tcPr>
          <w:p w14:paraId="606F8F26" w14:textId="77777777" w:rsidR="00FB67F9" w:rsidRDefault="00FB67F9">
            <w:pPr>
              <w:rPr>
                <w:rFonts w:ascii="Times New Roman" w:hAnsi="Times New Roman"/>
                <w:sz w:val="20"/>
                <w:szCs w:val="20"/>
              </w:rPr>
            </w:pPr>
          </w:p>
        </w:tc>
      </w:tr>
      <w:tr w:rsidR="00FB67F9" w14:paraId="606F8F2A" w14:textId="77777777">
        <w:tc>
          <w:tcPr>
            <w:tcW w:w="0" w:type="auto"/>
            <w:gridSpan w:val="3"/>
            <w:shd w:val="clear" w:color="auto" w:fill="auto"/>
            <w:tcMar>
              <w:top w:w="40" w:type="dxa"/>
              <w:left w:w="40" w:type="dxa"/>
              <w:bottom w:w="40" w:type="dxa"/>
              <w:right w:w="40" w:type="dxa"/>
            </w:tcMar>
            <w:vAlign w:val="bottom"/>
          </w:tcPr>
          <w:p w14:paraId="606F8F28"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 xml:space="preserve">NIKE, INC. </w:t>
            </w:r>
          </w:p>
          <w:p w14:paraId="606F8F29"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an Oregon Corporation</w:t>
            </w:r>
          </w:p>
        </w:tc>
      </w:tr>
      <w:tr w:rsidR="00FB67F9" w14:paraId="606F8F30" w14:textId="77777777">
        <w:tc>
          <w:tcPr>
            <w:tcW w:w="0" w:type="auto"/>
            <w:tcBorders>
              <w:top w:val="single" w:sz="8" w:space="0" w:color="808080"/>
            </w:tcBorders>
            <w:shd w:val="clear" w:color="auto" w:fill="auto"/>
            <w:tcMar>
              <w:top w:w="40" w:type="dxa"/>
              <w:left w:w="40" w:type="dxa"/>
              <w:bottom w:w="40" w:type="dxa"/>
              <w:right w:w="40" w:type="dxa"/>
            </w:tcMar>
          </w:tcPr>
          <w:p w14:paraId="606F8F2B" w14:textId="77777777" w:rsidR="00FB67F9" w:rsidRDefault="00E839DF">
            <w:pPr>
              <w:textAlignment w:val="top"/>
              <w:rPr>
                <w:rFonts w:ascii="Times New Roman" w:hAnsi="Times New Roman"/>
                <w:sz w:val="17"/>
                <w:szCs w:val="17"/>
              </w:rPr>
            </w:pPr>
            <w:r>
              <w:rPr>
                <w:rFonts w:ascii="Arial" w:eastAsia="宋体" w:hAnsi="Arial" w:cs="Arial"/>
                <w:sz w:val="17"/>
                <w:szCs w:val="17"/>
              </w:rPr>
              <w:t>By:</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F2C"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606F8F2D" w14:textId="77777777" w:rsidR="00FB67F9" w:rsidRDefault="00E839DF">
            <w:pPr>
              <w:textAlignment w:val="bottom"/>
              <w:rPr>
                <w:rFonts w:ascii="Times New Roman" w:hAnsi="Times New Roman"/>
                <w:sz w:val="17"/>
                <w:szCs w:val="17"/>
              </w:rPr>
            </w:pPr>
            <w:r>
              <w:rPr>
                <w:rFonts w:ascii="Arial" w:eastAsia="宋体" w:hAnsi="Arial" w:cs="Arial"/>
                <w:sz w:val="17"/>
                <w:szCs w:val="17"/>
              </w:rPr>
              <w:t>/s/ ANDREW CAMPION</w:t>
            </w:r>
          </w:p>
          <w:p w14:paraId="606F8F2E" w14:textId="77777777" w:rsidR="00FB67F9" w:rsidRDefault="00E839DF">
            <w:pPr>
              <w:textAlignment w:val="bottom"/>
              <w:rPr>
                <w:rFonts w:ascii="Times New Roman" w:hAnsi="Times New Roman"/>
                <w:sz w:val="17"/>
                <w:szCs w:val="17"/>
              </w:rPr>
            </w:pPr>
            <w:r>
              <w:rPr>
                <w:rFonts w:ascii="Arial" w:eastAsia="宋体" w:hAnsi="Arial" w:cs="Arial"/>
                <w:b/>
                <w:bCs/>
                <w:sz w:val="17"/>
                <w:szCs w:val="17"/>
              </w:rPr>
              <w:t>Andrew Campion</w:t>
            </w:r>
          </w:p>
          <w:p w14:paraId="606F8F2F" w14:textId="77777777" w:rsidR="00FB67F9" w:rsidRDefault="00E839DF">
            <w:pPr>
              <w:textAlignment w:val="bottom"/>
              <w:rPr>
                <w:rFonts w:ascii="Times New Roman" w:hAnsi="Times New Roman"/>
                <w:sz w:val="17"/>
                <w:szCs w:val="17"/>
              </w:rPr>
            </w:pPr>
            <w:r>
              <w:rPr>
                <w:rFonts w:ascii="Arial" w:eastAsia="宋体" w:hAnsi="Arial" w:cs="Arial"/>
                <w:sz w:val="17"/>
                <w:szCs w:val="17"/>
              </w:rPr>
              <w:t xml:space="preserve">Chief Financial Officer and Authorized </w:t>
            </w:r>
            <w:r>
              <w:rPr>
                <w:rFonts w:ascii="Arial" w:eastAsia="宋体" w:hAnsi="Arial" w:cs="Arial"/>
                <w:sz w:val="17"/>
                <w:szCs w:val="17"/>
              </w:rPr>
              <w:t>Officer</w:t>
            </w:r>
          </w:p>
        </w:tc>
      </w:tr>
      <w:tr w:rsidR="00FB67F9" w14:paraId="606F8F34" w14:textId="77777777">
        <w:tc>
          <w:tcPr>
            <w:tcW w:w="0" w:type="auto"/>
            <w:tcBorders>
              <w:bottom w:val="single" w:sz="8" w:space="0" w:color="808080"/>
            </w:tcBorders>
            <w:shd w:val="clear" w:color="auto" w:fill="auto"/>
            <w:tcMar>
              <w:top w:w="40" w:type="dxa"/>
              <w:left w:w="40" w:type="dxa"/>
              <w:bottom w:w="40" w:type="dxa"/>
              <w:right w:w="40" w:type="dxa"/>
            </w:tcMar>
            <w:vAlign w:val="bottom"/>
          </w:tcPr>
          <w:p w14:paraId="606F8F31" w14:textId="77777777" w:rsidR="00FB67F9" w:rsidRDefault="00E839DF">
            <w:pPr>
              <w:textAlignment w:val="bottom"/>
              <w:rPr>
                <w:rFonts w:ascii="Times New Roman" w:hAnsi="Times New Roman"/>
                <w:sz w:val="17"/>
                <w:szCs w:val="17"/>
              </w:rPr>
            </w:pPr>
            <w:r>
              <w:rPr>
                <w:rFonts w:ascii="Arial" w:eastAsia="宋体" w:hAnsi="Arial" w:cs="Arial"/>
                <w:sz w:val="17"/>
                <w:szCs w:val="17"/>
              </w:rPr>
              <w:t>Date:</w:t>
            </w:r>
          </w:p>
        </w:tc>
        <w:tc>
          <w:tcPr>
            <w:tcW w:w="0" w:type="auto"/>
            <w:tcBorders>
              <w:bottom w:val="single" w:sz="8" w:space="0" w:color="808080"/>
            </w:tcBorders>
            <w:shd w:val="clear" w:color="auto" w:fill="auto"/>
            <w:tcMar>
              <w:top w:w="40" w:type="dxa"/>
              <w:left w:w="40" w:type="dxa"/>
              <w:bottom w:w="40" w:type="dxa"/>
              <w:right w:w="40" w:type="dxa"/>
            </w:tcMar>
            <w:vAlign w:val="bottom"/>
          </w:tcPr>
          <w:p w14:paraId="606F8F32" w14:textId="77777777" w:rsidR="00FB67F9" w:rsidRDefault="00E839D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vAlign w:val="bottom"/>
          </w:tcPr>
          <w:p w14:paraId="606F8F33" w14:textId="77777777" w:rsidR="00FB67F9" w:rsidRDefault="00E839DF">
            <w:pPr>
              <w:textAlignment w:val="bottom"/>
              <w:rPr>
                <w:rFonts w:ascii="Times New Roman" w:hAnsi="Times New Roman"/>
                <w:sz w:val="17"/>
                <w:szCs w:val="17"/>
              </w:rPr>
            </w:pPr>
            <w:r>
              <w:rPr>
                <w:rFonts w:ascii="Arial" w:eastAsia="宋体" w:hAnsi="Arial" w:cs="Arial"/>
                <w:sz w:val="17"/>
                <w:szCs w:val="17"/>
              </w:rPr>
              <w:t>January 7, 2020</w:t>
            </w:r>
          </w:p>
        </w:tc>
      </w:tr>
    </w:tbl>
    <w:p w14:paraId="606F8F35" w14:textId="77777777" w:rsidR="00FB67F9" w:rsidRDefault="00FB67F9">
      <w:pPr>
        <w:rPr>
          <w:rFonts w:ascii="Times New Roman" w:hAnsi="Times New Roman"/>
          <w:sz w:val="20"/>
          <w:szCs w:val="20"/>
        </w:rPr>
      </w:pPr>
    </w:p>
    <w:p w14:paraId="606F8F36" w14:textId="77777777" w:rsidR="00FB67F9" w:rsidRDefault="00E839DF">
      <w:pPr>
        <w:jc w:val="right"/>
        <w:rPr>
          <w:rFonts w:ascii="Times New Roman" w:hAnsi="Times New Roman"/>
          <w:sz w:val="17"/>
          <w:szCs w:val="17"/>
        </w:rPr>
      </w:pPr>
      <w:r>
        <w:rPr>
          <w:rFonts w:ascii="sans-serif" w:eastAsia="sans-serif" w:hAnsi="sans-serif" w:cs="sans-serif"/>
          <w:color w:val="E87722"/>
          <w:sz w:val="17"/>
          <w:szCs w:val="17"/>
        </w:rPr>
        <w:t>47</w:t>
      </w:r>
    </w:p>
    <w:p w14:paraId="606F8F37" w14:textId="77777777" w:rsidR="00FB67F9" w:rsidRDefault="00E839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06F8FAC" wp14:editId="606F8FAD">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39" w14:textId="77777777">
        <w:trPr>
          <w:tblCellSpacing w:w="15" w:type="dxa"/>
        </w:trPr>
        <w:tc>
          <w:tcPr>
            <w:tcW w:w="0" w:type="auto"/>
            <w:shd w:val="clear" w:color="auto" w:fill="auto"/>
            <w:vAlign w:val="center"/>
          </w:tcPr>
          <w:p w14:paraId="606F8F38" w14:textId="77777777" w:rsidR="00FB67F9" w:rsidRDefault="00FB67F9">
            <w:pPr>
              <w:rPr>
                <w:rFonts w:ascii="宋体"/>
              </w:rPr>
            </w:pPr>
          </w:p>
        </w:tc>
      </w:tr>
    </w:tbl>
    <w:p w14:paraId="606F8F3A"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3C" w14:textId="77777777">
        <w:trPr>
          <w:tblCellSpacing w:w="15" w:type="dxa"/>
        </w:trPr>
        <w:tc>
          <w:tcPr>
            <w:tcW w:w="0" w:type="auto"/>
            <w:shd w:val="clear" w:color="auto" w:fill="auto"/>
            <w:vAlign w:val="center"/>
          </w:tcPr>
          <w:p w14:paraId="606F8F3B" w14:textId="77777777" w:rsidR="00FB67F9" w:rsidRDefault="00FB67F9">
            <w:pPr>
              <w:rPr>
                <w:rFonts w:ascii="宋体"/>
              </w:rPr>
            </w:pPr>
          </w:p>
        </w:tc>
      </w:tr>
    </w:tbl>
    <w:p w14:paraId="606F8F3D"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3F" w14:textId="77777777">
        <w:trPr>
          <w:tblCellSpacing w:w="15" w:type="dxa"/>
        </w:trPr>
        <w:tc>
          <w:tcPr>
            <w:tcW w:w="0" w:type="auto"/>
            <w:shd w:val="clear" w:color="auto" w:fill="auto"/>
            <w:vAlign w:val="center"/>
          </w:tcPr>
          <w:p w14:paraId="606F8F3E" w14:textId="77777777" w:rsidR="00FB67F9" w:rsidRDefault="00FB67F9">
            <w:pPr>
              <w:rPr>
                <w:rFonts w:ascii="宋体"/>
              </w:rPr>
            </w:pPr>
          </w:p>
        </w:tc>
      </w:tr>
    </w:tbl>
    <w:p w14:paraId="606F8F40"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42" w14:textId="77777777">
        <w:trPr>
          <w:tblCellSpacing w:w="15" w:type="dxa"/>
        </w:trPr>
        <w:tc>
          <w:tcPr>
            <w:tcW w:w="0" w:type="auto"/>
            <w:shd w:val="clear" w:color="auto" w:fill="auto"/>
            <w:vAlign w:val="center"/>
          </w:tcPr>
          <w:p w14:paraId="606F8F41" w14:textId="77777777" w:rsidR="00FB67F9" w:rsidRDefault="00FB67F9">
            <w:pPr>
              <w:rPr>
                <w:rFonts w:ascii="宋体"/>
              </w:rPr>
            </w:pPr>
          </w:p>
        </w:tc>
      </w:tr>
    </w:tbl>
    <w:p w14:paraId="606F8F43" w14:textId="77777777" w:rsidR="00FB67F9" w:rsidRDefault="00E839DF">
      <w:r>
        <w:rPr>
          <w:rFonts w:ascii="宋体" w:eastAsia="宋体" w:hAnsi="宋体" w:cs="宋体"/>
        </w:rPr>
        <w:t xml:space="preserve">Previous Next </w:t>
      </w:r>
    </w:p>
    <w:p w14:paraId="606F8F44" w14:textId="77777777" w:rsidR="00FB67F9" w:rsidRDefault="00E839DF">
      <w:pPr>
        <w:pStyle w:val="a3"/>
      </w:pPr>
      <w:r>
        <w:t>Settings</w:t>
      </w:r>
    </w:p>
    <w:p w14:paraId="606F8F45" w14:textId="77777777" w:rsidR="00FB67F9" w:rsidRDefault="00E839DF">
      <w:pPr>
        <w:pStyle w:val="Style4"/>
      </w:pPr>
      <w:r>
        <w:t>窗体顶端</w:t>
      </w:r>
    </w:p>
    <w:p w14:paraId="606F8F46" w14:textId="77777777" w:rsidR="00FB67F9" w:rsidRDefault="00E839D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06F8FAE" wp14:editId="606F8FAF">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06F8F47" w14:textId="77777777" w:rsidR="00FB67F9" w:rsidRDefault="00E839D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06F8FB0" wp14:editId="606F8FB1">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06F8F48" w14:textId="77777777" w:rsidR="00FB67F9" w:rsidRDefault="00E839DF">
      <w:r>
        <w:pict w14:anchorId="606F8FB2">
          <v:rect id="_x0000_i1073" style="width:415.3pt;height:1.5pt" o:hralign="center" o:hrstd="t" o:hr="t" fillcolor="#a0a0a0" stroked="f"/>
        </w:pict>
      </w:r>
    </w:p>
    <w:p w14:paraId="606F8F49" w14:textId="77777777" w:rsidR="00FB67F9" w:rsidRDefault="00E839DF">
      <w:r>
        <w:rPr>
          <w:rFonts w:ascii="宋体" w:eastAsia="宋体" w:hAnsi="宋体" w:cs="宋体"/>
        </w:rPr>
        <w:t xml:space="preserve">Tagged Data </w:t>
      </w:r>
    </w:p>
    <w:p w14:paraId="606F8F4A" w14:textId="77777777" w:rsidR="00FB67F9" w:rsidRDefault="00E839DF">
      <w:r>
        <w:rPr>
          <w:rFonts w:ascii="monospace" w:eastAsia="monospace" w:hAnsi="monospace" w:cs="monospace"/>
          <w:noProof/>
        </w:rPr>
        <mc:AlternateContent>
          <mc:Choice Requires="wps">
            <w:drawing>
              <wp:inline distT="0" distB="0" distL="114300" distR="114300" wp14:anchorId="606F8FB3" wp14:editId="606F8FB4">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606F8F4B" w14:textId="77777777" w:rsidR="00FB67F9" w:rsidRDefault="00E839DF">
      <w:r>
        <w:rPr>
          <w:rFonts w:ascii="宋体" w:eastAsia="宋体" w:hAnsi="宋体" w:cs="宋体"/>
        </w:rPr>
        <w:t>Save</w:t>
      </w:r>
    </w:p>
    <w:p w14:paraId="606F8F4C" w14:textId="77777777" w:rsidR="00FB67F9" w:rsidRDefault="00E839DF">
      <w:r>
        <w:rPr>
          <w:rFonts w:ascii="宋体" w:eastAsia="宋体" w:hAnsi="宋体" w:cs="宋体"/>
        </w:rPr>
        <w:t>Reset</w:t>
      </w:r>
    </w:p>
    <w:p w14:paraId="606F8F4D" w14:textId="77777777" w:rsidR="00FB67F9" w:rsidRDefault="00E839DF">
      <w:r>
        <w:pict w14:anchorId="606F8FB5">
          <v:rect id="_x0000_i1074" style="width:415.3pt;height:1.5pt" o:hralign="center" o:hrstd="t" o:hr="t" fillcolor="#a0a0a0" stroked="f"/>
        </w:pict>
      </w:r>
    </w:p>
    <w:p w14:paraId="606F8F4E" w14:textId="77777777" w:rsidR="00FB67F9" w:rsidRDefault="00E839DF">
      <w:r>
        <w:rPr>
          <w:rFonts w:ascii="宋体" w:eastAsia="宋体" w:hAnsi="宋体" w:cs="宋体"/>
        </w:rPr>
        <w:t xml:space="preserve">Search Results </w:t>
      </w:r>
    </w:p>
    <w:p w14:paraId="606F8F4F" w14:textId="77777777" w:rsidR="00FB67F9" w:rsidRDefault="00E839DF">
      <w:r>
        <w:rPr>
          <w:rFonts w:ascii="monospace" w:eastAsia="monospace" w:hAnsi="monospace" w:cs="monospace"/>
          <w:noProof/>
        </w:rPr>
        <mc:AlternateContent>
          <mc:Choice Requires="wps">
            <w:drawing>
              <wp:inline distT="0" distB="0" distL="114300" distR="114300" wp14:anchorId="606F8FB6" wp14:editId="606F8FB7">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06F8F50" w14:textId="77777777" w:rsidR="00FB67F9" w:rsidRDefault="00E839DF">
      <w:r>
        <w:rPr>
          <w:rFonts w:ascii="宋体" w:eastAsia="宋体" w:hAnsi="宋体" w:cs="宋体"/>
        </w:rPr>
        <w:t>Save</w:t>
      </w:r>
    </w:p>
    <w:p w14:paraId="606F8F51" w14:textId="77777777" w:rsidR="00FB67F9" w:rsidRDefault="00E839DF">
      <w:r>
        <w:rPr>
          <w:rFonts w:ascii="宋体" w:eastAsia="宋体" w:hAnsi="宋体" w:cs="宋体"/>
        </w:rPr>
        <w:t>Reset</w:t>
      </w:r>
    </w:p>
    <w:p w14:paraId="606F8F52" w14:textId="77777777" w:rsidR="00FB67F9" w:rsidRDefault="00E839DF">
      <w:r>
        <w:pict w14:anchorId="606F8FB8">
          <v:rect id="_x0000_i1075" style="width:415.3pt;height:1.5pt" o:hralign="center" o:hrstd="t" o:hr="t" fillcolor="#a0a0a0" stroked="f"/>
        </w:pict>
      </w:r>
    </w:p>
    <w:p w14:paraId="606F8F53" w14:textId="77777777" w:rsidR="00FB67F9" w:rsidRDefault="00E839DF">
      <w:r>
        <w:rPr>
          <w:rFonts w:ascii="宋体" w:eastAsia="宋体" w:hAnsi="宋体" w:cs="宋体"/>
        </w:rPr>
        <w:t xml:space="preserve">Selected Fact </w:t>
      </w:r>
    </w:p>
    <w:p w14:paraId="606F8F54" w14:textId="77777777" w:rsidR="00FB67F9" w:rsidRDefault="00E839DF">
      <w:r>
        <w:rPr>
          <w:rFonts w:ascii="monospace" w:eastAsia="monospace" w:hAnsi="monospace" w:cs="monospace"/>
          <w:noProof/>
        </w:rPr>
        <mc:AlternateContent>
          <mc:Choice Requires="wps">
            <w:drawing>
              <wp:inline distT="0" distB="0" distL="114300" distR="114300" wp14:anchorId="606F8FB9" wp14:editId="606F8FBA">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606F8F55" w14:textId="77777777" w:rsidR="00FB67F9" w:rsidRDefault="00E839DF">
      <w:r>
        <w:rPr>
          <w:rFonts w:ascii="宋体" w:eastAsia="宋体" w:hAnsi="宋体" w:cs="宋体"/>
        </w:rPr>
        <w:t>Save</w:t>
      </w:r>
    </w:p>
    <w:p w14:paraId="606F8F56" w14:textId="77777777" w:rsidR="00FB67F9" w:rsidRDefault="00E839DF">
      <w:r>
        <w:rPr>
          <w:rFonts w:ascii="宋体" w:eastAsia="宋体" w:hAnsi="宋体" w:cs="宋体"/>
        </w:rPr>
        <w:t>Reset</w:t>
      </w:r>
    </w:p>
    <w:p w14:paraId="606F8F57" w14:textId="77777777" w:rsidR="00FB67F9" w:rsidRDefault="00E839DF">
      <w:r>
        <w:pict w14:anchorId="606F8FBB">
          <v:rect id="_x0000_i1076" style="width:415.3pt;height:1.5pt" o:hralign="center" o:hrstd="t" o:hr="t" fillcolor="#a0a0a0" stroked="f"/>
        </w:pict>
      </w:r>
    </w:p>
    <w:p w14:paraId="606F8F58" w14:textId="77777777" w:rsidR="00FB67F9" w:rsidRDefault="00E839DF">
      <w:r>
        <w:rPr>
          <w:rFonts w:ascii="宋体" w:eastAsia="宋体" w:hAnsi="宋体" w:cs="宋体"/>
        </w:rPr>
        <w:t xml:space="preserve">Tag Shading (hover) </w:t>
      </w:r>
    </w:p>
    <w:p w14:paraId="606F8F59" w14:textId="77777777" w:rsidR="00FB67F9" w:rsidRDefault="00E839DF">
      <w:r>
        <w:rPr>
          <w:rFonts w:ascii="monospace" w:eastAsia="monospace" w:hAnsi="monospace" w:cs="monospace"/>
          <w:noProof/>
        </w:rPr>
        <mc:AlternateContent>
          <mc:Choice Requires="wps">
            <w:drawing>
              <wp:inline distT="0" distB="0" distL="114300" distR="114300" wp14:anchorId="606F8FBC" wp14:editId="606F8FBD">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06F8F5A" w14:textId="77777777" w:rsidR="00FB67F9" w:rsidRDefault="00E839DF">
      <w:r>
        <w:rPr>
          <w:rFonts w:ascii="宋体" w:eastAsia="宋体" w:hAnsi="宋体" w:cs="宋体"/>
        </w:rPr>
        <w:t>Save</w:t>
      </w:r>
    </w:p>
    <w:p w14:paraId="606F8F5B" w14:textId="77777777" w:rsidR="00FB67F9" w:rsidRDefault="00E839DF">
      <w:r>
        <w:rPr>
          <w:rFonts w:ascii="宋体" w:eastAsia="宋体" w:hAnsi="宋体" w:cs="宋体"/>
        </w:rPr>
        <w:t>Reset</w:t>
      </w:r>
    </w:p>
    <w:p w14:paraId="606F8F5C" w14:textId="77777777" w:rsidR="00FB67F9" w:rsidRDefault="00E839DF">
      <w:pPr>
        <w:pStyle w:val="Style5"/>
      </w:pPr>
      <w:r>
        <w:t>窗体底端</w:t>
      </w:r>
    </w:p>
    <w:p w14:paraId="606F8F5D" w14:textId="77777777" w:rsidR="00FB67F9" w:rsidRDefault="00E839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06F8FBE" wp14:editId="606F8FBF">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5F" w14:textId="77777777">
        <w:trPr>
          <w:tblCellSpacing w:w="15" w:type="dxa"/>
        </w:trPr>
        <w:tc>
          <w:tcPr>
            <w:tcW w:w="0" w:type="auto"/>
            <w:shd w:val="clear" w:color="auto" w:fill="auto"/>
            <w:vAlign w:val="center"/>
          </w:tcPr>
          <w:p w14:paraId="606F8F5E" w14:textId="77777777" w:rsidR="00FB67F9" w:rsidRDefault="00FB67F9">
            <w:pPr>
              <w:rPr>
                <w:rFonts w:ascii="宋体"/>
              </w:rPr>
            </w:pPr>
          </w:p>
        </w:tc>
      </w:tr>
    </w:tbl>
    <w:p w14:paraId="606F8F60"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62" w14:textId="77777777">
        <w:trPr>
          <w:tblCellSpacing w:w="15" w:type="dxa"/>
        </w:trPr>
        <w:tc>
          <w:tcPr>
            <w:tcW w:w="0" w:type="auto"/>
            <w:shd w:val="clear" w:color="auto" w:fill="auto"/>
            <w:vAlign w:val="center"/>
          </w:tcPr>
          <w:p w14:paraId="606F8F61" w14:textId="77777777" w:rsidR="00FB67F9" w:rsidRDefault="00FB67F9">
            <w:pPr>
              <w:rPr>
                <w:rFonts w:ascii="宋体"/>
              </w:rPr>
            </w:pPr>
          </w:p>
        </w:tc>
      </w:tr>
    </w:tbl>
    <w:p w14:paraId="606F8F63"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65" w14:textId="77777777">
        <w:trPr>
          <w:tblCellSpacing w:w="15" w:type="dxa"/>
        </w:trPr>
        <w:tc>
          <w:tcPr>
            <w:tcW w:w="0" w:type="auto"/>
            <w:shd w:val="clear" w:color="auto" w:fill="auto"/>
            <w:vAlign w:val="center"/>
          </w:tcPr>
          <w:p w14:paraId="606F8F64" w14:textId="77777777" w:rsidR="00FB67F9" w:rsidRDefault="00FB67F9">
            <w:pPr>
              <w:rPr>
                <w:rFonts w:ascii="宋体"/>
              </w:rPr>
            </w:pPr>
          </w:p>
        </w:tc>
      </w:tr>
    </w:tbl>
    <w:p w14:paraId="606F8F66"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68" w14:textId="77777777">
        <w:trPr>
          <w:tblCellSpacing w:w="15" w:type="dxa"/>
        </w:trPr>
        <w:tc>
          <w:tcPr>
            <w:tcW w:w="0" w:type="auto"/>
            <w:shd w:val="clear" w:color="auto" w:fill="auto"/>
            <w:vAlign w:val="center"/>
          </w:tcPr>
          <w:p w14:paraId="606F8F67" w14:textId="77777777" w:rsidR="00FB67F9" w:rsidRDefault="00FB67F9">
            <w:pPr>
              <w:rPr>
                <w:rFonts w:ascii="宋体"/>
              </w:rPr>
            </w:pPr>
          </w:p>
        </w:tc>
      </w:tr>
    </w:tbl>
    <w:p w14:paraId="606F8F69" w14:textId="77777777" w:rsidR="00FB67F9" w:rsidRDefault="00E839DF">
      <w:r>
        <w:rPr>
          <w:rFonts w:ascii="宋体" w:eastAsia="宋体" w:hAnsi="宋体" w:cs="宋体"/>
        </w:rPr>
        <w:t xml:space="preserve">Previous Next </w:t>
      </w:r>
    </w:p>
    <w:p w14:paraId="606F8F6A" w14:textId="77777777" w:rsidR="00FB67F9" w:rsidRDefault="00E839DF">
      <w:pPr>
        <w:pStyle w:val="a3"/>
      </w:pPr>
      <w:r>
        <w:t xml:space="preserve">Nested Facts / </w:t>
      </w:r>
    </w:p>
    <w:p w14:paraId="606F8F6B" w14:textId="77777777" w:rsidR="00FB67F9" w:rsidRDefault="00E839DF">
      <w:r>
        <w:rPr>
          <w:rFonts w:ascii="宋体" w:eastAsia="宋体" w:hAnsi="宋体" w:cs="宋体"/>
        </w:rPr>
        <w:t xml:space="preserve">Previous Next </w:t>
      </w:r>
    </w:p>
    <w:p w14:paraId="606F8F6C" w14:textId="77777777" w:rsidR="00FB67F9" w:rsidRDefault="00E839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06F8FC0" wp14:editId="606F8FC1">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6E" w14:textId="77777777">
        <w:trPr>
          <w:tblCellSpacing w:w="15" w:type="dxa"/>
        </w:trPr>
        <w:tc>
          <w:tcPr>
            <w:tcW w:w="0" w:type="auto"/>
            <w:shd w:val="clear" w:color="auto" w:fill="auto"/>
            <w:vAlign w:val="center"/>
          </w:tcPr>
          <w:p w14:paraId="606F8F6D" w14:textId="77777777" w:rsidR="00FB67F9" w:rsidRDefault="00FB67F9">
            <w:pPr>
              <w:rPr>
                <w:rFonts w:ascii="宋体"/>
              </w:rPr>
            </w:pPr>
          </w:p>
        </w:tc>
      </w:tr>
    </w:tbl>
    <w:p w14:paraId="606F8F6F"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71" w14:textId="77777777">
        <w:trPr>
          <w:tblCellSpacing w:w="15" w:type="dxa"/>
        </w:trPr>
        <w:tc>
          <w:tcPr>
            <w:tcW w:w="0" w:type="auto"/>
            <w:shd w:val="clear" w:color="auto" w:fill="auto"/>
            <w:vAlign w:val="center"/>
          </w:tcPr>
          <w:p w14:paraId="606F8F70" w14:textId="77777777" w:rsidR="00FB67F9" w:rsidRDefault="00FB67F9">
            <w:pPr>
              <w:rPr>
                <w:rFonts w:ascii="宋体"/>
              </w:rPr>
            </w:pPr>
          </w:p>
        </w:tc>
      </w:tr>
    </w:tbl>
    <w:p w14:paraId="606F8F72"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74" w14:textId="77777777">
        <w:trPr>
          <w:tblCellSpacing w:w="15" w:type="dxa"/>
        </w:trPr>
        <w:tc>
          <w:tcPr>
            <w:tcW w:w="0" w:type="auto"/>
            <w:shd w:val="clear" w:color="auto" w:fill="auto"/>
            <w:vAlign w:val="center"/>
          </w:tcPr>
          <w:p w14:paraId="606F8F73" w14:textId="77777777" w:rsidR="00FB67F9" w:rsidRDefault="00FB67F9">
            <w:pPr>
              <w:rPr>
                <w:rFonts w:ascii="宋体"/>
              </w:rPr>
            </w:pPr>
          </w:p>
        </w:tc>
      </w:tr>
    </w:tbl>
    <w:p w14:paraId="606F8F75" w14:textId="77777777" w:rsidR="00FB67F9" w:rsidRDefault="00FB67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7F9" w14:paraId="606F8F77" w14:textId="77777777">
        <w:trPr>
          <w:tblCellSpacing w:w="15" w:type="dxa"/>
        </w:trPr>
        <w:tc>
          <w:tcPr>
            <w:tcW w:w="0" w:type="auto"/>
            <w:shd w:val="clear" w:color="auto" w:fill="auto"/>
            <w:vAlign w:val="center"/>
          </w:tcPr>
          <w:p w14:paraId="606F8F76" w14:textId="77777777" w:rsidR="00FB67F9" w:rsidRDefault="00FB67F9">
            <w:pPr>
              <w:rPr>
                <w:rFonts w:ascii="宋体"/>
              </w:rPr>
            </w:pPr>
          </w:p>
        </w:tc>
      </w:tr>
    </w:tbl>
    <w:p w14:paraId="606F8F78" w14:textId="77777777" w:rsidR="00FB67F9" w:rsidRDefault="00E839DF">
      <w:r>
        <w:rPr>
          <w:rFonts w:ascii="宋体" w:eastAsia="宋体" w:hAnsi="宋体" w:cs="宋体"/>
        </w:rPr>
        <w:t xml:space="preserve">Previous Next </w:t>
      </w:r>
    </w:p>
    <w:p w14:paraId="606F8F79" w14:textId="77777777" w:rsidR="00FB67F9" w:rsidRDefault="00FB67F9"/>
    <w:sectPr w:rsidR="00FB67F9">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DBDC" w14:textId="77777777" w:rsidR="00E839DF" w:rsidRDefault="00E839DF" w:rsidP="00E839DF">
      <w:r>
        <w:separator/>
      </w:r>
    </w:p>
  </w:endnote>
  <w:endnote w:type="continuationSeparator" w:id="0">
    <w:p w14:paraId="6453DA2C" w14:textId="77777777" w:rsidR="00E839DF" w:rsidRDefault="00E839DF" w:rsidP="00E8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6470" w14:textId="77777777" w:rsidR="00E839DF" w:rsidRDefault="00E839DF" w:rsidP="00E839DF">
      <w:r>
        <w:separator/>
      </w:r>
    </w:p>
  </w:footnote>
  <w:footnote w:type="continuationSeparator" w:id="0">
    <w:p w14:paraId="5E811940" w14:textId="77777777" w:rsidR="00E839DF" w:rsidRDefault="00E839DF" w:rsidP="00E839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EFB190"/>
    <w:rsid w:val="00E839DF"/>
    <w:rsid w:val="00FB67F9"/>
    <w:rsid w:val="7AEFB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F682C"/>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839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839DF"/>
    <w:rPr>
      <w:rFonts w:asciiTheme="minorEastAsia" w:hAnsiTheme="minorEastAsia" w:cs="Times New Roman"/>
      <w:sz w:val="18"/>
      <w:szCs w:val="18"/>
    </w:rPr>
  </w:style>
  <w:style w:type="paragraph" w:styleId="a8">
    <w:name w:val="footer"/>
    <w:basedOn w:val="a"/>
    <w:link w:val="a9"/>
    <w:rsid w:val="00E839DF"/>
    <w:pPr>
      <w:tabs>
        <w:tab w:val="center" w:pos="4153"/>
        <w:tab w:val="right" w:pos="8306"/>
      </w:tabs>
      <w:snapToGrid w:val="0"/>
    </w:pPr>
    <w:rPr>
      <w:sz w:val="18"/>
      <w:szCs w:val="18"/>
    </w:rPr>
  </w:style>
  <w:style w:type="character" w:customStyle="1" w:styleId="a9">
    <w:name w:val="页脚 字符"/>
    <w:basedOn w:val="a0"/>
    <w:link w:val="a8"/>
    <w:rsid w:val="00E839D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320187/000032018720000004/nke-1130201910q.htm" TargetMode="External"/><Relationship Id="rId117" Type="http://schemas.openxmlformats.org/officeDocument/2006/relationships/hyperlink" Target="http://www.sec.gov/Archives/edgar/data/320187/000032018717000189/a17-11fifthamendedandresta.htm" TargetMode="External"/><Relationship Id="rId21" Type="http://schemas.openxmlformats.org/officeDocument/2006/relationships/hyperlink" Target="https://www.sec.gov/ix?doc=/Archives/edgar/data/0000320187/000032018720000004/nke-1130201910q.htm" TargetMode="External"/><Relationship Id="rId42" Type="http://schemas.openxmlformats.org/officeDocument/2006/relationships/hyperlink" Target="https://www.sec.gov/ix?doc=/Archives/edgar/data/0000320187/000032018720000004/nke-1130201910q.htm" TargetMode="External"/><Relationship Id="rId47" Type="http://schemas.openxmlformats.org/officeDocument/2006/relationships/hyperlink" Target="https://www.sec.gov/ix?doc=/Archives/edgar/data/0000320187/000032018720000004/nke-1130201910q.htm" TargetMode="External"/><Relationship Id="rId63" Type="http://schemas.openxmlformats.org/officeDocument/2006/relationships/hyperlink" Target="https://www.sec.gov/ix?doc=/Archives/edgar/data/0000320187/000032018720000004/nke-1130201910q.htm" TargetMode="External"/><Relationship Id="rId68" Type="http://schemas.openxmlformats.org/officeDocument/2006/relationships/hyperlink" Target="https://www.sec.gov/ix?doc=/Archives/edgar/data/0000320187/000032018720000004/nke-1130201910q.htm" TargetMode="External"/><Relationship Id="rId84" Type="http://schemas.openxmlformats.org/officeDocument/2006/relationships/hyperlink" Target="https://www.sec.gov/ix?doc=/Archives/edgar/data/0000320187/000032018720000004/nke-1130201910q.htm" TargetMode="External"/><Relationship Id="rId89" Type="http://schemas.openxmlformats.org/officeDocument/2006/relationships/hyperlink" Target="https://www.sec.gov/ix?doc=/Archives/edgar/data/0000320187/000032018720000004/nke-1130201910q.htm" TargetMode="External"/><Relationship Id="rId112" Type="http://schemas.openxmlformats.org/officeDocument/2006/relationships/hyperlink" Target="https://www.sec.gov/ix?doc=/Archives/edgar/data/0000320187/000032018720000004/nke-1130201910q.htm" TargetMode="External"/><Relationship Id="rId16" Type="http://schemas.openxmlformats.org/officeDocument/2006/relationships/hyperlink" Target="https://www.sec.gov/ix?doc=/Archives/edgar/data/0000320187/000032018720000004/nke-1130201910q.htm" TargetMode="External"/><Relationship Id="rId107" Type="http://schemas.openxmlformats.org/officeDocument/2006/relationships/hyperlink" Target="https://www.sec.gov/ix?doc=/Archives/edgar/data/0000320187/000032018720000004/nke-1130201910q.htm" TargetMode="External"/><Relationship Id="rId11" Type="http://schemas.openxmlformats.org/officeDocument/2006/relationships/hyperlink" Target="https://www.sec.gov/ix?doc=/Archives/edgar/data/0000320187/000032018720000004/nke-1130201910q.htm" TargetMode="External"/><Relationship Id="rId32" Type="http://schemas.openxmlformats.org/officeDocument/2006/relationships/hyperlink" Target="https://www.sec.gov/ix?doc=/Archives/edgar/data/0000320187/000032018720000004/nke-1130201910q.htm" TargetMode="External"/><Relationship Id="rId37" Type="http://schemas.openxmlformats.org/officeDocument/2006/relationships/hyperlink" Target="https://www.sec.gov/ix?doc=/Archives/edgar/data/0000320187/000032018720000004/nke-1130201910q.htm" TargetMode="External"/><Relationship Id="rId53" Type="http://schemas.openxmlformats.org/officeDocument/2006/relationships/hyperlink" Target="https://www.sec.gov/ix?doc=/Archives/edgar/data/0000320187/000032018720000004/nke-1130201910q.htm" TargetMode="External"/><Relationship Id="rId58" Type="http://schemas.openxmlformats.org/officeDocument/2006/relationships/hyperlink" Target="https://www.sec.gov/ix?doc=/Archives/edgar/data/0000320187/000032018720000004/nke-1130201910q.htm" TargetMode="External"/><Relationship Id="rId74" Type="http://schemas.openxmlformats.org/officeDocument/2006/relationships/hyperlink" Target="https://www.sec.gov/ix?doc=/Archives/edgar/data/0000320187/000032018720000004/nke-1130201910q.htm" TargetMode="External"/><Relationship Id="rId79" Type="http://schemas.openxmlformats.org/officeDocument/2006/relationships/hyperlink" Target="https://www.sec.gov/ix?doc=/Archives/edgar/data/0000320187/000032018720000004/nke-1130201910q.htm" TargetMode="External"/><Relationship Id="rId102" Type="http://schemas.openxmlformats.org/officeDocument/2006/relationships/hyperlink" Target="https://www.sec.gov/ix?doc=/Archives/edgar/data/0000320187/000032018720000004/nke-1130201910q.htm" TargetMode="External"/><Relationship Id="rId123" Type="http://schemas.openxmlformats.org/officeDocument/2006/relationships/hyperlink" Target="https://www.sec.gov/Archives/edgar/data/0000320187/000032018720000004/nke-11302019xexhibit321.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0000004/nke-1130201910q.htm" TargetMode="External"/><Relationship Id="rId95" Type="http://schemas.openxmlformats.org/officeDocument/2006/relationships/hyperlink" Target="https://www.sec.gov/ix?doc=/Archives/edgar/data/0000320187/000032018720000004/nke-1130201910q.htm" TargetMode="External"/><Relationship Id="rId22" Type="http://schemas.openxmlformats.org/officeDocument/2006/relationships/hyperlink" Target="https://www.sec.gov/ix?doc=/Archives/edgar/data/0000320187/000032018720000004/nke-1130201910q.htm" TargetMode="External"/><Relationship Id="rId27" Type="http://schemas.openxmlformats.org/officeDocument/2006/relationships/hyperlink" Target="https://www.sec.gov/ix?doc=/Archives/edgar/data/0000320187/000032018720000004/nke-1130201910q.htm" TargetMode="External"/><Relationship Id="rId43" Type="http://schemas.openxmlformats.org/officeDocument/2006/relationships/hyperlink" Target="https://www.sec.gov/ix?doc=/Archives/edgar/data/0000320187/000032018720000004/nke-1130201910q.htm" TargetMode="External"/><Relationship Id="rId48" Type="http://schemas.openxmlformats.org/officeDocument/2006/relationships/hyperlink" Target="https://www.sec.gov/ix?doc=/Archives/edgar/data/0000320187/000032018720000004/nke-1130201910q.htm" TargetMode="External"/><Relationship Id="rId64" Type="http://schemas.openxmlformats.org/officeDocument/2006/relationships/hyperlink" Target="https://www.sec.gov/ix?doc=/Archives/edgar/data/0000320187/000032018720000004/nke-1130201910q.htm" TargetMode="External"/><Relationship Id="rId69" Type="http://schemas.openxmlformats.org/officeDocument/2006/relationships/hyperlink" Target="https://www.sec.gov/ix?doc=/Archives/edgar/data/0000320187/000032018720000004/nke-1130201910q.htm" TargetMode="External"/><Relationship Id="rId113" Type="http://schemas.openxmlformats.org/officeDocument/2006/relationships/hyperlink" Target="https://www.sec.gov/ix?doc=/Archives/edgar/data/0000320187/000032018720000004/nke-1130201910q.htm" TargetMode="External"/><Relationship Id="rId118" Type="http://schemas.openxmlformats.org/officeDocument/2006/relationships/hyperlink" Target="http://www.sec.gov/Archives/edgar/data/320187/000032018716000242/nke-11302015xexhibit31.htm" TargetMode="External"/><Relationship Id="rId80" Type="http://schemas.openxmlformats.org/officeDocument/2006/relationships/hyperlink" Target="https://www.sec.gov/ix?doc=/Archives/edgar/data/0000320187/000032018720000004/nke-1130201910q.htm" TargetMode="External"/><Relationship Id="rId85" Type="http://schemas.openxmlformats.org/officeDocument/2006/relationships/hyperlink" Target="https://www.sec.gov/ix?doc=/Archives/edgar/data/0000320187/000032018720000004/nke-1130201910q.htm" TargetMode="External"/><Relationship Id="rId12" Type="http://schemas.openxmlformats.org/officeDocument/2006/relationships/hyperlink" Target="https://www.sec.gov/ix?doc=/Archives/edgar/data/0000320187/000032018720000004/nke-1130201910q.htm" TargetMode="External"/><Relationship Id="rId17" Type="http://schemas.openxmlformats.org/officeDocument/2006/relationships/hyperlink" Target="https://www.sec.gov/ix?doc=/Archives/edgar/data/0000320187/000032018720000004/nke-1130201910q.htm" TargetMode="External"/><Relationship Id="rId33" Type="http://schemas.openxmlformats.org/officeDocument/2006/relationships/hyperlink" Target="https://www.sec.gov/ix?doc=/Archives/edgar/data/0000320187/000032018720000004/nke-1130201910q.htm" TargetMode="External"/><Relationship Id="rId38" Type="http://schemas.openxmlformats.org/officeDocument/2006/relationships/hyperlink" Target="https://www.sec.gov/ix?doc=/Archives/edgar/data/0000320187/000032018720000004/nke-1130201910q.htm" TargetMode="External"/><Relationship Id="rId59" Type="http://schemas.openxmlformats.org/officeDocument/2006/relationships/hyperlink" Target="https://www.sec.gov/ix?doc=/Archives/edgar/data/0000320187/000032018720000004/nke-1130201910q.htm" TargetMode="External"/><Relationship Id="rId103" Type="http://schemas.openxmlformats.org/officeDocument/2006/relationships/hyperlink" Target="https://www.sec.gov/ix?doc=/Archives/edgar/data/0000320187/000032018720000004/nke-1130201910q.htm" TargetMode="External"/><Relationship Id="rId108" Type="http://schemas.openxmlformats.org/officeDocument/2006/relationships/hyperlink" Target="https://www.sec.gov/ix?doc=/Archives/edgar/data/0000320187/000032018720000004/nke-1130201910q.htm" TargetMode="External"/><Relationship Id="rId124" Type="http://schemas.openxmlformats.org/officeDocument/2006/relationships/hyperlink" Target="https://www.sec.gov/Archives/edgar/data/0000320187/000032018720000004/nke-11302019xexhibit322.htm" TargetMode="External"/><Relationship Id="rId54" Type="http://schemas.openxmlformats.org/officeDocument/2006/relationships/hyperlink" Target="https://www.sec.gov/ix?doc=/Archives/edgar/data/0000320187/000032018720000004/nke-1130201910q.htm" TargetMode="External"/><Relationship Id="rId70" Type="http://schemas.openxmlformats.org/officeDocument/2006/relationships/hyperlink" Target="https://www.sec.gov/ix?doc=/Archives/edgar/data/0000320187/000032018720000004/nke-1130201910q.htm" TargetMode="External"/><Relationship Id="rId75" Type="http://schemas.openxmlformats.org/officeDocument/2006/relationships/hyperlink" Target="https://www.sec.gov/ix?doc=/Archives/edgar/data/0000320187/000032018720000004/nke-1130201910q.htm" TargetMode="External"/><Relationship Id="rId91" Type="http://schemas.openxmlformats.org/officeDocument/2006/relationships/hyperlink" Target="https://www.sec.gov/ix?doc=/Archives/edgar/data/0000320187/000032018720000004/nke-1130201910q.htm" TargetMode="External"/><Relationship Id="rId96" Type="http://schemas.openxmlformats.org/officeDocument/2006/relationships/hyperlink" Target="https://www.sec.gov/ix?doc=/Archives/edgar/data/0000320187/000032018720000004/nke-1130201910q.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0000004/nke-1130201910q.htm" TargetMode="External"/><Relationship Id="rId28" Type="http://schemas.openxmlformats.org/officeDocument/2006/relationships/hyperlink" Target="https://www.sec.gov/ix?doc=/Archives/edgar/data/0000320187/000032018720000004/nke-1130201910q.htm" TargetMode="External"/><Relationship Id="rId49" Type="http://schemas.openxmlformats.org/officeDocument/2006/relationships/hyperlink" Target="https://www.sec.gov/ix?doc=/Archives/edgar/data/0000320187/000032018720000004/nke-1130201910q.htm" TargetMode="External"/><Relationship Id="rId114" Type="http://schemas.openxmlformats.org/officeDocument/2006/relationships/hyperlink" Target="https://www.sec.gov/ix?doc=/Archives/edgar/data/0000320187/000032018720000004/nke-1130201910q.htm" TargetMode="External"/><Relationship Id="rId119" Type="http://schemas.openxmlformats.org/officeDocument/2006/relationships/hyperlink" Target="http://www.sec.gov/Archives/edgar/data/320187/000032018717000189/a17-11fifthamendedandresta.htm" TargetMode="External"/><Relationship Id="rId44" Type="http://schemas.openxmlformats.org/officeDocument/2006/relationships/hyperlink" Target="https://www.sec.gov/ix?doc=/Archives/edgar/data/0000320187/000032018720000004/nke-1130201910q.htm" TargetMode="External"/><Relationship Id="rId60" Type="http://schemas.openxmlformats.org/officeDocument/2006/relationships/hyperlink" Target="https://www.sec.gov/ix?doc=/Archives/edgar/data/0000320187/000032018720000004/nke-1130201910q.htm" TargetMode="External"/><Relationship Id="rId65" Type="http://schemas.openxmlformats.org/officeDocument/2006/relationships/hyperlink" Target="https://www.sec.gov/ix?doc=/Archives/edgar/data/0000320187/000032018720000004/nke-1130201910q.htm" TargetMode="External"/><Relationship Id="rId81" Type="http://schemas.openxmlformats.org/officeDocument/2006/relationships/hyperlink" Target="https://www.sec.gov/ix?doc=/Archives/edgar/data/0000320187/000032018720000004/nke-1130201910q.htm" TargetMode="External"/><Relationship Id="rId86" Type="http://schemas.openxmlformats.org/officeDocument/2006/relationships/hyperlink" Target="https://www.sec.gov/ix?doc=/Archives/edgar/data/0000320187/000032018720000004/nke-1130201910q.htm" TargetMode="External"/><Relationship Id="rId13" Type="http://schemas.openxmlformats.org/officeDocument/2006/relationships/hyperlink" Target="https://www.sec.gov/ix?doc=/Archives/edgar/data/0000320187/000032018720000004/nke-1130201910q.htm" TargetMode="External"/><Relationship Id="rId18" Type="http://schemas.openxmlformats.org/officeDocument/2006/relationships/hyperlink" Target="https://www.sec.gov/ix?doc=/Archives/edgar/data/0000320187/000032018720000004/nke-1130201910q.htm" TargetMode="External"/><Relationship Id="rId39" Type="http://schemas.openxmlformats.org/officeDocument/2006/relationships/hyperlink" Target="https://www.sec.gov/ix?doc=/Archives/edgar/data/0000320187/000032018720000004/nke-1130201910q.htm" TargetMode="External"/><Relationship Id="rId109" Type="http://schemas.openxmlformats.org/officeDocument/2006/relationships/hyperlink" Target="https://www.sec.gov/ix?doc=/Archives/edgar/data/0000320187/000032018720000004/nke-1130201910q.htm" TargetMode="External"/><Relationship Id="rId34" Type="http://schemas.openxmlformats.org/officeDocument/2006/relationships/hyperlink" Target="https://www.sec.gov/ix?doc=/Archives/edgar/data/0000320187/000032018720000004/nke-1130201910q.htm" TargetMode="External"/><Relationship Id="rId50" Type="http://schemas.openxmlformats.org/officeDocument/2006/relationships/hyperlink" Target="https://www.sec.gov/ix?doc=/Archives/edgar/data/0000320187/000032018720000004/nke-1130201910q.htm" TargetMode="External"/><Relationship Id="rId55" Type="http://schemas.openxmlformats.org/officeDocument/2006/relationships/hyperlink" Target="https://www.sec.gov/ix?doc=/Archives/edgar/data/0000320187/000032018720000004/nke-1130201910q.htm" TargetMode="External"/><Relationship Id="rId76" Type="http://schemas.openxmlformats.org/officeDocument/2006/relationships/hyperlink" Target="https://www.sec.gov/ix?doc=/Archives/edgar/data/0000320187/000032018720000004/nke-1130201910q.htm" TargetMode="External"/><Relationship Id="rId97" Type="http://schemas.openxmlformats.org/officeDocument/2006/relationships/hyperlink" Target="https://www.sec.gov/ix?doc=/Archives/edgar/data/0000320187/000032018720000004/nke-1130201910q.htm" TargetMode="External"/><Relationship Id="rId104" Type="http://schemas.openxmlformats.org/officeDocument/2006/relationships/hyperlink" Target="https://www.sec.gov/ix?doc=/Archives/edgar/data/0000320187/000032018720000004/nke-1130201910q.htm" TargetMode="External"/><Relationship Id="rId120" Type="http://schemas.openxmlformats.org/officeDocument/2006/relationships/hyperlink" Target="http://www.sec.gov/Archives/edgar/data/320187/000119312516743821/d273960dex42.htm" TargetMode="External"/><Relationship Id="rId125" Type="http://schemas.openxmlformats.org/officeDocument/2006/relationships/hyperlink" Target="https://www.sec.gov/ix?doc=/Archives/edgar/data/0000320187/000032018720000004/nke-1130201910q.htm" TargetMode="External"/><Relationship Id="rId7" Type="http://schemas.openxmlformats.org/officeDocument/2006/relationships/hyperlink" Target="https://www.sec.gov/ix?doc=/Archives/edgar/data/0000320187/000032018720000004/nke-1130201910q.htm" TargetMode="External"/><Relationship Id="rId71" Type="http://schemas.openxmlformats.org/officeDocument/2006/relationships/hyperlink" Target="https://www.sec.gov/ix?doc=/Archives/edgar/data/0000320187/000032018720000004/nke-1130201910q.htm" TargetMode="External"/><Relationship Id="rId92" Type="http://schemas.openxmlformats.org/officeDocument/2006/relationships/hyperlink" Target="https://www.sec.gov/ix?doc=/Archives/edgar/data/0000320187/000032018720000004/nke-1130201910q.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0000004/nke-1130201910q.htm" TargetMode="External"/><Relationship Id="rId24" Type="http://schemas.openxmlformats.org/officeDocument/2006/relationships/hyperlink" Target="https://www.sec.gov/ix?doc=/Archives/edgar/data/0000320187/000032018720000004/nke-1130201910q.htm" TargetMode="External"/><Relationship Id="rId40" Type="http://schemas.openxmlformats.org/officeDocument/2006/relationships/hyperlink" Target="https://www.sec.gov/ix?doc=/Archives/edgar/data/0000320187/000032018720000004/nke-1130201910q.htm" TargetMode="External"/><Relationship Id="rId45" Type="http://schemas.openxmlformats.org/officeDocument/2006/relationships/hyperlink" Target="https://www.sec.gov/ix?doc=/Archives/edgar/data/0000320187/000032018720000004/nke-1130201910q.htm" TargetMode="External"/><Relationship Id="rId66" Type="http://schemas.openxmlformats.org/officeDocument/2006/relationships/hyperlink" Target="https://www.sec.gov/ix?doc=/Archives/edgar/data/0000320187/000032018720000004/nke-1130201910q.htm" TargetMode="External"/><Relationship Id="rId87" Type="http://schemas.openxmlformats.org/officeDocument/2006/relationships/hyperlink" Target="https://www.sec.gov/ix?doc=/Archives/edgar/data/0000320187/000032018720000004/nke-1130201910q.htm" TargetMode="External"/><Relationship Id="rId110" Type="http://schemas.openxmlformats.org/officeDocument/2006/relationships/hyperlink" Target="https://www.sec.gov/ix?doc=/Archives/edgar/data/0000320187/000032018720000004/nke-1130201910q.htm" TargetMode="External"/><Relationship Id="rId115" Type="http://schemas.openxmlformats.org/officeDocument/2006/relationships/hyperlink" Target="https://www.sec.gov/ix?doc=/Archives/edgar/data/0000320187/000032018720000004/nke-1130201910q.htm" TargetMode="External"/><Relationship Id="rId61" Type="http://schemas.openxmlformats.org/officeDocument/2006/relationships/hyperlink" Target="https://www.sec.gov/ix?doc=/Archives/edgar/data/0000320187/000032018720000004/nke-1130201910q.htm" TargetMode="External"/><Relationship Id="rId82" Type="http://schemas.openxmlformats.org/officeDocument/2006/relationships/hyperlink" Target="https://www.sec.gov/ix?doc=/Archives/edgar/data/0000320187/000032018720000004/nke-1130201910q.htm" TargetMode="External"/><Relationship Id="rId19" Type="http://schemas.openxmlformats.org/officeDocument/2006/relationships/hyperlink" Target="https://www.sec.gov/ix?doc=/Archives/edgar/data/0000320187/000032018720000004/nke-1130201910q.htm" TargetMode="External"/><Relationship Id="rId14" Type="http://schemas.openxmlformats.org/officeDocument/2006/relationships/hyperlink" Target="https://www.sec.gov/ix?doc=/Archives/edgar/data/0000320187/000032018720000004/nke-1130201910q.htm" TargetMode="External"/><Relationship Id="rId30" Type="http://schemas.openxmlformats.org/officeDocument/2006/relationships/hyperlink" Target="https://www.sec.gov/ix?doc=/Archives/edgar/data/0000320187/000032018720000004/nke-1130201910q.htm" TargetMode="External"/><Relationship Id="rId35" Type="http://schemas.openxmlformats.org/officeDocument/2006/relationships/hyperlink" Target="https://www.sec.gov/ix?doc=/Archives/edgar/data/0000320187/000032018720000004/nke-1130201910q.htm" TargetMode="External"/><Relationship Id="rId56" Type="http://schemas.openxmlformats.org/officeDocument/2006/relationships/hyperlink" Target="https://www.sec.gov/ix?doc=/Archives/edgar/data/0000320187/000032018720000004/nke-1130201910q.htm" TargetMode="External"/><Relationship Id="rId77" Type="http://schemas.openxmlformats.org/officeDocument/2006/relationships/hyperlink" Target="https://www.sec.gov/ix?doc=/Archives/edgar/data/0000320187/000032018720000004/nke-1130201910q.htm" TargetMode="External"/><Relationship Id="rId100" Type="http://schemas.openxmlformats.org/officeDocument/2006/relationships/hyperlink" Target="https://www.sec.gov/ix?doc=/Archives/edgar/data/0000320187/000032018720000004/nke-1130201910q.htm" TargetMode="External"/><Relationship Id="rId105" Type="http://schemas.openxmlformats.org/officeDocument/2006/relationships/hyperlink" Target="https://www.sec.gov/ix?doc=/Archives/edgar/data/0000320187/000032018720000004/nke-1130201910q.htm" TargetMode="External"/><Relationship Id="rId126" Type="http://schemas.openxmlformats.org/officeDocument/2006/relationships/fontTable" Target="fontTable.xml"/><Relationship Id="rId8" Type="http://schemas.openxmlformats.org/officeDocument/2006/relationships/hyperlink" Target="https://www.sec.gov/ix?doc=/Archives/edgar/data/0000320187/000032018720000004/nke-1130201910q.htm" TargetMode="External"/><Relationship Id="rId51" Type="http://schemas.openxmlformats.org/officeDocument/2006/relationships/hyperlink" Target="https://www.sec.gov/ix?doc=/Archives/edgar/data/0000320187/000032018720000004/nke-1130201910q.htm" TargetMode="External"/><Relationship Id="rId72" Type="http://schemas.openxmlformats.org/officeDocument/2006/relationships/hyperlink" Target="https://www.sec.gov/ix?doc=/Archives/edgar/data/0000320187/000032018720000004/nke-1130201910q.htm" TargetMode="External"/><Relationship Id="rId93" Type="http://schemas.openxmlformats.org/officeDocument/2006/relationships/hyperlink" Target="https://www.sec.gov/ix?doc=/Archives/edgar/data/0000320187/000032018720000004/nke-1130201910q.htm" TargetMode="External"/><Relationship Id="rId98" Type="http://schemas.openxmlformats.org/officeDocument/2006/relationships/hyperlink" Target="https://www.sec.gov/ix?doc=/Archives/edgar/data/0000320187/000032018720000004/nke-1130201910q.htm" TargetMode="External"/><Relationship Id="rId121" Type="http://schemas.openxmlformats.org/officeDocument/2006/relationships/hyperlink" Target="https://www.sec.gov/Archives/edgar/data/0000320187/000032018720000004/nke-11302019xexhibit311.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0000004/nke-1130201910q.htm" TargetMode="External"/><Relationship Id="rId46" Type="http://schemas.openxmlformats.org/officeDocument/2006/relationships/hyperlink" Target="https://www.sec.gov/ix?doc=/Archives/edgar/data/0000320187/000032018720000004/nke-1130201910q.htm" TargetMode="External"/><Relationship Id="rId67" Type="http://schemas.openxmlformats.org/officeDocument/2006/relationships/hyperlink" Target="https://www.sec.gov/ix?doc=/Archives/edgar/data/0000320187/000032018720000004/nke-1130201910q.htm" TargetMode="External"/><Relationship Id="rId116" Type="http://schemas.openxmlformats.org/officeDocument/2006/relationships/hyperlink" Target="http://www.sec.gov/Archives/edgar/data/320187/000032018716000242/nke-11302015xexhibit31.htm" TargetMode="External"/><Relationship Id="rId20" Type="http://schemas.openxmlformats.org/officeDocument/2006/relationships/hyperlink" Target="https://www.sec.gov/ix?doc=/Archives/edgar/data/0000320187/000032018720000004/nke-1130201910q.htm" TargetMode="External"/><Relationship Id="rId41" Type="http://schemas.openxmlformats.org/officeDocument/2006/relationships/hyperlink" Target="https://www.sec.gov/ix?doc=/Archives/edgar/data/0000320187/000032018720000004/nke-1130201910q.htm" TargetMode="External"/><Relationship Id="rId62" Type="http://schemas.openxmlformats.org/officeDocument/2006/relationships/hyperlink" Target="https://www.sec.gov/ix?doc=/Archives/edgar/data/0000320187/000032018720000004/nke-1130201910q.htm" TargetMode="External"/><Relationship Id="rId83" Type="http://schemas.openxmlformats.org/officeDocument/2006/relationships/hyperlink" Target="https://www.sec.gov/ix?doc=/Archives/edgar/data/0000320187/000032018720000004/nke-1130201910q.htm" TargetMode="External"/><Relationship Id="rId88" Type="http://schemas.openxmlformats.org/officeDocument/2006/relationships/hyperlink" Target="https://www.sec.gov/ix?doc=/Archives/edgar/data/0000320187/000032018720000004/nke-1130201910q.htm" TargetMode="External"/><Relationship Id="rId111" Type="http://schemas.openxmlformats.org/officeDocument/2006/relationships/hyperlink" Target="https://www.sec.gov/ix?doc=/Archives/edgar/data/0000320187/000032018720000004/nke-1130201910q.htm" TargetMode="External"/><Relationship Id="rId15" Type="http://schemas.openxmlformats.org/officeDocument/2006/relationships/hyperlink" Target="https://www.sec.gov/ix?doc=/Archives/edgar/data/0000320187/000032018720000004/nke-1130201910q.htm" TargetMode="External"/><Relationship Id="rId36" Type="http://schemas.openxmlformats.org/officeDocument/2006/relationships/hyperlink" Target="https://www.sec.gov/ix?doc=/Archives/edgar/data/0000320187/000032018720000004/nke-1130201910q.htm" TargetMode="External"/><Relationship Id="rId57" Type="http://schemas.openxmlformats.org/officeDocument/2006/relationships/hyperlink" Target="https://www.sec.gov/ix?doc=/Archives/edgar/data/0000320187/000032018720000004/nke-1130201910q.htm" TargetMode="External"/><Relationship Id="rId106" Type="http://schemas.openxmlformats.org/officeDocument/2006/relationships/hyperlink" Target="https://www.sec.gov/ix?doc=/Archives/edgar/data/0000320187/000032018720000004/nke-1130201910q.htm" TargetMode="External"/><Relationship Id="rId127" Type="http://schemas.openxmlformats.org/officeDocument/2006/relationships/theme" Target="theme/theme1.xml"/><Relationship Id="rId10" Type="http://schemas.openxmlformats.org/officeDocument/2006/relationships/hyperlink" Target="https://www.sec.gov/ix?doc=/Archives/edgar/data/0000320187/000032018720000004/nke-1130201910q.htm" TargetMode="External"/><Relationship Id="rId31" Type="http://schemas.openxmlformats.org/officeDocument/2006/relationships/hyperlink" Target="https://www.sec.gov/ix?doc=/Archives/edgar/data/0000320187/000032018720000004/nke-1130201910q.htm" TargetMode="External"/><Relationship Id="rId52" Type="http://schemas.openxmlformats.org/officeDocument/2006/relationships/hyperlink" Target="https://www.sec.gov/ix?doc=/Archives/edgar/data/0000320187/000032018720000004/nke-1130201910q.htm" TargetMode="External"/><Relationship Id="rId73" Type="http://schemas.openxmlformats.org/officeDocument/2006/relationships/hyperlink" Target="https://www.sec.gov/ix?doc=/Archives/edgar/data/0000320187/000032018720000004/nke-1130201910q.htm" TargetMode="External"/><Relationship Id="rId78" Type="http://schemas.openxmlformats.org/officeDocument/2006/relationships/hyperlink" Target="https://www.sec.gov/ix?doc=/Archives/edgar/data/0000320187/000032018720000004/nke-1130201910q.htm" TargetMode="External"/><Relationship Id="rId94" Type="http://schemas.openxmlformats.org/officeDocument/2006/relationships/hyperlink" Target="https://www.sec.gov/ix?doc=/Archives/edgar/data/0000320187/000032018720000004/nke-1130201910q.htm" TargetMode="External"/><Relationship Id="rId99" Type="http://schemas.openxmlformats.org/officeDocument/2006/relationships/hyperlink" Target="https://www.sec.gov/ix?doc=/Archives/edgar/data/0000320187/000032018720000004/nke-1130201910q.htm" TargetMode="External"/><Relationship Id="rId101" Type="http://schemas.openxmlformats.org/officeDocument/2006/relationships/hyperlink" Target="https://www.sec.gov/ix?doc=/Archives/edgar/data/0000320187/000032018720000004/nke-1130201910q.htm" TargetMode="External"/><Relationship Id="rId122" Type="http://schemas.openxmlformats.org/officeDocument/2006/relationships/hyperlink" Target="https://www.sec.gov/Archives/edgar/data/0000320187/000032018720000004/nke-11302019xexhibit312.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0000004/nke-11302019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35024</Words>
  <Characters>199642</Characters>
  <Application>Microsoft Office Word</Application>
  <DocSecurity>0</DocSecurity>
  <Lines>1663</Lines>
  <Paragraphs>468</Paragraphs>
  <ScaleCrop>false</ScaleCrop>
  <Company/>
  <LinksUpToDate>false</LinksUpToDate>
  <CharactersWithSpaces>234198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2023-02-11T21:50:00Z</dcterms:created>
  <dcterms:modified xsi:type="dcterms:W3CDTF">2023-02-13T11:25:00Z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C6D892C6CCB68D1E219DE7631447C7DF</vt:lpwstr>
  </property>
</Properties>
</file>