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4CB8" w14:textId="4E337A07" w:rsidR="004421F6" w:rsidRDefault="00F15622">
      <w:pPr>
        <w:rPr>
          <w:vanish/>
        </w:rPr>
      </w:pPr>
      <w:r>
        <w:rPr>
          <w:rFonts w:ascii="宋体" w:eastAsia="宋体" w:hAnsi="宋体" w:cs="宋体"/>
        </w:rPr>
        <w:t xml:space="preserve"> </w:t>
      </w:r>
      <w:r>
        <w:rPr>
          <w:rFonts w:ascii="宋体" w:eastAsia="宋体" w:hAnsi="宋体" w:cs="宋体"/>
          <w:vanish/>
        </w:rPr>
        <w:t xml:space="preserve">false2021Q10000320187May </w:t>
      </w:r>
      <w:r>
        <w:rPr>
          <w:rFonts w:ascii="宋体" w:eastAsia="宋体" w:hAnsi="宋体" w:cs="宋体"/>
          <w:vanish/>
        </w:rPr>
        <w:t>31YesYesP2M00003201872020-06-012020-08-31xbrli:shares0000320187us-gaap:CommonClassAMember2020-09-280000320187us-gaap:CommonClassBMember2020-09-28iso4217:USD00003201872019-06-012019-08-31iso4217:USDxbrli:shares00003201872020-08-3100003201872020-05-310000320</w:t>
      </w:r>
      <w:r>
        <w:rPr>
          <w:rFonts w:ascii="宋体" w:eastAsia="宋体" w:hAnsi="宋体" w:cs="宋体"/>
          <w:vanish/>
        </w:rPr>
        <w:t>187us-gaap:CommonClassAMember2020-08-310000320187us-gaap:CommonClassAMember2020-05-310000320187us-gaap:CommonClassBMember2020-08-310000320187us-gaap:CommonClassBMember2020-05-3100003201872019-05-3100003201872019-08-310000320187us-gaap:CommonClassAMemberus-</w:t>
      </w:r>
      <w:r>
        <w:rPr>
          <w:rFonts w:ascii="宋体" w:eastAsia="宋体" w:hAnsi="宋体" w:cs="宋体"/>
          <w:vanish/>
        </w:rPr>
        <w:t>gaap:CommonStockMember2020-05-310000320187us-gaap:CommonClassBMemberus-gaap:CommonStockMember2020-05-310000320187us-gaap:AdditionalPaidInCapitalMember2020-05-310000320187us-gaap:AccumulatedOtherComprehensiveIncomeMember2020-05-310000320187us-gaap:RetainedE</w:t>
      </w:r>
      <w:r>
        <w:rPr>
          <w:rFonts w:ascii="宋体" w:eastAsia="宋体" w:hAnsi="宋体" w:cs="宋体"/>
          <w:vanish/>
        </w:rPr>
        <w:t>arningsMember2020-05-310000320187us-gaap:CommonClassBMemberus-gaap:CommonStockMember2020-06-012020-08-310000320187us-gaap:AdditionalPaidInCapitalMember2020-06-012020-08-310000320187us-gaap:RetainedEarningsMember2020-06-012020-08-310000320187us-gaap:Accumul</w:t>
      </w:r>
      <w:r>
        <w:rPr>
          <w:rFonts w:ascii="宋体" w:eastAsia="宋体" w:hAnsi="宋体" w:cs="宋体"/>
          <w:vanish/>
        </w:rPr>
        <w:t>atedOtherComprehensiveIncomeMember2020-06-012020-08-310000320187us-gaap:CommonClassAMemberus-gaap:CommonStockMember2020-08-310000320187us-gaap:CommonClassBMemberus-gaap:CommonStockMember2020-08-310000320187us-gaap:AdditionalPaidInCapitalMember2020-08-31000</w:t>
      </w:r>
      <w:r>
        <w:rPr>
          <w:rFonts w:ascii="宋体" w:eastAsia="宋体" w:hAnsi="宋体" w:cs="宋体"/>
          <w:vanish/>
        </w:rPr>
        <w:t>0320187us-gaap:AccumulatedOtherComprehensiveIncomeMember2020-08-310000320187us-gaap:RetainedEarningsMember2020-08-310000320187us-gaap:CommonClassAMemberus-gaap:CommonStockMember2019-05-310000320187us-gaap:CommonClassBMemberus-gaap:CommonStockMember2019-05-</w:t>
      </w:r>
      <w:r>
        <w:rPr>
          <w:rFonts w:ascii="宋体" w:eastAsia="宋体" w:hAnsi="宋体" w:cs="宋体"/>
          <w:vanish/>
        </w:rPr>
        <w:t>310000320187us-gaap:AdditionalPaidInCapitalMember2019-05-310000320187us-gaap:AccumulatedOtherComprehensiveIncomeMember2019-05-310000320187us-gaap:RetainedEarningsMember2019-05-310000320187us-gaap:CommonClassBMemberus-gaap:CommonStockMember2019-06-012019-08</w:t>
      </w:r>
      <w:r>
        <w:rPr>
          <w:rFonts w:ascii="宋体" w:eastAsia="宋体" w:hAnsi="宋体" w:cs="宋体"/>
          <w:vanish/>
        </w:rPr>
        <w:t>-310000320187us-gaap:AdditionalPaidInCapitalMember2019-06-012019-08-310000320187us-gaap:RetainedEarningsMember2019-06-012019-08-310000320187us-gaap:AccumulatedOtherComprehensiveIncomeMember2019-06-012019-08-310000320187us-gaap:RetainedEarningsMemberus-gaap</w:t>
      </w:r>
      <w:r>
        <w:rPr>
          <w:rFonts w:ascii="宋体" w:eastAsia="宋体" w:hAnsi="宋体" w:cs="宋体"/>
          <w:vanish/>
        </w:rPr>
        <w:t>:AccountingStandardsUpdate201602Member2019-06-010000320187us-gaap:AccountingStandardsUpdate201602Member2019-06-010000320187us-gaap:CommonClassAMemberus-gaap:CommonStockMember2019-08-310000320187us-gaap:CommonClassBMemberus-gaap:CommonStockMember2019-08-310</w:t>
      </w:r>
      <w:r>
        <w:rPr>
          <w:rFonts w:ascii="宋体" w:eastAsia="宋体" w:hAnsi="宋体" w:cs="宋体"/>
          <w:vanish/>
        </w:rPr>
        <w:t>000320187us-gaap:AdditionalPaidInCapitalMember2019-08-310000320187us-gaap:AccumulatedOtherComprehensiveIncomeMember2019-08-310000320187us-gaap:RetainedEarningsMember2019-08-310000320187us-gaap:FairValueMeasurementsRecurringMember2020-08-310000320187us-gaap</w:t>
      </w:r>
      <w:r>
        <w:rPr>
          <w:rFonts w:ascii="宋体" w:eastAsia="宋体" w:hAnsi="宋体" w:cs="宋体"/>
          <w:vanish/>
        </w:rPr>
        <w:t>:FairValueMeasurementsRecurringMemberus-gaap:FairValueInputsLevel1Memberus-gaap:USTreasurySecuritiesMember2020-08-310000320187nke:CommercialPaperandBondsMemberus-gaap:FairValueMeasurementsRecurringMemberus-gaap:FairValueInputsLevel2Member2020-08-3100003201</w:t>
      </w:r>
      <w:r>
        <w:rPr>
          <w:rFonts w:ascii="宋体" w:eastAsia="宋体" w:hAnsi="宋体" w:cs="宋体"/>
          <w:vanish/>
        </w:rPr>
        <w:t>87us-gaap:FairValueMeasurementsRecurringMemberus-gaap:FairValueInputsLevel2Memberus-gaap:MoneyMarketFundsMember2020-08-310000320187us-gaap:FairValueMeasurementsRecurringMemberus-gaap:FairValueInputsLevel2Memberus-gaap:BankTimeDepositsMember2020-08-31000032</w:t>
      </w:r>
      <w:r>
        <w:rPr>
          <w:rFonts w:ascii="宋体" w:eastAsia="宋体" w:hAnsi="宋体" w:cs="宋体"/>
          <w:vanish/>
        </w:rPr>
        <w:t>0187us-gaap:FairValueMeasurementsRecurringMemberus-gaap:FairValueInputsLevel2Memberus-gaap:USGovernmentAgenciesDebtSecuritiesMember2020-08-310000320187us-gaap:FairValueMeasurementsRecurringMemberus-gaap:FairValueInputsLevel2Member2020-08-310000320187us-gaa</w:t>
      </w:r>
      <w:r>
        <w:rPr>
          <w:rFonts w:ascii="宋体" w:eastAsia="宋体" w:hAnsi="宋体" w:cs="宋体"/>
          <w:vanish/>
        </w:rPr>
        <w:t>p:FairValueMeasurementsRecurringMember2020-05-310000320187us-gaap:FairValueMeasurementsRecurringMemberus-gaap:FairValueInputsLevel1Memberus-gaap:USTreasurySecuritiesMember2020-05-310000320187nke:CommercialPaperandBondsMemberus-gaap:FairValueMeasurementsRec</w:t>
      </w:r>
      <w:r>
        <w:rPr>
          <w:rFonts w:ascii="宋体" w:eastAsia="宋体" w:hAnsi="宋体" w:cs="宋体"/>
          <w:vanish/>
        </w:rPr>
        <w:t>urringMemberus-gaap:FairValueInputsLevel2Member2020-05-310000320187us-gaap:FairValueMeasurementsRecurringMemberus-gaap:FairValueInputsLevel2Memberus-gaap:MoneyMarketFundsMember2020-05-310000320187us-gaap:FairValueMeasurementsRecurringMemberus-gaap:FairValu</w:t>
      </w:r>
      <w:r>
        <w:rPr>
          <w:rFonts w:ascii="宋体" w:eastAsia="宋体" w:hAnsi="宋体" w:cs="宋体"/>
          <w:vanish/>
        </w:rPr>
        <w:t>eInputsLevel2Memberus-gaap:BankTimeDepositsMember2020-05-310000320187us-gaap:FairValueMeasurementsRecurringMemberus-gaap:FairValueInputsLevel2Memberus-gaap:USGovernmentAgenciesDebtSecuritiesMember2020-05-310000320187us-gaap:FairValueMeasurementsRecurringMe</w:t>
      </w:r>
      <w:r>
        <w:rPr>
          <w:rFonts w:ascii="宋体" w:eastAsia="宋体" w:hAnsi="宋体" w:cs="宋体"/>
          <w:vanish/>
        </w:rPr>
        <w:t>mberus-gaap:FairValueInputsLevel2Member2020-05-310000320187us-gaap:AvailableforsaleSecuritiesMember2020-08-310000320187nke:InterestIncomeExpenseNetMember2020-06-012020-08-310000320187nke:InterestIncomeExpenseNetMember2019-06-012019-08-310000320187us-gaap:F</w:t>
      </w:r>
      <w:r>
        <w:rPr>
          <w:rFonts w:ascii="宋体" w:eastAsia="宋体" w:hAnsi="宋体" w:cs="宋体"/>
          <w:vanish/>
        </w:rPr>
        <w:t>airValueMeasurementsRecurringMemberus-gaap:FairValueInputsLevel2Memberus-gaap:ForeignExchangeContractMember2020-08-310000320187us-gaap:EmbeddedDerivativeFinancialInstrumentsMemberus-gaap:FairValueMeasurementsRecurringMemberus-gaap:FairValueInputsLevel2Memb</w:t>
      </w:r>
      <w:r>
        <w:rPr>
          <w:rFonts w:ascii="宋体" w:eastAsia="宋体" w:hAnsi="宋体" w:cs="宋体"/>
          <w:vanish/>
        </w:rPr>
        <w:t>er2020-08-310000320187us-gaap:FairValueMeasurementsRecurringMemberus-gaap:ForeignExchangeContractMember2020-08-310000320187us-gaap:CashAndCashEquivalentsMemberus-gaap:ForeignExchangeContractMember2020-08-310000320187us-gaap:FairValueMeasurementsRecurringMe</w:t>
      </w:r>
      <w:r>
        <w:rPr>
          <w:rFonts w:ascii="宋体" w:eastAsia="宋体" w:hAnsi="宋体" w:cs="宋体"/>
          <w:vanish/>
        </w:rPr>
        <w:t>mberus-gaap:FairValueInputsLevel2Memberus-gaap:ForeignExchangeContractMember2020-05-310000320187us-gaap:EmbeddedDerivativeFinancialInstrumentsMemberus-gaap:FairValueMeasurementsRecurringMemberus-gaap:FairValueInputsLevel2Member2020-05-310000320187us-gaap:F</w:t>
      </w:r>
      <w:r>
        <w:rPr>
          <w:rFonts w:ascii="宋体" w:eastAsia="宋体" w:hAnsi="宋体" w:cs="宋体"/>
          <w:vanish/>
        </w:rPr>
        <w:t>airValueMeasurementsRecurringMemberus-gaap:ForeignExchangeContractMember2020-05-310000320187us-gaap:CashAndCashEquivalentsMemberus-gaap:ForeignExchangeContractMember2020-05-310000320187us-gaap:CommercialPaperMember2020-08-310000320187us-gaap:CommercialPape</w:t>
      </w:r>
      <w:r>
        <w:rPr>
          <w:rFonts w:ascii="宋体" w:eastAsia="宋体" w:hAnsi="宋体" w:cs="宋体"/>
          <w:vanish/>
        </w:rPr>
        <w:t>rMember2020-05-31xbrli:pure0000320187nke:AlteraCorpVCommissionerMember2020-06-012020-08-310000320187us-gaap:CommonClassBMembernke:StockIncentivePlanMember2020-08-310000320187us-gaap:EmployeeStockOptionMemberus-gaap:CommonClassBMember2020-06-012020-08-31000</w:t>
      </w:r>
      <w:r>
        <w:rPr>
          <w:rFonts w:ascii="宋体" w:eastAsia="宋体" w:hAnsi="宋体" w:cs="宋体"/>
          <w:vanish/>
        </w:rPr>
        <w:t>0320187us-gaap:EmployeeStockOptionMemberus-gaap:CommonClassBMember2019-06-012019-08-310000320187us-gaap:CommonClassBMemberus-gaap:EmployeeStockMember2020-06-012020-08-310000320187us-gaap:CommonClassBMemberus-gaap:EmployeeStockMember2019-06-012019-08-310000</w:t>
      </w:r>
      <w:r>
        <w:rPr>
          <w:rFonts w:ascii="宋体" w:eastAsia="宋体" w:hAnsi="宋体" w:cs="宋体"/>
          <w:vanish/>
        </w:rPr>
        <w:t>320187us-gaap:CommonClassBMemberus-gaap:RestrictedStockMember2020-06-012020-08-310000320187us-gaap:CommonClassBMemberus-gaap:RestrictedStockMember2019-06-012019-08-310000320187us-gaap:CommonClassBMember2020-06-012020-08-310000320187us-gaap:CommonClassBMemb</w:t>
      </w:r>
      <w:r>
        <w:rPr>
          <w:rFonts w:ascii="宋体" w:eastAsia="宋体" w:hAnsi="宋体" w:cs="宋体"/>
          <w:vanish/>
        </w:rPr>
        <w:t>er2019-06-012019-08-310000320187us-gaap:EmployeeStockOptionMember2020-06-012020-08-310000320187us-gaap:EmployeeStockOptionMember2019-06-012019-08-310000320187us-gaap:CommonClassBMembernke:StockIncentivePlanMember2020-06-012020-08-310000320187us-gaap:Employ</w:t>
      </w:r>
      <w:r>
        <w:rPr>
          <w:rFonts w:ascii="宋体" w:eastAsia="宋体" w:hAnsi="宋体" w:cs="宋体"/>
          <w:vanish/>
        </w:rPr>
        <w:t>eeStockOptionMembernke:StockIncentivePlanMember2020-08-310000320187us-gaap:EmployeeStockOptionMembernke:StockIncentivePlanMember2020-06-012020-08-310000320187nke:RestrictedStockAndRestrictedStockUnitsMember2020-06-012020-08-310000320187nke:RestrictedStockA</w:t>
      </w:r>
      <w:r>
        <w:rPr>
          <w:rFonts w:ascii="宋体" w:eastAsia="宋体" w:hAnsi="宋体" w:cs="宋体"/>
          <w:vanish/>
        </w:rPr>
        <w:t>ndRestrictedStockUnitsMember2019-06-012019-08-310000320187nke:RestrictedStockAndRestrictedStockUnitsMember2020-08-310000320187us-gaap:EmployeeStockOptionMember2020-06-012020-08-310000320187us-gaap:EmployeeStockOptionMember2019-06-012019-08-310000320187us-g</w:t>
      </w:r>
      <w:r>
        <w:rPr>
          <w:rFonts w:ascii="宋体" w:eastAsia="宋体" w:hAnsi="宋体" w:cs="宋体"/>
          <w:vanish/>
        </w:rPr>
        <w:t>aap:DesignatedAsHedgingInstrumentMemberus-gaap:PrepaidExpensesAndOtherCurrentAssetsMemberus-gaap:ForeignExchangeContractMember2020-08-310000320187us-gaap:DesignatedAsHedgingInstrumentMemberus-gaap:PrepaidExpensesAndOtherCurrentAssetsMemberus-gaap:ForeignEx</w:t>
      </w:r>
      <w:r>
        <w:rPr>
          <w:rFonts w:ascii="宋体" w:eastAsia="宋体" w:hAnsi="宋体" w:cs="宋体"/>
          <w:vanish/>
        </w:rPr>
        <w:t>changeContractMember2020-05-310000320187us-gaap:DesignatedAsHedgingInstrumentMemberus-gaap:ForeignExchangeContractMembernke:DeferredIncomeTaxesAndOtherLongTermAssetsMember2020-08-310000320187us-gaap:DesignatedAsHedgingInstrumentMemberus-gaap:ForeignExchang</w:t>
      </w:r>
      <w:r>
        <w:rPr>
          <w:rFonts w:ascii="宋体" w:eastAsia="宋体" w:hAnsi="宋体" w:cs="宋体"/>
          <w:vanish/>
        </w:rPr>
        <w:t>eContractMembernke:DeferredIncomeTaxesAndOtherLongTermAssetsMember2020-05-310000320187us-gaap:DesignatedAsHedgingInstrumentMember2020-08-310000320187us-gaap:DesignatedAsHedgingInstrumentMember2020-05-310000320187us-gaap:PrepaidExpensesAndOtherCurrentAssets</w:t>
      </w:r>
      <w:r>
        <w:rPr>
          <w:rFonts w:ascii="宋体" w:eastAsia="宋体" w:hAnsi="宋体" w:cs="宋体"/>
          <w:vanish/>
        </w:rPr>
        <w:t>Memberus-gaap:NondesignatedMemberus-gaap:ForeignExchangeContractMember2020-08-310000320187us-gaap:PrepaidExpensesAndOtherCurrentAssetsMemberus-gaap:NondesignatedMemberus-gaap:ForeignExchangeContractMember2020-05-310000320187us-gaap:EmbeddedDerivativeFinanc</w:t>
      </w:r>
      <w:r>
        <w:rPr>
          <w:rFonts w:ascii="宋体" w:eastAsia="宋体" w:hAnsi="宋体" w:cs="宋体"/>
          <w:vanish/>
        </w:rPr>
        <w:t>ialInstrumentsMemberus-gaap:PrepaidExpensesAndOtherCurrentAssetsMemberus-gaap:NondesignatedMember2020-08-310000320187us-gaap:EmbeddedDerivativeFinancialInstrumentsMemberus-gaap:PrepaidExpensesAndOtherCurrentAssetsMemberus-gaap:NondesignatedMember2020-05-31</w:t>
      </w:r>
      <w:r>
        <w:rPr>
          <w:rFonts w:ascii="宋体" w:eastAsia="宋体" w:hAnsi="宋体" w:cs="宋体"/>
          <w:vanish/>
        </w:rPr>
        <w:t>0000320187us-gaap:NondesignatedMemberus-gaap:ForeignExchangeContractMembernke:DeferredIncomeTaxesAndOtherLongTermAssetsMember2020-08-310000320187us-gaap:NondesignatedMemberus-gaap:ForeignExchangeContractMembernke:DeferredIncomeTaxesAndOtherLongTermAssetsMe</w:t>
      </w:r>
      <w:r>
        <w:rPr>
          <w:rFonts w:ascii="宋体" w:eastAsia="宋体" w:hAnsi="宋体" w:cs="宋体"/>
          <w:vanish/>
        </w:rPr>
        <w:t>mber2020-05-310000320187us-gaap:NondesignatedMember2020-08-310000320187us-gaap:NondesignatedMember2020-05-310000320187us-gaap:DesignatedAsHedgingInstrumentMemberus-gaap:ForeignExchangeContractMemberus-gaap:AccruedLiabilitiesMember2020-08-310000320187us-gaa</w:t>
      </w:r>
      <w:r>
        <w:rPr>
          <w:rFonts w:ascii="宋体" w:eastAsia="宋体" w:hAnsi="宋体" w:cs="宋体"/>
          <w:vanish/>
        </w:rPr>
        <w:t>p:DesignatedAsHedgingInstrumentMemberus-gaap:ForeignExchangeContractMemberus-gaap:AccruedLiabilitiesMember2020-05-310000320187us-gaap:DesignatedAsHedgingInstrumentMemberus-gaap:ForeignExchangeContractMembernke:DeferredIncomeTaxesAndOtherLongTermLiabilities</w:t>
      </w:r>
      <w:r>
        <w:rPr>
          <w:rFonts w:ascii="宋体" w:eastAsia="宋体" w:hAnsi="宋体" w:cs="宋体"/>
          <w:vanish/>
        </w:rPr>
        <w:t>Member2020-08-310000320187us-gaap:DesignatedAsHedgingInstrumentMemberus-gaap:ForeignExchangeContractMembernke:DeferredIncomeTaxesAndOtherLongTermLiabilitiesMember2020-05-310000320187us-gaap:NondesignatedMemberus-gaap:ForeignExchangeContractMemberus-gaap:Ac</w:t>
      </w:r>
      <w:r>
        <w:rPr>
          <w:rFonts w:ascii="宋体" w:eastAsia="宋体" w:hAnsi="宋体" w:cs="宋体"/>
          <w:vanish/>
        </w:rPr>
        <w:t>cruedLiabilitiesMember2020-08-310000320187us-gaap:NondesignatedMemberus-gaap:ForeignExchangeContractMemberus-gaap:AccruedLiabilitiesMember2020-05-310000320187us-gaap:EmbeddedDerivativeFinancialInstrumentsMemberus-gaap:NondesignatedMemberus-gaap:AccruedLiab</w:t>
      </w:r>
      <w:r>
        <w:rPr>
          <w:rFonts w:ascii="宋体" w:eastAsia="宋体" w:hAnsi="宋体" w:cs="宋体"/>
          <w:vanish/>
        </w:rPr>
        <w:t>ilitiesMember2020-08-310000320187us-gaap:EmbeddedDerivativeFinancialInstrumentsMemberus-gaap:NondesignatedMemberus-gaap:AccruedLiabilitiesMember2020-05-310000320187us-gaap:CashFlowHedgingMemberus-gaap:SalesMemberus-gaap:ForeignExchangeContractMember2020-06</w:t>
      </w:r>
      <w:r>
        <w:rPr>
          <w:rFonts w:ascii="宋体" w:eastAsia="宋体" w:hAnsi="宋体" w:cs="宋体"/>
          <w:vanish/>
        </w:rPr>
        <w:t>-012020-08-310000320187us-gaap:CashFlowHedgingMemberus-gaap:SalesMemberus-gaap:ForeignExchangeContractMember2019-06-012019-08-310000320187us-gaap:CashFlowHedgingMemberus-gaap:CostOfSalesMemberus-gaap:ForeignExchangeContractMember2020-06-012020-08-310000320</w:t>
      </w:r>
      <w:r>
        <w:rPr>
          <w:rFonts w:ascii="宋体" w:eastAsia="宋体" w:hAnsi="宋体" w:cs="宋体"/>
          <w:vanish/>
        </w:rPr>
        <w:t>187us-gaap:CashFlowHedgingMemberus-gaap:CostOfSalesMemberus-gaap:ForeignExchangeContractMember2019-06-012019-08-310000320187us-gaap:CashFlowHedgingMemberus-gaap:ForeignExchangeContractMembernke:DemandCreationExpenseMember2020-06-012020-08-310000320187us-ga</w:t>
      </w:r>
      <w:r>
        <w:rPr>
          <w:rFonts w:ascii="宋体" w:eastAsia="宋体" w:hAnsi="宋体" w:cs="宋体"/>
          <w:vanish/>
        </w:rPr>
        <w:t>ap:CashFlowHedgingMemberus-gaap:ForeignExchangeContractMembernke:DemandCreationExpenseMember2019-06-012019-08-310000320187nke:OtherIncomeAndExpenseMemberus-gaap:CashFlowHedgingMemberus-gaap:ForeignExchangeContractMember2020-06-012020-08-310000320187nke:Oth</w:t>
      </w:r>
      <w:r>
        <w:rPr>
          <w:rFonts w:ascii="宋体" w:eastAsia="宋体" w:hAnsi="宋体" w:cs="宋体"/>
          <w:vanish/>
        </w:rPr>
        <w:t>erIncomeAndExpenseMemberus-gaap:CashFlowHedgingMemberus-gaap:ForeignExchangeContractMember2019-06-012019-08-310000320187us-gaap:InterestRateSwapMemberus-gaap:CashFlowHedgingMembernke:InterestIncomeExpenseNetMember2020-06-012020-08-310000320187us-gaap:Inter</w:t>
      </w:r>
      <w:r>
        <w:rPr>
          <w:rFonts w:ascii="宋体" w:eastAsia="宋体" w:hAnsi="宋体" w:cs="宋体"/>
          <w:vanish/>
        </w:rPr>
        <w:t>estRateSwapMemberus-gaap:CashFlowHedgingMembernke:InterestIncomeExpenseNetMember2019-06-012019-08-310000320187us-gaap:CashFlowHedgingMember2020-06-012020-08-310000320187us-gaap:CashFlowHedgingMember2019-06-012019-08-310000320187nke:OtherIncomeAndExpenseMem</w:t>
      </w:r>
      <w:r>
        <w:rPr>
          <w:rFonts w:ascii="宋体" w:eastAsia="宋体" w:hAnsi="宋体" w:cs="宋体"/>
          <w:vanish/>
        </w:rPr>
        <w:t>berus-gaap:NondesignatedMemberus-gaap:ForeignExchangeContractMember2020-06-012020-08-310000320187nke:OtherIncomeAndExpenseMemberus-gaap:NondesignatedMemberus-gaap:ForeignExchangeContractMember2019-06-012019-08-310000320187nke:OtherIncomeAndExpenseMemberus-</w:t>
      </w:r>
      <w:r>
        <w:rPr>
          <w:rFonts w:ascii="宋体" w:eastAsia="宋体" w:hAnsi="宋体" w:cs="宋体"/>
          <w:vanish/>
        </w:rPr>
        <w:t>gaap:EmbeddedDerivativeFinancialInstrumentsMemberus-gaap:NondesignatedMember2020-06-012020-08-310000320187nke:OtherIncomeAndExpenseMemberus-gaap:EmbeddedDerivativeFinancialInstrumentsMemberus-gaap:NondesignatedMember2019-06-012019-08-310000320187us-gaap:Ca</w:t>
      </w:r>
      <w:r>
        <w:rPr>
          <w:rFonts w:ascii="宋体" w:eastAsia="宋体" w:hAnsi="宋体" w:cs="宋体"/>
          <w:vanish/>
        </w:rPr>
        <w:t>shFlowHedgingMember2020-08-310000320187nke:NotDesignatedasDerivativeInstrumentMember2020-08-310000320187us-gaap:EmbeddedDerivativeFinancialInstrumentsMember2020-08-310000320187us-gaap:CashAndCashEquivalentsMember2020-08-310000320187us-gaap:AccumulatedTrans</w:t>
      </w:r>
      <w:r>
        <w:rPr>
          <w:rFonts w:ascii="宋体" w:eastAsia="宋体" w:hAnsi="宋体" w:cs="宋体"/>
          <w:vanish/>
        </w:rPr>
        <w:t>lationAdjustmentMember2020-05-310000320187us-gaap:AccumulatedGainLossNetCashFlowHedgeParentMember2020-05-310000320187us-gaap:AccumulatedNetUnrealizedInvestmentGainLossMember2020-05-310000320187nke:AccumulatedOtherAdjustmentsMember2020-05-310000320187us-gaa</w:t>
      </w:r>
      <w:r>
        <w:rPr>
          <w:rFonts w:ascii="宋体" w:eastAsia="宋体" w:hAnsi="宋体" w:cs="宋体"/>
          <w:vanish/>
        </w:rPr>
        <w:t>p:ParentMember2020-05-310000320187us-gaap:AccumulatedTranslationAdjustmentMember2020-06-012020-08-310000320187us-gaap:AccumulatedGainLossNetCashFlowHedgeParentMember2020-06-012020-08-310000320187us-gaap:AccumulatedNetUnrealizedInvestmentGainLossMember2020-</w:t>
      </w:r>
      <w:r>
        <w:rPr>
          <w:rFonts w:ascii="宋体" w:eastAsia="宋体" w:hAnsi="宋体" w:cs="宋体"/>
          <w:vanish/>
        </w:rPr>
        <w:t>06-012020-08-310000320187nke:AccumulatedOtherAdjustmentsMember2020-06-012020-08-310000320187us-gaap:AccumulatedTranslationAdjustmentMember2020-08-310000320187us-gaap:AccumulatedGainLossNetCashFlowHedgeParentMember2020-08-310000320187us-gaap:AccumulatedNetU</w:t>
      </w:r>
      <w:r>
        <w:rPr>
          <w:rFonts w:ascii="宋体" w:eastAsia="宋体" w:hAnsi="宋体" w:cs="宋体"/>
          <w:vanish/>
        </w:rPr>
        <w:t>nrealizedInvestmentGainLossMember2020-08-310000320187nke:AccumulatedOtherAdjustmentsMember2020-08-310000320187us-gaap:ParentMember2020-08-310000320187us-gaap:AccumulatedTranslationAdjustmentMember2019-05-310000320187us-gaap:AccumulatedGainLossNetCashFlowHe</w:t>
      </w:r>
      <w:r>
        <w:rPr>
          <w:rFonts w:ascii="宋体" w:eastAsia="宋体" w:hAnsi="宋体" w:cs="宋体"/>
          <w:vanish/>
        </w:rPr>
        <w:t>dgeParentMember2019-05-310000320187us-gaap:AccumulatedNetUnrealizedInvestmentGainLossMember2019-05-310000320187nke:AccumulatedOtherAdjustmentsMember2019-05-310000320187us-gaap:ParentMember2019-05-310000320187us-gaap:AccumulatedTranslationAdjustmentMember20</w:t>
      </w:r>
      <w:r>
        <w:rPr>
          <w:rFonts w:ascii="宋体" w:eastAsia="宋体" w:hAnsi="宋体" w:cs="宋体"/>
          <w:vanish/>
        </w:rPr>
        <w:t>19-06-012019-08-310000320187us-gaap:AccumulatedGainLossNetCashFlowHedgeParentMember2019-06-012019-08-310000320187us-gaap:AccumulatedNetUnrealizedInvestmentGainLossMember2019-06-012019-08-310000320187nke:AccumulatedOtherAdjustmentsMember2019-06-012019-08-31</w:t>
      </w:r>
      <w:r>
        <w:rPr>
          <w:rFonts w:ascii="宋体" w:eastAsia="宋体" w:hAnsi="宋体" w:cs="宋体"/>
          <w:vanish/>
        </w:rPr>
        <w:t>0000320187us-gaap:AccumulatedTranslationAdjustmentMember2019-08-310000320187us-gaap:AccumulatedGainLossNetCashFlowHedgeParentMember2019-08-310000320187us-gaap:AccumulatedNetUnrealizedInvestmentGainLossMember2019-08-310000320187nke:AccumulatedOtherAdjustmen</w:t>
      </w:r>
      <w:r>
        <w:rPr>
          <w:rFonts w:ascii="宋体" w:eastAsia="宋体" w:hAnsi="宋体" w:cs="宋体"/>
          <w:vanish/>
        </w:rPr>
        <w:t>tsMember2019-08-310000320187us-gaap:ParentMember2019-08-310000320187us-gaap:ReclassificationOutOfAccumulatedOtherComprehensiveIncomeMemberus-gaap:AccumulatedNetGainLossFromDesignatedOrQualifyingCashFlowHedgesMembernke:ForeignExchangeForwardandOptionMember2</w:t>
      </w:r>
      <w:r>
        <w:rPr>
          <w:rFonts w:ascii="宋体" w:eastAsia="宋体" w:hAnsi="宋体" w:cs="宋体"/>
          <w:vanish/>
        </w:rPr>
        <w:t>020-06-012020-08-310000320187us-gaap:ReclassificationOutOfAccumulatedOtherComprehensiveIncomeMemberus-gaap:AccumulatedNetGainLossFromDesignatedOrQualifyingCashFlowHedgesMembernke:ForeignExchangeForwardandOptionMember2019-06-012019-08-310000320187us-gaap:In</w:t>
      </w:r>
      <w:r>
        <w:rPr>
          <w:rFonts w:ascii="宋体" w:eastAsia="宋体" w:hAnsi="宋体" w:cs="宋体"/>
          <w:vanish/>
        </w:rPr>
        <w:t>terestRateSwapMemberus-gaap:ReclassificationOutOfAccumulatedOtherComprehensiveIncomeMemberus-gaap:AccumulatedNetGainLossFromDesignatedOrQualifyingCashFlowHedgesMember2020-06-012020-08-310000320187us-gaap:InterestRateSwapMemberus-gaap:ReclassificationOutOfA</w:t>
      </w:r>
      <w:r>
        <w:rPr>
          <w:rFonts w:ascii="宋体" w:eastAsia="宋体" w:hAnsi="宋体" w:cs="宋体"/>
          <w:vanish/>
        </w:rPr>
        <w:t>ccumulatedOtherComprehensiveIncomeMemberus-gaap:AccumulatedNetGainLossFromDesignatedOrQualifyingCashFlowHedgesMember2019-06-012019-08-310000320187us-gaap:ReclassificationOutOfAccumulatedOtherComprehensiveIncomeMemberus-gaap:AccumulatedNetGainLossFromDesign</w:t>
      </w:r>
      <w:r>
        <w:rPr>
          <w:rFonts w:ascii="宋体" w:eastAsia="宋体" w:hAnsi="宋体" w:cs="宋体"/>
          <w:vanish/>
        </w:rPr>
        <w:t>atedOrQualifyingCashFlowHedgesMember2020-06-012020-08-310000320187us-gaap:ReclassificationOutOfAccumulatedOtherComprehensiveIncomeMemberus-gaap:AccumulatedNetGainLossFromDesignatedOrQualifyingCashFlowHedgesMember2019-06-012019-08-310000320187us-gaap:Reclas</w:t>
      </w:r>
      <w:r>
        <w:rPr>
          <w:rFonts w:ascii="宋体" w:eastAsia="宋体" w:hAnsi="宋体" w:cs="宋体"/>
          <w:vanish/>
        </w:rPr>
        <w:t>sificationOutOfAccumulatedOtherComprehensiveIncomeMembernke:AccumulatedOtherAdjustmentsMember2020-06-012020-08-310000320187us-gaap:ReclassificationOutOfAccumulatedOtherComprehensiveIncomeMembernke:AccumulatedOtherAdjustmentsMember2019-06-012019-08-31000032</w:t>
      </w:r>
      <w:r>
        <w:rPr>
          <w:rFonts w:ascii="宋体" w:eastAsia="宋体" w:hAnsi="宋体" w:cs="宋体"/>
          <w:vanish/>
        </w:rPr>
        <w:t>0187us-gaap:ReclassificationOutOfAccumulatedOtherComprehensiveIncomeMember2020-06-012020-08-310000320187us-gaap:ReclassificationOutOfAccumulatedOtherComprehensiveIncomeMember2019-06-012019-08-310000320187us-gaap:OperatingSegmentsMembernke:NorthAmericaSegme</w:t>
      </w:r>
      <w:r>
        <w:rPr>
          <w:rFonts w:ascii="宋体" w:eastAsia="宋体" w:hAnsi="宋体" w:cs="宋体"/>
          <w:vanish/>
        </w:rPr>
        <w:t>ntMembernke:NIKEBrandMembernke:FootwearMember2020-06-012020-08-310000320187nke:EuropeMiddleEastAndAfricaSegmentMemberus-gaap:OperatingSegmentsMembernke:NIKEBrandMembernke:FootwearMember2020-06-012020-08-310000320187us-gaap:OperatingSegmentsMembernke:NIKEBr</w:t>
      </w:r>
      <w:r>
        <w:rPr>
          <w:rFonts w:ascii="宋体" w:eastAsia="宋体" w:hAnsi="宋体" w:cs="宋体"/>
          <w:vanish/>
        </w:rPr>
        <w:t>andMembernke:GreaterChinaSegmentMembernke:FootwearMember2020-06-012020-08-310000320187us-gaap:OperatingSegmentsMembernke:AsiaPacificAndLatinAmericaSegmentMembernke:NIKEBrandMembernke:FootwearMember2020-06-012020-08-310000320187us-gaap:MaterialReconcilingIt</w:t>
      </w:r>
      <w:r>
        <w:rPr>
          <w:rFonts w:ascii="宋体" w:eastAsia="宋体" w:hAnsi="宋体" w:cs="宋体"/>
          <w:vanish/>
        </w:rPr>
        <w:t>emsMembernke:FootwearMember2020-06-012020-08-310000320187us-gaap:OperatingSegmentsMembernke:NIKEBrandMembernke:FootwearMember2020-06-012020-08-310000320187us-gaap:OperatingSegmentsMembernke:ConverseSegmentMembernke:FootwearMember2020-06-012020-08-310000320</w:t>
      </w:r>
      <w:r>
        <w:rPr>
          <w:rFonts w:ascii="宋体" w:eastAsia="宋体" w:hAnsi="宋体" w:cs="宋体"/>
          <w:vanish/>
        </w:rPr>
        <w:t>187us-gaap:CorporateNonSegmentMembernke:FootwearMember2020-06-012020-08-310000320187nke:FootwearMember2020-06-012020-08-310000320187nke:ApparelMemberus-gaap:OperatingSegmentsMembernke:NorthAmericaSegmentMembernke:NIKEBrandMember2020-06-012020-08-3100003201</w:t>
      </w:r>
      <w:r>
        <w:rPr>
          <w:rFonts w:ascii="宋体" w:eastAsia="宋体" w:hAnsi="宋体" w:cs="宋体"/>
          <w:vanish/>
        </w:rPr>
        <w:t>87nke:ApparelMembernke:EuropeMiddleEastAndAfricaSegmentMemberus-gaap:OperatingSegmentsMembernke:NIKEBrandMember2020-06-012020-08-310000320187nke:ApparelMemberus-gaap:OperatingSegmentsMembernke:NIKEBrandMembernke:GreaterChinaSegmentMember2020-06-012020-08-3</w:t>
      </w:r>
      <w:r>
        <w:rPr>
          <w:rFonts w:ascii="宋体" w:eastAsia="宋体" w:hAnsi="宋体" w:cs="宋体"/>
          <w:vanish/>
        </w:rPr>
        <w:t>10000320187nke:ApparelMemberus-gaap:OperatingSegmentsMembernke:AsiaPacificAndLatinAmericaSegmentMembernke:NIKEBrandMember2020-06-012020-08-310000320187nke:ApparelMemberus-gaap:MaterialReconcilingItemsMember2020-06-012020-08-310000320187nke:ApparelMemberus-</w:t>
      </w:r>
      <w:r>
        <w:rPr>
          <w:rFonts w:ascii="宋体" w:eastAsia="宋体" w:hAnsi="宋体" w:cs="宋体"/>
          <w:vanish/>
        </w:rPr>
        <w:t>gaap:OperatingSegmentsMembernke:NIKEBrandMember2020-06-012020-08-310000320187nke:ApparelMemberus-gaap:OperatingSegmentsMembernke:ConverseSegmentMember2020-06-012020-08-310000320187nke:ApparelMemberus-gaap:CorporateNonSegmentMember2020-06-012020-08-31000032</w:t>
      </w:r>
      <w:r>
        <w:rPr>
          <w:rFonts w:ascii="宋体" w:eastAsia="宋体" w:hAnsi="宋体" w:cs="宋体"/>
          <w:vanish/>
        </w:rPr>
        <w:t>0187nke:ApparelMember2020-06-012020-08-310000320187nke:SportingEquipmentMemberus-gaap:OperatingSegmentsMembernke:NorthAmericaSegmentMembernke:NIKEBrandMember2020-06-012020-08-310000320187nke:EuropeMiddleEastAndAfricaSegmentMembernke:SportingEquipmentMember</w:t>
      </w:r>
      <w:r>
        <w:rPr>
          <w:rFonts w:ascii="宋体" w:eastAsia="宋体" w:hAnsi="宋体" w:cs="宋体"/>
          <w:vanish/>
        </w:rPr>
        <w:t>us-gaap:OperatingSegmentsMembernke:NIKEBrandMember2020-06-012020-08-310000320187nke:SportingEquipmentMemberus-gaap:OperatingSegmentsMembernke:NIKEBrandMembernke:GreaterChinaSegmentMember2020-06-012020-08-310000320187nke:SportingEquipmentMemberus-gaap:Opera</w:t>
      </w:r>
      <w:r>
        <w:rPr>
          <w:rFonts w:ascii="宋体" w:eastAsia="宋体" w:hAnsi="宋体" w:cs="宋体"/>
          <w:vanish/>
        </w:rPr>
        <w:t>tingSegmentsMembernke:AsiaPacificAndLatinAmericaSegmentMembernke:NIKEBrandMember2020-06-012020-08-310000320187nke:SportingEquipmentMemberus-gaap:MaterialReconcilingItemsMember2020-06-012020-08-310000320187nke:SportingEquipmentMemberus-gaap:OperatingSegment</w:t>
      </w:r>
      <w:r>
        <w:rPr>
          <w:rFonts w:ascii="宋体" w:eastAsia="宋体" w:hAnsi="宋体" w:cs="宋体"/>
          <w:vanish/>
        </w:rPr>
        <w:t>sMembernke:NIKEBrandMember2020-06-012020-08-310000320187nke:SportingEquipmentMemberus-gaap:OperatingSegmentsMembernke:ConverseSegmentMember2020-06-012020-08-310000320187nke:SportingEquipmentMemberus-gaap:CorporateNonSegmentMember2020-06-012020-08-310000320</w:t>
      </w:r>
      <w:r>
        <w:rPr>
          <w:rFonts w:ascii="宋体" w:eastAsia="宋体" w:hAnsi="宋体" w:cs="宋体"/>
          <w:vanish/>
        </w:rPr>
        <w:t>187nke:SportingEquipmentMember2020-06-012020-08-310000320187us-gaap:OperatingSegmentsMembernke:NorthAmericaSegmentMembernke:NIKEBrandMembernke:OtherProductLinesMember2020-06-012020-08-310000320187nke:EuropeMiddleEastAndAfricaSegmentMemberus-gaap:OperatingS</w:t>
      </w:r>
      <w:r>
        <w:rPr>
          <w:rFonts w:ascii="宋体" w:eastAsia="宋体" w:hAnsi="宋体" w:cs="宋体"/>
          <w:vanish/>
        </w:rPr>
        <w:t>egmentsMembernke:NIKEBrandMembernke:OtherProductLinesMember2020-06-012020-08-310000320187us-gaap:OperatingSegmentsMembernke:NIKEBrandMembernke:OtherProductLinesMembernke:GreaterChinaSegmentMember2020-06-012020-08-310000320187us-gaap:OperatingSegmentsMember</w:t>
      </w:r>
      <w:r>
        <w:rPr>
          <w:rFonts w:ascii="宋体" w:eastAsia="宋体" w:hAnsi="宋体" w:cs="宋体"/>
          <w:vanish/>
        </w:rPr>
        <w:t>nke:AsiaPacificAndLatinAmericaSegmentMembernke:NIKEBrandMembernke:OtherProductLinesMember2020-06-012020-08-310000320187us-gaap:MaterialReconcilingItemsMembernke:OtherProductLinesMember2020-06-012020-08-310000320187us-gaap:OperatingSegmentsMembernke:NIKEBra</w:t>
      </w:r>
      <w:r>
        <w:rPr>
          <w:rFonts w:ascii="宋体" w:eastAsia="宋体" w:hAnsi="宋体" w:cs="宋体"/>
          <w:vanish/>
        </w:rPr>
        <w:t>ndMembernke:OtherProductLinesMember2020-06-012020-08-310000320187us-gaap:OperatingSegmentsMembernke:ConverseSegmentMembernke:OtherProductLinesMember2020-06-012020-08-310000320187us-gaap:CorporateNonSegmentMembernke:OtherProductLinesMember2020-06-012020-08-</w:t>
      </w:r>
      <w:r>
        <w:rPr>
          <w:rFonts w:ascii="宋体" w:eastAsia="宋体" w:hAnsi="宋体" w:cs="宋体"/>
          <w:vanish/>
        </w:rPr>
        <w:t>310000320187nke:OtherProductLinesMember2020-06-012020-08-310000320187us-gaap:OperatingSegmentsMembernke:NorthAmericaSegmentMembernke:NIKEBrandMember2020-06-012020-08-310000320187nke:EuropeMiddleEastAndAfricaSegmentMemberus-gaap:OperatingSegmentsMembernke:N</w:t>
      </w:r>
      <w:r>
        <w:rPr>
          <w:rFonts w:ascii="宋体" w:eastAsia="宋体" w:hAnsi="宋体" w:cs="宋体"/>
          <w:vanish/>
        </w:rPr>
        <w:t>IKEBrandMember2020-06-012020-08-310000320187us-gaap:OperatingSegmentsMembernke:NIKEBrandMembernke:GreaterChinaSegmentMember2020-06-012020-08-310000320187us-gaap:OperatingSegmentsMembernke:AsiaPacificAndLatinAmericaSegmentMembernke:NIKEBrandMember2020-06-01</w:t>
      </w:r>
      <w:r>
        <w:rPr>
          <w:rFonts w:ascii="宋体" w:eastAsia="宋体" w:hAnsi="宋体" w:cs="宋体"/>
          <w:vanish/>
        </w:rPr>
        <w:t>2020-08-310000320187us-gaap:MaterialReconcilingItemsMember2020-06-012020-08-310000320187us-gaap:OperatingSegmentsMembernke:NIKEBrandMember2020-06-012020-08-310000320187us-gaap:OperatingSegmentsMembernke:ConverseSegmentMember2020-06-012020-08-310000320187us</w:t>
      </w:r>
      <w:r>
        <w:rPr>
          <w:rFonts w:ascii="宋体" w:eastAsia="宋体" w:hAnsi="宋体" w:cs="宋体"/>
          <w:vanish/>
        </w:rPr>
        <w:t>-gaap:CorporateNonSegmentMember2020-06-012020-08-310000320187nke:SalesChannelWholesaleMemberus-gaap:OperatingSegmentsMembernke:NorthAmericaSegmentMembernke:NIKEBrandMember2020-06-012020-08-310000320187nke:EuropeMiddleEastAndAfricaSegmentMembernke:SalesChan</w:t>
      </w:r>
      <w:r>
        <w:rPr>
          <w:rFonts w:ascii="宋体" w:eastAsia="宋体" w:hAnsi="宋体" w:cs="宋体"/>
          <w:vanish/>
        </w:rPr>
        <w:t>nelWholesaleMemberus-gaap:OperatingSegmentsMembernke:NIKEBrandMember2020-06-012020-08-310000320187nke:SalesChannelWholesaleMemberus-gaap:OperatingSegmentsMembernke:NIKEBrandMembernke:GreaterChinaSegmentMember2020-06-012020-08-310000320187nke:SalesChannelWh</w:t>
      </w:r>
      <w:r>
        <w:rPr>
          <w:rFonts w:ascii="宋体" w:eastAsia="宋体" w:hAnsi="宋体" w:cs="宋体"/>
          <w:vanish/>
        </w:rPr>
        <w:t>olesaleMemberus-gaap:OperatingSegmentsMembernke:AsiaPacificAndLatinAmericaSegmentMembernke:NIKEBrandMember2020-06-012020-08-310000320187nke:SalesChannelWholesaleMemberus-gaap:MaterialReconcilingItemsMember2020-06-012020-08-310000320187nke:SalesChannelWhole</w:t>
      </w:r>
      <w:r>
        <w:rPr>
          <w:rFonts w:ascii="宋体" w:eastAsia="宋体" w:hAnsi="宋体" w:cs="宋体"/>
          <w:vanish/>
        </w:rPr>
        <w:t>saleMemberus-gaap:OperatingSegmentsMembernke:NIKEBrandMember2020-06-012020-08-310000320187nke:SalesChannelWholesaleMemberus-gaap:OperatingSegmentsMembernke:ConverseSegmentMember2020-06-012020-08-310000320187nke:SalesChannelWholesaleMemberus-gaap:CorporateN</w:t>
      </w:r>
      <w:r>
        <w:rPr>
          <w:rFonts w:ascii="宋体" w:eastAsia="宋体" w:hAnsi="宋体" w:cs="宋体"/>
          <w:vanish/>
        </w:rPr>
        <w:t>onSegmentMember2020-06-012020-08-310000320187nke:SalesChannelWholesaleMember2020-06-012020-08-310000320187us-gaap:OperatingSegmentsMembernke:NorthAmericaSegmentMembernke:NIKEBrandMemberus-gaap:SalesChannelDirectlyToConsumerMember2020-06-012020-08-310000320</w:t>
      </w:r>
      <w:r>
        <w:rPr>
          <w:rFonts w:ascii="宋体" w:eastAsia="宋体" w:hAnsi="宋体" w:cs="宋体"/>
          <w:vanish/>
        </w:rPr>
        <w:t>187nke:EuropeMiddleEastAndAfricaSegmentMemberus-gaap:OperatingSegmentsMembernke:NIKEBrandMemberus-gaap:SalesChannelDirectlyToConsumerMember2020-06-012020-08-310000320187us-gaap:OperatingSegmentsMembernke:NIKEBrandMemberus-gaap:SalesChannelDirectlyToConsume</w:t>
      </w:r>
      <w:r>
        <w:rPr>
          <w:rFonts w:ascii="宋体" w:eastAsia="宋体" w:hAnsi="宋体" w:cs="宋体"/>
          <w:vanish/>
        </w:rPr>
        <w:t>rMembernke:GreaterChinaSegmentMember2020-06-012020-08-310000320187us-gaap:OperatingSegmentsMembernke:AsiaPacificAndLatinAmericaSegmentMembernke:NIKEBrandMemberus-gaap:SalesChannelDirectlyToConsumerMember2020-06-012020-08-310000320187us-gaap:MaterialReconci</w:t>
      </w:r>
      <w:r>
        <w:rPr>
          <w:rFonts w:ascii="宋体" w:eastAsia="宋体" w:hAnsi="宋体" w:cs="宋体"/>
          <w:vanish/>
        </w:rPr>
        <w:t>lingItemsMemberus-gaap:SalesChannelDirectlyToConsumerMember2020-06-012020-08-310000320187us-gaap:OperatingSegmentsMembernke:NIKEBrandMemberus-gaap:SalesChannelDirectlyToConsumerMember2020-06-012020-08-310000320187us-gaap:OperatingSegmentsMembernke:Converse</w:t>
      </w:r>
      <w:r>
        <w:rPr>
          <w:rFonts w:ascii="宋体" w:eastAsia="宋体" w:hAnsi="宋体" w:cs="宋体"/>
          <w:vanish/>
        </w:rPr>
        <w:t>SegmentMemberus-gaap:SalesChannelDirectlyToConsumerMember2020-06-012020-08-310000320187us-gaap:CorporateNonSegmentMemberus-gaap:SalesChannelDirectlyToConsumerMember2020-06-012020-08-310000320187us-gaap:SalesChannelDirectlyToConsumerMember2020-06-012020-08-</w:t>
      </w:r>
      <w:r>
        <w:rPr>
          <w:rFonts w:ascii="宋体" w:eastAsia="宋体" w:hAnsi="宋体" w:cs="宋体"/>
          <w:vanish/>
        </w:rPr>
        <w:t>310000320187nke:SalesChannelOtherMemberus-gaap:OperatingSegmentsMembernke:NorthAmericaSegmentMembernke:NIKEBrandMember2020-06-012020-08-310000320187nke:EuropeMiddleEastAndAfricaSegmentMembernke:SalesChannelOtherMemberus-gaap:OperatingSegmentsMembernke:NIKE</w:t>
      </w:r>
      <w:r>
        <w:rPr>
          <w:rFonts w:ascii="宋体" w:eastAsia="宋体" w:hAnsi="宋体" w:cs="宋体"/>
          <w:vanish/>
        </w:rPr>
        <w:t>BrandMember2020-06-012020-08-310000320187nke:SalesChannelOtherMemberus-gaap:OperatingSegmentsMembernke:NIKEBrandMembernke:GreaterChinaSegmentMember2020-06-012020-08-310000320187nke:SalesChannelOtherMemberus-gaap:OperatingSegmentsMembernke:AsiaPacificAndLat</w:t>
      </w:r>
      <w:r>
        <w:rPr>
          <w:rFonts w:ascii="宋体" w:eastAsia="宋体" w:hAnsi="宋体" w:cs="宋体"/>
          <w:vanish/>
        </w:rPr>
        <w:t>inAmericaSegmentMembernke:NIKEBrandMember2020-06-012020-08-310000320187nke:SalesChannelOtherMemberus-gaap:MaterialReconcilingItemsMember2020-06-012020-08-310000320187nke:SalesChannelOtherMemberus-gaap:OperatingSegmentsMembernke:NIKEBrandMember2020-06-01202</w:t>
      </w:r>
      <w:r>
        <w:rPr>
          <w:rFonts w:ascii="宋体" w:eastAsia="宋体" w:hAnsi="宋体" w:cs="宋体"/>
          <w:vanish/>
        </w:rPr>
        <w:t>0-08-310000320187nke:SalesChannelOtherMemberus-gaap:OperatingSegmentsMembernke:ConverseSegmentMember2020-06-012020-08-310000320187nke:SalesChannelOtherMemberus-gaap:CorporateNonSegmentMember2020-06-012020-08-310000320187nke:SalesChannelOtherMember2020-06-0</w:t>
      </w:r>
      <w:r>
        <w:rPr>
          <w:rFonts w:ascii="宋体" w:eastAsia="宋体" w:hAnsi="宋体" w:cs="宋体"/>
          <w:vanish/>
        </w:rPr>
        <w:t>12020-08-310000320187us-gaap:OperatingSegmentsMembernke:NorthAmericaSegmentMembernke:NIKEBrandMembernke:FootwearMember2019-06-012019-08-310000320187nke:EuropeMiddleEastAndAfricaSegmentMemberus-gaap:OperatingSegmentsMembernke:NIKEBrandMembernke:FootwearMemb</w:t>
      </w:r>
      <w:r>
        <w:rPr>
          <w:rFonts w:ascii="宋体" w:eastAsia="宋体" w:hAnsi="宋体" w:cs="宋体"/>
          <w:vanish/>
        </w:rPr>
        <w:t>er2019-06-012019-08-310000320187us-gaap:OperatingSegmentsMembernke:NIKEBrandMembernke:GreaterChinaSegmentMembernke:FootwearMember2019-06-012019-08-310000320187us-gaap:OperatingSegmentsMembernke:AsiaPacificAndLatinAmericaSegmentMembernke:NIKEBrandMembernke:</w:t>
      </w:r>
      <w:r>
        <w:rPr>
          <w:rFonts w:ascii="宋体" w:eastAsia="宋体" w:hAnsi="宋体" w:cs="宋体"/>
          <w:vanish/>
        </w:rPr>
        <w:t>FootwearMember2019-06-012019-08-310000320187us-gaap:MaterialReconcilingItemsMembernke:FootwearMember2019-06-012019-08-310000320187us-gaap:OperatingSegmentsMembernke:NIKEBrandMembernke:FootwearMember2019-06-012019-08-310000320187us-gaap:OperatingSegmentsMem</w:t>
      </w:r>
      <w:r>
        <w:rPr>
          <w:rFonts w:ascii="宋体" w:eastAsia="宋体" w:hAnsi="宋体" w:cs="宋体"/>
          <w:vanish/>
        </w:rPr>
        <w:t>bernke:ConverseSegmentMembernke:FootwearMember2019-06-012019-08-310000320187us-gaap:CorporateNonSegmentMembernke:FootwearMember2019-06-012019-08-310000320187nke:FootwearMember2019-06-012019-08-310000320187nke:ApparelMemberus-gaap:OperatingSegmentsMembernke</w:t>
      </w:r>
      <w:r>
        <w:rPr>
          <w:rFonts w:ascii="宋体" w:eastAsia="宋体" w:hAnsi="宋体" w:cs="宋体"/>
          <w:vanish/>
        </w:rPr>
        <w:t>:NorthAmericaSegmentMembernke:NIKEBrandMember2019-06-012019-08-310000320187nke:ApparelMembernke:EuropeMiddleEastAndAfricaSegmentMemberus-gaap:OperatingSegmentsMembernke:NIKEBrandMember2019-06-012019-08-310000320187nke:ApparelMemberus-gaap:OperatingSegments</w:t>
      </w:r>
      <w:r>
        <w:rPr>
          <w:rFonts w:ascii="宋体" w:eastAsia="宋体" w:hAnsi="宋体" w:cs="宋体"/>
          <w:vanish/>
        </w:rPr>
        <w:t>Membernke:NIKEBrandMembernke:GreaterChinaSegmentMember2019-06-012019-08-310000320187nke:ApparelMemberus-gaap:OperatingSegmentsMembernke:AsiaPacificAndLatinAmericaSegmentMembernke:NIKEBrandMember2019-06-012019-08-310000320187nke:ApparelMemberus-gaap:Materia</w:t>
      </w:r>
      <w:r>
        <w:rPr>
          <w:rFonts w:ascii="宋体" w:eastAsia="宋体" w:hAnsi="宋体" w:cs="宋体"/>
          <w:vanish/>
        </w:rPr>
        <w:t>lReconcilingItemsMember2019-06-012019-08-310000320187nke:ApparelMemberus-gaap:OperatingSegmentsMembernke:NIKEBrandMember2019-06-012019-08-310000320187nke:ApparelMemberus-gaap:OperatingSegmentsMembernke:ConverseSegmentMember2019-06-012019-08-310000320187nke</w:t>
      </w:r>
      <w:r>
        <w:rPr>
          <w:rFonts w:ascii="宋体" w:eastAsia="宋体" w:hAnsi="宋体" w:cs="宋体"/>
          <w:vanish/>
        </w:rPr>
        <w:t>:ApparelMemberus-gaap:CorporateNonSegmentMember2019-06-012019-08-310000320187nke:ApparelMember2019-06-012019-08-310000320187nke:SportingEquipmentMemberus-gaap:OperatingSegmentsMembernke:NorthAmericaSegmentMembernke:NIKEBrandMember2019-06-012019-08-31000032</w:t>
      </w:r>
      <w:r>
        <w:rPr>
          <w:rFonts w:ascii="宋体" w:eastAsia="宋体" w:hAnsi="宋体" w:cs="宋体"/>
          <w:vanish/>
        </w:rPr>
        <w:t>0187nke:EuropeMiddleEastAndAfricaSegmentMembernke:SportingEquipmentMemberus-gaap:OperatingSegmentsMembernke:NIKEBrandMember2019-06-012019-08-310000320187nke:SportingEquipmentMemberus-gaap:OperatingSegmentsMembernke:NIKEBrandMembernke:GreaterChinaSegmentMem</w:t>
      </w:r>
      <w:r>
        <w:rPr>
          <w:rFonts w:ascii="宋体" w:eastAsia="宋体" w:hAnsi="宋体" w:cs="宋体"/>
          <w:vanish/>
        </w:rPr>
        <w:t>ber2019-06-012019-08-310000320187nke:SportingEquipmentMemberus-gaap:OperatingSegmentsMembernke:AsiaPacificAndLatinAmericaSegmentMembernke:NIKEBrandMember2019-06-012019-08-310000320187nke:SportingEquipmentMemberus-gaap:MaterialReconcilingItemsMember2019-06-</w:t>
      </w:r>
      <w:r>
        <w:rPr>
          <w:rFonts w:ascii="宋体" w:eastAsia="宋体" w:hAnsi="宋体" w:cs="宋体"/>
          <w:vanish/>
        </w:rPr>
        <w:t>012019-08-310000320187nke:SportingEquipmentMemberus-gaap:OperatingSegmentsMembernke:NIKEBrandMember2019-06-012019-08-310000320187nke:SportingEquipmentMemberus-gaap:OperatingSegmentsMembernke:ConverseSegmentMember2019-06-012019-08-310000320187nke:SportingEq</w:t>
      </w:r>
      <w:r>
        <w:rPr>
          <w:rFonts w:ascii="宋体" w:eastAsia="宋体" w:hAnsi="宋体" w:cs="宋体"/>
          <w:vanish/>
        </w:rPr>
        <w:t>uipmentMemberus-gaap:CorporateNonSegmentMember2019-06-012019-08-310000320187nke:SportingEquipmentMember2019-06-012019-08-310000320187us-gaap:OperatingSegmentsMembernke:NorthAmericaSegmentMembernke:NIKEBrandMembernke:OtherProductLinesMember2019-06-012019-08</w:t>
      </w:r>
      <w:r>
        <w:rPr>
          <w:rFonts w:ascii="宋体" w:eastAsia="宋体" w:hAnsi="宋体" w:cs="宋体"/>
          <w:vanish/>
        </w:rPr>
        <w:t>-310000320187nke:EuropeMiddleEastAndAfricaSegmentMemberus-gaap:OperatingSegmentsMembernke:NIKEBrandMembernke:OtherProductLinesMember2019-06-012019-08-310000320187us-gaap:OperatingSegmentsMembernke:NIKEBrandMembernke:OtherProductLinesMembernke:GreaterChinaS</w:t>
      </w:r>
      <w:r>
        <w:rPr>
          <w:rFonts w:ascii="宋体" w:eastAsia="宋体" w:hAnsi="宋体" w:cs="宋体"/>
          <w:vanish/>
        </w:rPr>
        <w:t>egmentMember2019-06-012019-08-310000320187us-gaap:OperatingSegmentsMembernke:AsiaPacificAndLatinAmericaSegmentMembernke:NIKEBrandMembernke:OtherProductLinesMember2019-06-012019-08-310000320187us-gaap:MaterialReconcilingItemsMembernke:OtherProductLinesMembe</w:t>
      </w:r>
      <w:r>
        <w:rPr>
          <w:rFonts w:ascii="宋体" w:eastAsia="宋体" w:hAnsi="宋体" w:cs="宋体"/>
          <w:vanish/>
        </w:rPr>
        <w:t>r2019-06-012019-08-310000320187us-gaap:OperatingSegmentsMembernke:NIKEBrandMembernke:OtherProductLinesMember2019-06-012019-08-310000320187us-gaap:OperatingSegmentsMembernke:ConverseSegmentMembernke:OtherProductLinesMember2019-06-012019-08-310000320187us-ga</w:t>
      </w:r>
      <w:r>
        <w:rPr>
          <w:rFonts w:ascii="宋体" w:eastAsia="宋体" w:hAnsi="宋体" w:cs="宋体"/>
          <w:vanish/>
        </w:rPr>
        <w:t>ap:CorporateNonSegmentMembernke:OtherProductLinesMember2019-06-012019-08-310000320187nke:OtherProductLinesMember2019-06-012019-08-310000320187us-gaap:OperatingSegmentsMembernke:NorthAmericaSegmentMembernke:NIKEBrandMember2019-06-012019-08-310000320187nke:E</w:t>
      </w:r>
      <w:r>
        <w:rPr>
          <w:rFonts w:ascii="宋体" w:eastAsia="宋体" w:hAnsi="宋体" w:cs="宋体"/>
          <w:vanish/>
        </w:rPr>
        <w:t>uropeMiddleEastAndAfricaSegmentMemberus-gaap:OperatingSegmentsMembernke:NIKEBrandMember2019-06-012019-08-310000320187us-gaap:OperatingSegmentsMembernke:NIKEBrandMembernke:GreaterChinaSegmentMember2019-06-012019-08-310000320187us-gaap:OperatingSegmentsMembe</w:t>
      </w:r>
      <w:r>
        <w:rPr>
          <w:rFonts w:ascii="宋体" w:eastAsia="宋体" w:hAnsi="宋体" w:cs="宋体"/>
          <w:vanish/>
        </w:rPr>
        <w:t>rnke:AsiaPacificAndLatinAmericaSegmentMembernke:NIKEBrandMember2019-06-012019-08-310000320187us-gaap:MaterialReconcilingItemsMember2019-06-012019-08-310000320187us-gaap:OperatingSegmentsMembernke:NIKEBrandMember2019-06-012019-08-310000320187us-gaap:Operati</w:t>
      </w:r>
      <w:r>
        <w:rPr>
          <w:rFonts w:ascii="宋体" w:eastAsia="宋体" w:hAnsi="宋体" w:cs="宋体"/>
          <w:vanish/>
        </w:rPr>
        <w:t>ngSegmentsMembernke:ConverseSegmentMember2019-06-012019-08-310000320187us-gaap:CorporateNonSegmentMember2019-06-012019-08-310000320187nke:SalesChannelWholesaleMemberus-gaap:OperatingSegmentsMembernke:NorthAmericaSegmentMembernke:NIKEBrandMember2019-06-0120</w:t>
      </w:r>
      <w:r>
        <w:rPr>
          <w:rFonts w:ascii="宋体" w:eastAsia="宋体" w:hAnsi="宋体" w:cs="宋体"/>
          <w:vanish/>
        </w:rPr>
        <w:t>19-08-310000320187nke:EuropeMiddleEastAndAfricaSegmentMembernke:SalesChannelWholesaleMemberus-gaap:OperatingSegmentsMembernke:NIKEBrandMember2019-06-012019-08-310000320187nke:SalesChannelWholesaleMemberus-gaap:OperatingSegmentsMembernke:NIKEBrandMembernke:</w:t>
      </w:r>
      <w:r>
        <w:rPr>
          <w:rFonts w:ascii="宋体" w:eastAsia="宋体" w:hAnsi="宋体" w:cs="宋体"/>
          <w:vanish/>
        </w:rPr>
        <w:t>GreaterChinaSegmentMember2019-06-012019-08-310000320187nke:SalesChannelWholesaleMemberus-gaap:OperatingSegmentsMembernke:AsiaPacificAndLatinAmericaSegmentMembernke:NIKEBrandMember2019-06-012019-08-310000320187nke:SalesChannelWholesaleMemberus-gaap:Material</w:t>
      </w:r>
      <w:r>
        <w:rPr>
          <w:rFonts w:ascii="宋体" w:eastAsia="宋体" w:hAnsi="宋体" w:cs="宋体"/>
          <w:vanish/>
        </w:rPr>
        <w:t>ReconcilingItemsMember2019-06-012019-08-310000320187nke:SalesChannelWholesaleMemberus-gaap:OperatingSegmentsMembernke:NIKEBrandMember2019-06-012019-08-310000320187nke:SalesChannelWholesaleMemberus-gaap:OperatingSegmentsMembernke:ConverseSegmentMember2019-0</w:t>
      </w:r>
      <w:r>
        <w:rPr>
          <w:rFonts w:ascii="宋体" w:eastAsia="宋体" w:hAnsi="宋体" w:cs="宋体"/>
          <w:vanish/>
        </w:rPr>
        <w:t>6-012019-08-310000320187nke:SalesChannelWholesaleMemberus-gaap:CorporateNonSegmentMember2019-06-012019-08-310000320187nke:SalesChannelWholesaleMember2019-06-012019-08-310000320187us-gaap:OperatingSegmentsMembernke:NorthAmericaSegmentMembernke:NIKEBrandMemb</w:t>
      </w:r>
      <w:r>
        <w:rPr>
          <w:rFonts w:ascii="宋体" w:eastAsia="宋体" w:hAnsi="宋体" w:cs="宋体"/>
          <w:vanish/>
        </w:rPr>
        <w:t>erus-gaap:SalesChannelDirectlyToConsumerMember2019-06-012019-08-310000320187nke:EuropeMiddleEastAndAfricaSegmentMemberus-gaap:OperatingSegmentsMembernke:NIKEBrandMemberus-gaap:SalesChannelDirectlyToConsumerMember2019-06-012019-08-310000320187us-gaap:Operat</w:t>
      </w:r>
      <w:r>
        <w:rPr>
          <w:rFonts w:ascii="宋体" w:eastAsia="宋体" w:hAnsi="宋体" w:cs="宋体"/>
          <w:vanish/>
        </w:rPr>
        <w:t>ingSegmentsMembernke:NIKEBrandMemberus-gaap:SalesChannelDirectlyToConsumerMembernke:GreaterChinaSegmentMember2019-06-012019-08-310000320187us-gaap:OperatingSegmentsMembernke:AsiaPacificAndLatinAmericaSegmentMembernke:NIKEBrandMemberus-gaap:SalesChannelDire</w:t>
      </w:r>
      <w:r>
        <w:rPr>
          <w:rFonts w:ascii="宋体" w:eastAsia="宋体" w:hAnsi="宋体" w:cs="宋体"/>
          <w:vanish/>
        </w:rPr>
        <w:t>ctlyToConsumerMember2019-06-012019-08-310000320187us-gaap:MaterialReconcilingItemsMemberus-gaap:SalesChannelDirectlyToConsumerMember2019-06-012019-08-310000320187us-gaap:OperatingSegmentsMembernke:NIKEBrandMemberus-gaap:SalesChannelDirectlyToConsumerMember</w:t>
      </w:r>
      <w:r>
        <w:rPr>
          <w:rFonts w:ascii="宋体" w:eastAsia="宋体" w:hAnsi="宋体" w:cs="宋体"/>
          <w:vanish/>
        </w:rPr>
        <w:t>2019-06-012019-08-310000320187us-gaap:OperatingSegmentsMembernke:ConverseSegmentMemberus-gaap:SalesChannelDirectlyToConsumerMember2019-06-012019-08-310000320187us-gaap:CorporateNonSegmentMemberus-gaap:SalesChannelDirectlyToConsumerMember2019-06-012019-08-3</w:t>
      </w:r>
      <w:r>
        <w:rPr>
          <w:rFonts w:ascii="宋体" w:eastAsia="宋体" w:hAnsi="宋体" w:cs="宋体"/>
          <w:vanish/>
        </w:rPr>
        <w:t>10000320187us-gaap:SalesChannelDirectlyToConsumerMember2019-06-012019-08-310000320187nke:SalesChannelOtherMemberus-gaap:OperatingSegmentsMembernke:NorthAmericaSegmentMembernke:NIKEBrandMember2019-06-012019-08-310000320187nke:EuropeMiddleEastAndAfricaSegmen</w:t>
      </w:r>
      <w:r>
        <w:rPr>
          <w:rFonts w:ascii="宋体" w:eastAsia="宋体" w:hAnsi="宋体" w:cs="宋体"/>
          <w:vanish/>
        </w:rPr>
        <w:t>tMembernke:SalesChannelOtherMemberus-gaap:OperatingSegmentsMembernke:NIKEBrandMember2019-06-012019-08-310000320187nke:SalesChannelOtherMemberus-gaap:OperatingSegmentsMembernke:NIKEBrandMembernke:GreaterChinaSegmentMember2019-06-012019-08-310000320187nke:Sa</w:t>
      </w:r>
      <w:r>
        <w:rPr>
          <w:rFonts w:ascii="宋体" w:eastAsia="宋体" w:hAnsi="宋体" w:cs="宋体"/>
          <w:vanish/>
        </w:rPr>
        <w:t>lesChannelOtherMemberus-gaap:OperatingSegmentsMembernke:AsiaPacificAndLatinAmericaSegmentMembernke:NIKEBrandMember2019-06-012019-08-310000320187nke:SalesChannelOtherMemberus-gaap:MaterialReconcilingItemsMember2019-06-012019-08-310000320187nke:SalesChannelO</w:t>
      </w:r>
      <w:r>
        <w:rPr>
          <w:rFonts w:ascii="宋体" w:eastAsia="宋体" w:hAnsi="宋体" w:cs="宋体"/>
          <w:vanish/>
        </w:rPr>
        <w:t>therMemberus-gaap:OperatingSegmentsMembernke:NIKEBrandMember2019-06-012019-08-310000320187nke:SalesChannelOtherMemberus-gaap:OperatingSegmentsMembernke:ConverseSegmentMember2019-06-012019-08-310000320187nke:SalesChannelOtherMemberus-gaap:CorporateNonSegmen</w:t>
      </w:r>
      <w:r>
        <w:rPr>
          <w:rFonts w:ascii="宋体" w:eastAsia="宋体" w:hAnsi="宋体" w:cs="宋体"/>
          <w:vanish/>
        </w:rPr>
        <w:t>tMember2019-06-012019-08-310000320187nke:SalesChannelOtherMember2019-06-012019-08-310000320187nke:NIKEBrandMemberus-gaap:OperatingSegmentsMembernke:NorthAmericaSegmentMembernke:NIKEBrandMember2020-06-012020-08-310000320187nke:NIKEBrandMemberus-gaap:Operati</w:t>
      </w:r>
      <w:r>
        <w:rPr>
          <w:rFonts w:ascii="宋体" w:eastAsia="宋体" w:hAnsi="宋体" w:cs="宋体"/>
          <w:vanish/>
        </w:rPr>
        <w:t>ngSegmentsMembernke:NorthAmericaSegmentMembernke:NIKEBrandMember2019-06-012019-08-310000320187nke:EuropeMiddleEastAndAfricaSegmentMembernke:NIKEBrandMemberus-gaap:OperatingSegmentsMembernke:NIKEBrandMember2020-06-012020-08-310000320187nke:EuropeMiddleEastA</w:t>
      </w:r>
      <w:r>
        <w:rPr>
          <w:rFonts w:ascii="宋体" w:eastAsia="宋体" w:hAnsi="宋体" w:cs="宋体"/>
          <w:vanish/>
        </w:rPr>
        <w:t>ndAfricaSegmentMembernke:NIKEBrandMemberus-gaap:OperatingSegmentsMembernke:NIKEBrandMember2019-06-012019-08-310000320187nke:NIKEBrandMemberus-gaap:OperatingSegmentsMembernke:NIKEBrandMembernke:GreaterChinaSegmentMember2020-06-012020-08-310000320187nke:NIKE</w:t>
      </w:r>
      <w:r>
        <w:rPr>
          <w:rFonts w:ascii="宋体" w:eastAsia="宋体" w:hAnsi="宋体" w:cs="宋体"/>
          <w:vanish/>
        </w:rPr>
        <w:t>BrandMemberus-gaap:OperatingSegmentsMembernke:NIKEBrandMembernke:GreaterChinaSegmentMember2019-06-012019-08-310000320187nke:NIKEBrandMemberus-gaap:OperatingSegmentsMembernke:AsiaPacificAndLatinAmericaSegmentMembernke:NIKEBrandMember2020-06-012020-08-310000</w:t>
      </w:r>
      <w:r>
        <w:rPr>
          <w:rFonts w:ascii="宋体" w:eastAsia="宋体" w:hAnsi="宋体" w:cs="宋体"/>
          <w:vanish/>
        </w:rPr>
        <w:t>320187nke:NIKEBrandMemberus-gaap:OperatingSegmentsMembernke:AsiaPacificAndLatinAmericaSegmentMembernke:NIKEBrandMember2019-06-012019-08-310000320187nke:NIKEBrandMemberus-gaap:MaterialReconcilingItemsMember2020-06-012020-08-310000320187nke:NIKEBrandMemberus</w:t>
      </w:r>
      <w:r>
        <w:rPr>
          <w:rFonts w:ascii="宋体" w:eastAsia="宋体" w:hAnsi="宋体" w:cs="宋体"/>
          <w:vanish/>
        </w:rPr>
        <w:t>-gaap:MaterialReconcilingItemsMember2019-06-012019-08-310000320187nke:NIKEBrandMemberus-gaap:OperatingSegmentsMembernke:NIKEBrandMember2020-06-012020-08-310000320187nke:NIKEBrandMemberus-gaap:OperatingSegmentsMembernke:NIKEBrandMember2019-06-012019-08-3100</w:t>
      </w:r>
      <w:r>
        <w:rPr>
          <w:rFonts w:ascii="宋体" w:eastAsia="宋体" w:hAnsi="宋体" w:cs="宋体"/>
          <w:vanish/>
        </w:rPr>
        <w:t>00320187us-gaap:OperatingSegmentsMembernke:ConverseSegmentMembernke:ConverseSegmentMember2020-06-012020-08-310000320187us-gaap:OperatingSegmentsMembernke:ConverseSegmentMembernke:ConverseSegmentMember2019-06-012019-08-310000320187nke:NIKEBrandMemberus-gaap</w:t>
      </w:r>
      <w:r>
        <w:rPr>
          <w:rFonts w:ascii="宋体" w:eastAsia="宋体" w:hAnsi="宋体" w:cs="宋体"/>
          <w:vanish/>
        </w:rPr>
        <w:t>:OperatingSegmentsMembernke:NorthAmericaSegmentMembernke:NIKEBrandMember2020-08-310000320187nke:NIKEBrandMemberus-gaap:OperatingSegmentsMembernke:NorthAmericaSegmentMembernke:NIKEBrandMember2020-05-310000320187nke:EuropeMiddleEastAndAfricaSegmentMembernke:</w:t>
      </w:r>
      <w:r>
        <w:rPr>
          <w:rFonts w:ascii="宋体" w:eastAsia="宋体" w:hAnsi="宋体" w:cs="宋体"/>
          <w:vanish/>
        </w:rPr>
        <w:t>NIKEBrandMemberus-gaap:OperatingSegmentsMembernke:NIKEBrandMember2020-08-310000320187nke:EuropeMiddleEastAndAfricaSegmentMembernke:NIKEBrandMemberus-gaap:OperatingSegmentsMembernke:NIKEBrandMember2020-05-310000320187nke:NIKEBrandMemberus-gaap:OperatingSegm</w:t>
      </w:r>
      <w:r>
        <w:rPr>
          <w:rFonts w:ascii="宋体" w:eastAsia="宋体" w:hAnsi="宋体" w:cs="宋体"/>
          <w:vanish/>
        </w:rPr>
        <w:t>entsMembernke:NIKEBrandMembernke:GreaterChinaSegmentMember2020-08-310000320187nke:NIKEBrandMemberus-gaap:OperatingSegmentsMembernke:NIKEBrandMembernke:GreaterChinaSegmentMember2020-05-310000320187nke:NIKEBrandMemberus-gaap:OperatingSegmentsMembernke:AsiaPa</w:t>
      </w:r>
      <w:r>
        <w:rPr>
          <w:rFonts w:ascii="宋体" w:eastAsia="宋体" w:hAnsi="宋体" w:cs="宋体"/>
          <w:vanish/>
        </w:rPr>
        <w:t>cificAndLatinAmericaSegmentMembernke:NIKEBrandMember2020-08-310000320187nke:NIKEBrandMemberus-gaap:OperatingSegmentsMembernke:AsiaPacificAndLatinAmericaSegmentMembernke:NIKEBrandMember2020-05-310000320187nke:NIKEBrandMemberus-gaap:MaterialReconcilingItemsM</w:t>
      </w:r>
      <w:r>
        <w:rPr>
          <w:rFonts w:ascii="宋体" w:eastAsia="宋体" w:hAnsi="宋体" w:cs="宋体"/>
          <w:vanish/>
        </w:rPr>
        <w:t>ember2020-08-310000320187nke:NIKEBrandMemberus-gaap:MaterialReconcilingItemsMember2020-05-310000320187nke:NIKEBrandMemberus-gaap:OperatingSegmentsMembernke:NIKEBrandMember2020-08-310000320187nke:NIKEBrandMemberus-gaap:OperatingSegmentsMembernke:NIKEBrandMe</w:t>
      </w:r>
      <w:r>
        <w:rPr>
          <w:rFonts w:ascii="宋体" w:eastAsia="宋体" w:hAnsi="宋体" w:cs="宋体"/>
          <w:vanish/>
        </w:rPr>
        <w:t>mber2020-05-310000320187us-gaap:OperatingSegmentsMembernke:ConverseSegmentMembernke:ConverseSegmentMember2020-08-310000320187us-gaap:OperatingSegmentsMembernke:ConverseSegmentMembernke:ConverseSegmentMember2020-05-310000320187us-gaap:CorporateNonSegmentMem</w:t>
      </w:r>
      <w:r>
        <w:rPr>
          <w:rFonts w:ascii="宋体" w:eastAsia="宋体" w:hAnsi="宋体" w:cs="宋体"/>
          <w:vanish/>
        </w:rPr>
        <w:t>ber2020-08-310000320187us-gaap:CorporateNonSegmentMember2020-05-310000320187nke:NIKEBrandBusinessesMembernke:BrazilArgentinaChileAndUruguayMembernke:GrupoAxoAndSBFMemberus-gaap:DiscontinuedOperationsHeldforsaleMember2020-08-310000320187nke:NIKEBrandBusines</w:t>
      </w:r>
      <w:r>
        <w:rPr>
          <w:rFonts w:ascii="宋体" w:eastAsia="宋体" w:hAnsi="宋体" w:cs="宋体"/>
          <w:vanish/>
        </w:rPr>
        <w:t>sesMembernke:BrazilArgentinaChileAndUruguayMembernke:GrupoAxoAndSBFMemberus-gaap:DiscontinuedOperationsHeldforsaleMember2020-05-310000320187us-gaap:OtherNonoperatingIncomeExpenseMembernke:NIKEBrandBusinessesMembernke:BrazilArgentinaChileAndUruguayMembernke</w:t>
      </w:r>
      <w:r>
        <w:rPr>
          <w:rFonts w:ascii="宋体" w:eastAsia="宋体" w:hAnsi="宋体" w:cs="宋体"/>
          <w:vanish/>
        </w:rPr>
        <w:t>:GrupoAxoAndSBFMemberus-gaap:DiscontinuedOperationsHeldforsaleMember2019-12-012020-08-310000320187us-gaap:OtherNonoperatingIncomeExpenseMembernke:NIKEBrandBusinessesMembernke:BrazilArgentinaChileAndUruguayMembernke:GrupoAxoAndSBFMemberus-gaap:DiscontinuedO</w:t>
      </w:r>
      <w:r>
        <w:rPr>
          <w:rFonts w:ascii="宋体" w:eastAsia="宋体" w:hAnsi="宋体" w:cs="宋体"/>
          <w:vanish/>
        </w:rPr>
        <w:t>perationsHeldforsaleMember2019-06-012020-05-310000320187us-gaap:OneTimeTerminationBenefitsMember2020-08-31</w:t>
      </w:r>
    </w:p>
    <w:p w14:paraId="1D024CB9" w14:textId="77777777" w:rsidR="004421F6" w:rsidRDefault="004421F6">
      <w:pPr>
        <w:spacing w:before="120" w:after="120"/>
      </w:pPr>
    </w:p>
    <w:p w14:paraId="1D024CBA" w14:textId="77777777" w:rsidR="004421F6" w:rsidRDefault="00F15622">
      <w:pPr>
        <w:jc w:val="center"/>
      </w:pPr>
      <w:r>
        <w:rPr>
          <w:rFonts w:ascii="Arial" w:eastAsia="宋体" w:hAnsi="Arial" w:cs="Arial"/>
          <w:b/>
          <w:bCs/>
          <w:color w:val="000000"/>
          <w:sz w:val="16"/>
          <w:szCs w:val="16"/>
        </w:rPr>
        <w:t>UNITED STATES</w:t>
      </w:r>
    </w:p>
    <w:p w14:paraId="1D024CBB" w14:textId="77777777" w:rsidR="004421F6" w:rsidRDefault="00F15622">
      <w:pPr>
        <w:jc w:val="center"/>
      </w:pPr>
      <w:r>
        <w:rPr>
          <w:rFonts w:ascii="Arial" w:eastAsia="宋体" w:hAnsi="Arial" w:cs="Arial"/>
          <w:b/>
          <w:bCs/>
          <w:color w:val="000000"/>
          <w:sz w:val="16"/>
          <w:szCs w:val="16"/>
        </w:rPr>
        <w:t>SECURITIES AND EXCHANGE COMMISSION</w:t>
      </w:r>
    </w:p>
    <w:p w14:paraId="1D024CBC" w14:textId="77777777" w:rsidR="004421F6" w:rsidRDefault="00F15622">
      <w:pPr>
        <w:jc w:val="center"/>
      </w:pPr>
      <w:r>
        <w:rPr>
          <w:rFonts w:ascii="Arial" w:eastAsia="宋体" w:hAnsi="Arial" w:cs="Arial"/>
          <w:b/>
          <w:bCs/>
          <w:color w:val="000000"/>
          <w:sz w:val="16"/>
          <w:szCs w:val="16"/>
        </w:rPr>
        <w:t>Washington, D.C. 20549</w:t>
      </w:r>
    </w:p>
    <w:p w14:paraId="1D024CBD" w14:textId="77777777" w:rsidR="004421F6" w:rsidRDefault="00F15622">
      <w:pPr>
        <w:spacing w:before="120" w:after="120"/>
        <w:jc w:val="center"/>
      </w:pPr>
      <w:r>
        <w:rPr>
          <w:rFonts w:ascii="Arial" w:eastAsia="宋体" w:hAnsi="Arial" w:cs="Arial"/>
          <w:b/>
          <w:bCs/>
          <w:color w:val="000000"/>
          <w:sz w:val="28"/>
          <w:szCs w:val="28"/>
        </w:rPr>
        <w:t xml:space="preserve">FORM 10-Q </w:t>
      </w:r>
    </w:p>
    <w:p w14:paraId="1D024CBE" w14:textId="77777777" w:rsidR="004421F6" w:rsidRDefault="00F15622">
      <w:pPr>
        <w:jc w:val="center"/>
      </w:pPr>
      <w:r>
        <w:rPr>
          <w:rFonts w:ascii="Arial" w:eastAsia="宋体" w:hAnsi="Arial" w:cs="Arial"/>
          <w:color w:val="000000"/>
          <w:sz w:val="14"/>
          <w:szCs w:val="14"/>
        </w:rPr>
        <w:t>(Mark One)</w:t>
      </w:r>
    </w:p>
    <w:p w14:paraId="1D024CBF" w14:textId="77777777" w:rsidR="004421F6" w:rsidRDefault="00F15622">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QUARTERLY REPORT PURSUANT TO SECTION 13 OR 15(D) OF </w:t>
      </w:r>
      <w:r>
        <w:rPr>
          <w:rFonts w:ascii="Arial" w:eastAsia="宋体" w:hAnsi="Arial" w:cs="Arial"/>
          <w:b/>
          <w:bCs/>
          <w:color w:val="000000"/>
          <w:sz w:val="16"/>
          <w:szCs w:val="16"/>
        </w:rPr>
        <w:t>THE SECURITIES EXCHANGE ACT OF 1934</w:t>
      </w:r>
    </w:p>
    <w:p w14:paraId="1D024CC0" w14:textId="77777777" w:rsidR="004421F6" w:rsidRDefault="00F15622">
      <w:pPr>
        <w:jc w:val="center"/>
      </w:pPr>
      <w:r>
        <w:rPr>
          <w:rFonts w:ascii="Arial" w:eastAsia="宋体" w:hAnsi="Arial" w:cs="Arial"/>
          <w:b/>
          <w:bCs/>
          <w:color w:val="000000"/>
          <w:sz w:val="16"/>
          <w:szCs w:val="16"/>
        </w:rPr>
        <w:t xml:space="preserve">FOR THE QUARTERLY PERIOD ENDED AUGUST 31, 2020 </w:t>
      </w:r>
    </w:p>
    <w:p w14:paraId="1D024CC1" w14:textId="77777777" w:rsidR="004421F6" w:rsidRDefault="004421F6">
      <w:pPr>
        <w:jc w:val="center"/>
      </w:pPr>
    </w:p>
    <w:p w14:paraId="1D024CC2" w14:textId="77777777" w:rsidR="004421F6" w:rsidRDefault="00F15622">
      <w:pPr>
        <w:jc w:val="center"/>
      </w:pPr>
      <w:r>
        <w:rPr>
          <w:rFonts w:ascii="Arial" w:eastAsia="宋体" w:hAnsi="Arial" w:cs="Arial"/>
          <w:b/>
          <w:bCs/>
          <w:color w:val="000000"/>
          <w:sz w:val="16"/>
          <w:szCs w:val="16"/>
        </w:rPr>
        <w:t>OR</w:t>
      </w:r>
    </w:p>
    <w:p w14:paraId="1D024CC3" w14:textId="77777777" w:rsidR="004421F6" w:rsidRDefault="004421F6">
      <w:pPr>
        <w:jc w:val="center"/>
      </w:pPr>
    </w:p>
    <w:p w14:paraId="1D024CC4" w14:textId="77777777" w:rsidR="004421F6" w:rsidRDefault="00F15622">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TRANSITION REPORT PURSUANT TO SECTION 13 OR 15(D) OF THE SECURITIES EXCHANGE ACT OF 1934</w:t>
      </w:r>
    </w:p>
    <w:p w14:paraId="1D024CC5" w14:textId="77777777" w:rsidR="004421F6" w:rsidRDefault="00F15622">
      <w:pPr>
        <w:jc w:val="center"/>
      </w:pPr>
      <w:r>
        <w:rPr>
          <w:rFonts w:ascii="Arial" w:eastAsia="宋体" w:hAnsi="Arial" w:cs="Arial"/>
          <w:b/>
          <w:bCs/>
          <w:color w:val="000000"/>
          <w:sz w:val="16"/>
          <w:szCs w:val="16"/>
        </w:rPr>
        <w:t>FOR THE TRANSITION PERIOD FROM                         TO                   </w:t>
      </w:r>
      <w:r>
        <w:rPr>
          <w:rFonts w:ascii="Arial" w:eastAsia="宋体" w:hAnsi="Arial" w:cs="Arial"/>
          <w:b/>
          <w:bCs/>
          <w:color w:val="000000"/>
          <w:sz w:val="16"/>
          <w:szCs w:val="16"/>
        </w:rPr>
        <w:t>      .</w:t>
      </w:r>
    </w:p>
    <w:p w14:paraId="1D024CC6" w14:textId="77777777" w:rsidR="004421F6" w:rsidRDefault="004421F6">
      <w:pPr>
        <w:jc w:val="center"/>
      </w:pPr>
    </w:p>
    <w:p w14:paraId="1D024CC7" w14:textId="77777777" w:rsidR="004421F6" w:rsidRDefault="00F15622">
      <w:pPr>
        <w:jc w:val="center"/>
      </w:pPr>
      <w:r>
        <w:rPr>
          <w:rFonts w:ascii="Arial" w:eastAsia="宋体" w:hAnsi="Arial" w:cs="Arial"/>
          <w:b/>
          <w:bCs/>
          <w:color w:val="000000"/>
          <w:sz w:val="16"/>
          <w:szCs w:val="16"/>
        </w:rPr>
        <w:t xml:space="preserve">Commission File No. 1-10635 </w:t>
      </w:r>
    </w:p>
    <w:p w14:paraId="1D024CC8" w14:textId="77777777" w:rsidR="004421F6" w:rsidRDefault="00F15622">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Viewer9_files/nke-20200831_g1.jpg"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D027278" wp14:editId="1D027279">
            <wp:extent cx="304800" cy="304800"/>
            <wp:effectExtent l="0" t="0" r="0" b="0"/>
            <wp:docPr id="83" name="图片 18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8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D024CC9" w14:textId="77777777" w:rsidR="004421F6" w:rsidRDefault="00F15622">
      <w:pPr>
        <w:spacing w:after="120"/>
        <w:jc w:val="center"/>
      </w:pPr>
      <w:r>
        <w:rPr>
          <w:rFonts w:ascii="Arial" w:eastAsia="宋体" w:hAnsi="Arial" w:cs="Arial"/>
          <w:b/>
          <w:bCs/>
          <w:color w:val="000000"/>
          <w:sz w:val="40"/>
          <w:szCs w:val="40"/>
        </w:rPr>
        <w:t xml:space="preserve">NIKE, Inc. </w:t>
      </w:r>
    </w:p>
    <w:p w14:paraId="1D024CCA" w14:textId="77777777" w:rsidR="004421F6" w:rsidRDefault="00F15622">
      <w:pPr>
        <w:jc w:val="center"/>
      </w:pPr>
      <w:r>
        <w:rPr>
          <w:rFonts w:ascii="Arial" w:eastAsia="宋体" w:hAnsi="Arial" w:cs="Arial"/>
          <w:b/>
          <w:bCs/>
          <w:color w:val="000000"/>
          <w:sz w:val="16"/>
          <w:szCs w:val="16"/>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3"/>
        <w:gridCol w:w="2343"/>
        <w:gridCol w:w="37"/>
        <w:gridCol w:w="64"/>
        <w:gridCol w:w="1336"/>
        <w:gridCol w:w="36"/>
        <w:gridCol w:w="64"/>
        <w:gridCol w:w="1336"/>
        <w:gridCol w:w="36"/>
        <w:gridCol w:w="64"/>
        <w:gridCol w:w="2343"/>
        <w:gridCol w:w="36"/>
        <w:gridCol w:w="542"/>
        <w:gridCol w:w="36"/>
      </w:tblGrid>
      <w:tr w:rsidR="004421F6" w14:paraId="1D024CD7" w14:textId="77777777">
        <w:trPr>
          <w:gridAfter w:val="2"/>
        </w:trPr>
        <w:tc>
          <w:tcPr>
            <w:tcW w:w="50" w:type="pct"/>
            <w:shd w:val="clear" w:color="auto" w:fill="auto"/>
          </w:tcPr>
          <w:p w14:paraId="1D024CCB" w14:textId="77777777" w:rsidR="004421F6" w:rsidRDefault="004421F6">
            <w:pPr>
              <w:rPr>
                <w:rFonts w:ascii="宋体"/>
              </w:rPr>
            </w:pPr>
          </w:p>
        </w:tc>
        <w:tc>
          <w:tcPr>
            <w:tcW w:w="1519" w:type="pct"/>
            <w:shd w:val="clear" w:color="auto" w:fill="auto"/>
          </w:tcPr>
          <w:p w14:paraId="1D024CCC" w14:textId="77777777" w:rsidR="004421F6" w:rsidRDefault="004421F6">
            <w:pPr>
              <w:rPr>
                <w:rFonts w:ascii="宋体"/>
              </w:rPr>
            </w:pPr>
          </w:p>
        </w:tc>
        <w:tc>
          <w:tcPr>
            <w:tcW w:w="5" w:type="pct"/>
            <w:shd w:val="clear" w:color="auto" w:fill="auto"/>
          </w:tcPr>
          <w:p w14:paraId="1D024CCD" w14:textId="77777777" w:rsidR="004421F6" w:rsidRDefault="004421F6">
            <w:pPr>
              <w:rPr>
                <w:rFonts w:ascii="宋体"/>
              </w:rPr>
            </w:pPr>
          </w:p>
        </w:tc>
        <w:tc>
          <w:tcPr>
            <w:tcW w:w="50" w:type="pct"/>
            <w:shd w:val="clear" w:color="auto" w:fill="auto"/>
          </w:tcPr>
          <w:p w14:paraId="1D024CCE" w14:textId="77777777" w:rsidR="004421F6" w:rsidRDefault="004421F6">
            <w:pPr>
              <w:rPr>
                <w:rFonts w:ascii="宋体"/>
              </w:rPr>
            </w:pPr>
          </w:p>
        </w:tc>
        <w:tc>
          <w:tcPr>
            <w:tcW w:w="870" w:type="pct"/>
            <w:shd w:val="clear" w:color="auto" w:fill="auto"/>
          </w:tcPr>
          <w:p w14:paraId="1D024CCF" w14:textId="77777777" w:rsidR="004421F6" w:rsidRDefault="004421F6">
            <w:pPr>
              <w:rPr>
                <w:rFonts w:ascii="宋体"/>
              </w:rPr>
            </w:pPr>
          </w:p>
        </w:tc>
        <w:tc>
          <w:tcPr>
            <w:tcW w:w="5" w:type="pct"/>
            <w:shd w:val="clear" w:color="auto" w:fill="auto"/>
          </w:tcPr>
          <w:p w14:paraId="1D024CD0" w14:textId="77777777" w:rsidR="004421F6" w:rsidRDefault="004421F6">
            <w:pPr>
              <w:rPr>
                <w:rFonts w:ascii="宋体"/>
              </w:rPr>
            </w:pPr>
          </w:p>
        </w:tc>
        <w:tc>
          <w:tcPr>
            <w:tcW w:w="50" w:type="pct"/>
            <w:shd w:val="clear" w:color="auto" w:fill="auto"/>
          </w:tcPr>
          <w:p w14:paraId="1D024CD1" w14:textId="77777777" w:rsidR="004421F6" w:rsidRDefault="004421F6">
            <w:pPr>
              <w:rPr>
                <w:rFonts w:ascii="宋体"/>
              </w:rPr>
            </w:pPr>
          </w:p>
        </w:tc>
        <w:tc>
          <w:tcPr>
            <w:tcW w:w="870" w:type="pct"/>
            <w:shd w:val="clear" w:color="auto" w:fill="auto"/>
          </w:tcPr>
          <w:p w14:paraId="1D024CD2" w14:textId="77777777" w:rsidR="004421F6" w:rsidRDefault="004421F6">
            <w:pPr>
              <w:rPr>
                <w:rFonts w:ascii="宋体"/>
              </w:rPr>
            </w:pPr>
          </w:p>
        </w:tc>
        <w:tc>
          <w:tcPr>
            <w:tcW w:w="5" w:type="pct"/>
            <w:shd w:val="clear" w:color="auto" w:fill="auto"/>
          </w:tcPr>
          <w:p w14:paraId="1D024CD3" w14:textId="77777777" w:rsidR="004421F6" w:rsidRDefault="004421F6">
            <w:pPr>
              <w:rPr>
                <w:rFonts w:ascii="宋体"/>
              </w:rPr>
            </w:pPr>
          </w:p>
        </w:tc>
        <w:tc>
          <w:tcPr>
            <w:tcW w:w="50" w:type="pct"/>
            <w:shd w:val="clear" w:color="auto" w:fill="auto"/>
          </w:tcPr>
          <w:p w14:paraId="1D024CD4" w14:textId="77777777" w:rsidR="004421F6" w:rsidRDefault="004421F6">
            <w:pPr>
              <w:rPr>
                <w:rFonts w:ascii="宋体"/>
              </w:rPr>
            </w:pPr>
          </w:p>
        </w:tc>
        <w:tc>
          <w:tcPr>
            <w:tcW w:w="1519" w:type="pct"/>
            <w:shd w:val="clear" w:color="auto" w:fill="auto"/>
          </w:tcPr>
          <w:p w14:paraId="1D024CD5" w14:textId="77777777" w:rsidR="004421F6" w:rsidRDefault="004421F6">
            <w:pPr>
              <w:rPr>
                <w:rFonts w:ascii="宋体"/>
              </w:rPr>
            </w:pPr>
          </w:p>
        </w:tc>
        <w:tc>
          <w:tcPr>
            <w:tcW w:w="5" w:type="pct"/>
            <w:shd w:val="clear" w:color="auto" w:fill="auto"/>
          </w:tcPr>
          <w:p w14:paraId="1D024CD6" w14:textId="77777777" w:rsidR="004421F6" w:rsidRDefault="004421F6">
            <w:pPr>
              <w:rPr>
                <w:rFonts w:ascii="宋体"/>
              </w:rPr>
            </w:pPr>
          </w:p>
        </w:tc>
      </w:tr>
      <w:tr w:rsidR="004421F6" w14:paraId="1D024CDC" w14:textId="77777777">
        <w:tc>
          <w:tcPr>
            <w:tcW w:w="0" w:type="auto"/>
            <w:gridSpan w:val="6"/>
            <w:shd w:val="clear" w:color="auto" w:fill="auto"/>
            <w:tcMar>
              <w:top w:w="40" w:type="dxa"/>
              <w:left w:w="20" w:type="dxa"/>
              <w:bottom w:w="40" w:type="dxa"/>
              <w:right w:w="20" w:type="dxa"/>
            </w:tcMar>
            <w:vAlign w:val="bottom"/>
          </w:tcPr>
          <w:p w14:paraId="1D024CD8" w14:textId="77777777" w:rsidR="004421F6" w:rsidRDefault="00F15622">
            <w:pPr>
              <w:jc w:val="center"/>
              <w:textAlignment w:val="bottom"/>
            </w:pPr>
            <w:r>
              <w:rPr>
                <w:rFonts w:ascii="Arial" w:eastAsia="宋体" w:hAnsi="Arial" w:cs="Arial"/>
                <w:b/>
                <w:bCs/>
                <w:color w:val="000000"/>
                <w:sz w:val="14"/>
                <w:szCs w:val="14"/>
              </w:rPr>
              <w:t>Oregon</w:t>
            </w:r>
          </w:p>
        </w:tc>
        <w:tc>
          <w:tcPr>
            <w:tcW w:w="0" w:type="auto"/>
            <w:gridSpan w:val="3"/>
            <w:shd w:val="clear" w:color="auto" w:fill="auto"/>
          </w:tcPr>
          <w:p w14:paraId="1D024CD9" w14:textId="77777777" w:rsidR="004421F6" w:rsidRDefault="004421F6">
            <w:pPr>
              <w:rPr>
                <w:rFonts w:ascii="宋体"/>
                <w:vanish/>
              </w:rPr>
            </w:pPr>
          </w:p>
        </w:tc>
        <w:tc>
          <w:tcPr>
            <w:tcW w:w="0" w:type="auto"/>
            <w:gridSpan w:val="4"/>
            <w:shd w:val="clear" w:color="auto" w:fill="auto"/>
            <w:tcMar>
              <w:top w:w="40" w:type="dxa"/>
              <w:left w:w="20" w:type="dxa"/>
              <w:bottom w:w="40" w:type="dxa"/>
              <w:right w:w="20" w:type="dxa"/>
            </w:tcMar>
            <w:vAlign w:val="bottom"/>
          </w:tcPr>
          <w:p w14:paraId="1D024CDA" w14:textId="77777777" w:rsidR="004421F6" w:rsidRDefault="00F15622">
            <w:pPr>
              <w:jc w:val="center"/>
              <w:textAlignment w:val="bottom"/>
            </w:pPr>
            <w:r>
              <w:rPr>
                <w:rFonts w:ascii="Arial" w:eastAsia="宋体" w:hAnsi="Arial" w:cs="Arial"/>
                <w:b/>
                <w:bCs/>
                <w:color w:val="000000"/>
                <w:sz w:val="14"/>
                <w:szCs w:val="14"/>
              </w:rPr>
              <w:t>93-0584541</w:t>
            </w:r>
          </w:p>
        </w:tc>
        <w:tc>
          <w:tcPr>
            <w:tcW w:w="0" w:type="auto"/>
            <w:shd w:val="clear" w:color="auto" w:fill="auto"/>
          </w:tcPr>
          <w:p w14:paraId="1D024CDB" w14:textId="77777777" w:rsidR="004421F6" w:rsidRDefault="004421F6">
            <w:pPr>
              <w:rPr>
                <w:rFonts w:ascii="宋体"/>
                <w:vanish/>
              </w:rPr>
            </w:pPr>
          </w:p>
        </w:tc>
      </w:tr>
      <w:tr w:rsidR="004421F6" w14:paraId="1D024CE1" w14:textId="77777777">
        <w:tc>
          <w:tcPr>
            <w:tcW w:w="0" w:type="auto"/>
            <w:gridSpan w:val="6"/>
            <w:shd w:val="clear" w:color="auto" w:fill="auto"/>
            <w:tcMar>
              <w:top w:w="40" w:type="dxa"/>
              <w:left w:w="20" w:type="dxa"/>
              <w:bottom w:w="40" w:type="dxa"/>
              <w:right w:w="20" w:type="dxa"/>
            </w:tcMar>
          </w:tcPr>
          <w:p w14:paraId="1D024CDD" w14:textId="77777777" w:rsidR="004421F6" w:rsidRDefault="00F15622">
            <w:pPr>
              <w:jc w:val="center"/>
              <w:textAlignment w:val="top"/>
            </w:pPr>
            <w:r>
              <w:rPr>
                <w:rFonts w:ascii="Arial" w:eastAsia="宋体" w:hAnsi="Arial" w:cs="Arial"/>
                <w:i/>
                <w:iCs/>
                <w:color w:val="000000"/>
                <w:sz w:val="14"/>
                <w:szCs w:val="14"/>
              </w:rPr>
              <w:t>(State or other jurisdiction of incorporation or organization)</w:t>
            </w:r>
          </w:p>
        </w:tc>
        <w:tc>
          <w:tcPr>
            <w:tcW w:w="0" w:type="auto"/>
            <w:gridSpan w:val="3"/>
            <w:shd w:val="clear" w:color="auto" w:fill="auto"/>
          </w:tcPr>
          <w:p w14:paraId="1D024CDE" w14:textId="77777777" w:rsidR="004421F6" w:rsidRDefault="004421F6">
            <w:pPr>
              <w:rPr>
                <w:rFonts w:ascii="宋体"/>
                <w:vanish/>
              </w:rPr>
            </w:pPr>
          </w:p>
        </w:tc>
        <w:tc>
          <w:tcPr>
            <w:tcW w:w="0" w:type="auto"/>
            <w:gridSpan w:val="4"/>
            <w:shd w:val="clear" w:color="auto" w:fill="auto"/>
            <w:tcMar>
              <w:top w:w="40" w:type="dxa"/>
              <w:left w:w="20" w:type="dxa"/>
              <w:bottom w:w="40" w:type="dxa"/>
              <w:right w:w="20" w:type="dxa"/>
            </w:tcMar>
          </w:tcPr>
          <w:p w14:paraId="1D024CDF" w14:textId="77777777" w:rsidR="004421F6" w:rsidRDefault="00F15622">
            <w:pPr>
              <w:jc w:val="center"/>
              <w:textAlignment w:val="top"/>
            </w:pPr>
            <w:r>
              <w:rPr>
                <w:rFonts w:ascii="Arial" w:eastAsia="宋体" w:hAnsi="Arial" w:cs="Arial"/>
                <w:i/>
                <w:iCs/>
                <w:color w:val="000000"/>
                <w:sz w:val="14"/>
                <w:szCs w:val="14"/>
              </w:rPr>
              <w:t>(I.R.S. Employer Identification No.)</w:t>
            </w:r>
          </w:p>
        </w:tc>
        <w:tc>
          <w:tcPr>
            <w:tcW w:w="0" w:type="auto"/>
            <w:shd w:val="clear" w:color="auto" w:fill="auto"/>
          </w:tcPr>
          <w:p w14:paraId="1D024CE0" w14:textId="77777777" w:rsidR="004421F6" w:rsidRDefault="004421F6">
            <w:pPr>
              <w:rPr>
                <w:rFonts w:ascii="宋体"/>
                <w:vanish/>
              </w:rPr>
            </w:pPr>
          </w:p>
        </w:tc>
      </w:tr>
    </w:tbl>
    <w:p w14:paraId="1D024CE2" w14:textId="77777777" w:rsidR="004421F6" w:rsidRDefault="004421F6">
      <w:pPr>
        <w:jc w:val="center"/>
      </w:pPr>
    </w:p>
    <w:p w14:paraId="1D024CE3" w14:textId="77777777" w:rsidR="004421F6" w:rsidRDefault="00F15622">
      <w:pPr>
        <w:jc w:val="center"/>
      </w:pPr>
      <w:r>
        <w:rPr>
          <w:rFonts w:ascii="Arial" w:eastAsia="宋体" w:hAnsi="Arial" w:cs="Arial"/>
          <w:b/>
          <w:bCs/>
          <w:color w:val="000000"/>
          <w:sz w:val="14"/>
          <w:szCs w:val="14"/>
        </w:rPr>
        <w:t xml:space="preserve">One Bowerman Drive, Beaverton, Oregon 97005-6453 </w:t>
      </w:r>
    </w:p>
    <w:p w14:paraId="1D024CE4" w14:textId="77777777" w:rsidR="004421F6" w:rsidRDefault="00F15622">
      <w:pPr>
        <w:jc w:val="center"/>
      </w:pPr>
      <w:r>
        <w:rPr>
          <w:rFonts w:ascii="Arial" w:eastAsia="宋体" w:hAnsi="Arial" w:cs="Arial"/>
          <w:i/>
          <w:iCs/>
          <w:color w:val="000000"/>
          <w:sz w:val="14"/>
          <w:szCs w:val="14"/>
        </w:rPr>
        <w:t>(Address of principal executive offices and zip code)</w:t>
      </w:r>
    </w:p>
    <w:p w14:paraId="1D024CE5" w14:textId="77777777" w:rsidR="004421F6" w:rsidRDefault="004421F6">
      <w:pPr>
        <w:jc w:val="center"/>
      </w:pPr>
    </w:p>
    <w:p w14:paraId="1D024CE6" w14:textId="77777777" w:rsidR="004421F6" w:rsidRDefault="00F15622">
      <w:pPr>
        <w:jc w:val="center"/>
      </w:pPr>
      <w:r>
        <w:rPr>
          <w:rFonts w:ascii="Arial" w:eastAsia="宋体" w:hAnsi="Arial" w:cs="Arial"/>
          <w:b/>
          <w:bCs/>
          <w:color w:val="000000"/>
          <w:sz w:val="14"/>
          <w:szCs w:val="14"/>
        </w:rPr>
        <w:t xml:space="preserve">(503) 671-6453 </w:t>
      </w:r>
    </w:p>
    <w:p w14:paraId="1D024CE7" w14:textId="77777777" w:rsidR="004421F6" w:rsidRDefault="00F15622">
      <w:pPr>
        <w:jc w:val="center"/>
      </w:pPr>
      <w:r>
        <w:rPr>
          <w:rFonts w:ascii="Arial" w:eastAsia="宋体" w:hAnsi="Arial" w:cs="Arial"/>
          <w:i/>
          <w:iCs/>
          <w:color w:val="000000"/>
          <w:sz w:val="14"/>
          <w:szCs w:val="14"/>
        </w:rPr>
        <w:t>(Registrant's telephone number, including area code)</w:t>
      </w:r>
    </w:p>
    <w:tbl>
      <w:tblPr>
        <w:tblW w:w="5000" w:type="pct"/>
        <w:tblCellMar>
          <w:top w:w="15" w:type="dxa"/>
          <w:left w:w="15" w:type="dxa"/>
          <w:bottom w:w="15" w:type="dxa"/>
          <w:right w:w="15" w:type="dxa"/>
        </w:tblCellMar>
        <w:tblLook w:val="04A0" w:firstRow="1" w:lastRow="0" w:firstColumn="1" w:lastColumn="0" w:noHBand="0" w:noVBand="1"/>
      </w:tblPr>
      <w:tblGrid>
        <w:gridCol w:w="58"/>
        <w:gridCol w:w="2237"/>
        <w:gridCol w:w="38"/>
        <w:gridCol w:w="59"/>
        <w:gridCol w:w="1276"/>
        <w:gridCol w:w="37"/>
        <w:gridCol w:w="59"/>
        <w:gridCol w:w="1276"/>
        <w:gridCol w:w="37"/>
        <w:gridCol w:w="59"/>
        <w:gridCol w:w="2238"/>
        <w:gridCol w:w="36"/>
        <w:gridCol w:w="710"/>
        <w:gridCol w:w="36"/>
        <w:gridCol w:w="36"/>
        <w:gridCol w:w="36"/>
        <w:gridCol w:w="36"/>
        <w:gridCol w:w="36"/>
        <w:gridCol w:w="36"/>
      </w:tblGrid>
      <w:tr w:rsidR="004421F6" w14:paraId="1D024CF4" w14:textId="77777777">
        <w:trPr>
          <w:gridAfter w:val="7"/>
        </w:trPr>
        <w:tc>
          <w:tcPr>
            <w:tcW w:w="50" w:type="pct"/>
            <w:shd w:val="clear" w:color="auto" w:fill="auto"/>
          </w:tcPr>
          <w:p w14:paraId="1D024CE8" w14:textId="77777777" w:rsidR="004421F6" w:rsidRDefault="004421F6">
            <w:pPr>
              <w:rPr>
                <w:rFonts w:ascii="宋体"/>
              </w:rPr>
            </w:pPr>
          </w:p>
        </w:tc>
        <w:tc>
          <w:tcPr>
            <w:tcW w:w="1519" w:type="pct"/>
            <w:shd w:val="clear" w:color="auto" w:fill="auto"/>
          </w:tcPr>
          <w:p w14:paraId="1D024CE9" w14:textId="77777777" w:rsidR="004421F6" w:rsidRDefault="004421F6">
            <w:pPr>
              <w:rPr>
                <w:rFonts w:ascii="宋体"/>
              </w:rPr>
            </w:pPr>
          </w:p>
        </w:tc>
        <w:tc>
          <w:tcPr>
            <w:tcW w:w="5" w:type="pct"/>
            <w:shd w:val="clear" w:color="auto" w:fill="auto"/>
          </w:tcPr>
          <w:p w14:paraId="1D024CEA" w14:textId="77777777" w:rsidR="004421F6" w:rsidRDefault="004421F6">
            <w:pPr>
              <w:rPr>
                <w:rFonts w:ascii="宋体"/>
              </w:rPr>
            </w:pPr>
          </w:p>
        </w:tc>
        <w:tc>
          <w:tcPr>
            <w:tcW w:w="50" w:type="pct"/>
            <w:shd w:val="clear" w:color="auto" w:fill="auto"/>
          </w:tcPr>
          <w:p w14:paraId="1D024CEB" w14:textId="77777777" w:rsidR="004421F6" w:rsidRDefault="004421F6">
            <w:pPr>
              <w:rPr>
                <w:rFonts w:ascii="宋体"/>
              </w:rPr>
            </w:pPr>
          </w:p>
        </w:tc>
        <w:tc>
          <w:tcPr>
            <w:tcW w:w="870" w:type="pct"/>
            <w:shd w:val="clear" w:color="auto" w:fill="auto"/>
          </w:tcPr>
          <w:p w14:paraId="1D024CEC" w14:textId="77777777" w:rsidR="004421F6" w:rsidRDefault="004421F6">
            <w:pPr>
              <w:rPr>
                <w:rFonts w:ascii="宋体"/>
              </w:rPr>
            </w:pPr>
          </w:p>
        </w:tc>
        <w:tc>
          <w:tcPr>
            <w:tcW w:w="5" w:type="pct"/>
            <w:shd w:val="clear" w:color="auto" w:fill="auto"/>
          </w:tcPr>
          <w:p w14:paraId="1D024CED" w14:textId="77777777" w:rsidR="004421F6" w:rsidRDefault="004421F6">
            <w:pPr>
              <w:rPr>
                <w:rFonts w:ascii="宋体"/>
              </w:rPr>
            </w:pPr>
          </w:p>
        </w:tc>
        <w:tc>
          <w:tcPr>
            <w:tcW w:w="50" w:type="pct"/>
            <w:shd w:val="clear" w:color="auto" w:fill="auto"/>
          </w:tcPr>
          <w:p w14:paraId="1D024CEE" w14:textId="77777777" w:rsidR="004421F6" w:rsidRDefault="004421F6">
            <w:pPr>
              <w:rPr>
                <w:rFonts w:ascii="宋体"/>
              </w:rPr>
            </w:pPr>
          </w:p>
        </w:tc>
        <w:tc>
          <w:tcPr>
            <w:tcW w:w="870" w:type="pct"/>
            <w:shd w:val="clear" w:color="auto" w:fill="auto"/>
          </w:tcPr>
          <w:p w14:paraId="1D024CEF" w14:textId="77777777" w:rsidR="004421F6" w:rsidRDefault="004421F6">
            <w:pPr>
              <w:rPr>
                <w:rFonts w:ascii="宋体"/>
              </w:rPr>
            </w:pPr>
          </w:p>
        </w:tc>
        <w:tc>
          <w:tcPr>
            <w:tcW w:w="5" w:type="pct"/>
            <w:shd w:val="clear" w:color="auto" w:fill="auto"/>
          </w:tcPr>
          <w:p w14:paraId="1D024CF0" w14:textId="77777777" w:rsidR="004421F6" w:rsidRDefault="004421F6">
            <w:pPr>
              <w:rPr>
                <w:rFonts w:ascii="宋体"/>
              </w:rPr>
            </w:pPr>
          </w:p>
        </w:tc>
        <w:tc>
          <w:tcPr>
            <w:tcW w:w="50" w:type="pct"/>
            <w:shd w:val="clear" w:color="auto" w:fill="auto"/>
          </w:tcPr>
          <w:p w14:paraId="1D024CF1" w14:textId="77777777" w:rsidR="004421F6" w:rsidRDefault="004421F6">
            <w:pPr>
              <w:rPr>
                <w:rFonts w:ascii="宋体"/>
              </w:rPr>
            </w:pPr>
          </w:p>
        </w:tc>
        <w:tc>
          <w:tcPr>
            <w:tcW w:w="1519" w:type="pct"/>
            <w:shd w:val="clear" w:color="auto" w:fill="auto"/>
          </w:tcPr>
          <w:p w14:paraId="1D024CF2" w14:textId="77777777" w:rsidR="004421F6" w:rsidRDefault="004421F6">
            <w:pPr>
              <w:rPr>
                <w:rFonts w:ascii="宋体"/>
              </w:rPr>
            </w:pPr>
          </w:p>
        </w:tc>
        <w:tc>
          <w:tcPr>
            <w:tcW w:w="5" w:type="pct"/>
            <w:shd w:val="clear" w:color="auto" w:fill="auto"/>
          </w:tcPr>
          <w:p w14:paraId="1D024CF3" w14:textId="77777777" w:rsidR="004421F6" w:rsidRDefault="004421F6">
            <w:pPr>
              <w:rPr>
                <w:rFonts w:ascii="宋体"/>
              </w:rPr>
            </w:pPr>
          </w:p>
        </w:tc>
      </w:tr>
      <w:tr w:rsidR="004421F6" w14:paraId="1D024CF9" w14:textId="77777777">
        <w:tc>
          <w:tcPr>
            <w:tcW w:w="0" w:type="auto"/>
            <w:gridSpan w:val="12"/>
            <w:shd w:val="clear" w:color="auto" w:fill="auto"/>
            <w:tcMar>
              <w:top w:w="40" w:type="dxa"/>
              <w:left w:w="20" w:type="dxa"/>
              <w:bottom w:w="40" w:type="dxa"/>
              <w:right w:w="20" w:type="dxa"/>
            </w:tcMar>
            <w:vAlign w:val="bottom"/>
          </w:tcPr>
          <w:p w14:paraId="1D024CF5" w14:textId="77777777" w:rsidR="004421F6" w:rsidRDefault="00F15622">
            <w:pPr>
              <w:jc w:val="center"/>
              <w:textAlignment w:val="bottom"/>
            </w:pPr>
            <w:r>
              <w:rPr>
                <w:rFonts w:ascii="Arial" w:eastAsia="宋体" w:hAnsi="Arial" w:cs="Arial"/>
                <w:color w:val="000000"/>
                <w:sz w:val="14"/>
                <w:szCs w:val="14"/>
              </w:rPr>
              <w:t>SECURITIES REGISTERED PURSUANT TO SECTION 12(B) OF THE ACT:</w:t>
            </w:r>
          </w:p>
        </w:tc>
        <w:tc>
          <w:tcPr>
            <w:tcW w:w="0" w:type="auto"/>
            <w:shd w:val="clear" w:color="auto" w:fill="auto"/>
          </w:tcPr>
          <w:p w14:paraId="1D024CF6" w14:textId="77777777" w:rsidR="004421F6" w:rsidRDefault="004421F6">
            <w:pPr>
              <w:rPr>
                <w:rFonts w:ascii="宋体"/>
                <w:vanish/>
              </w:rPr>
            </w:pPr>
          </w:p>
        </w:tc>
        <w:tc>
          <w:tcPr>
            <w:tcW w:w="0" w:type="auto"/>
            <w:gridSpan w:val="3"/>
            <w:shd w:val="clear" w:color="auto" w:fill="auto"/>
          </w:tcPr>
          <w:p w14:paraId="1D024CF7" w14:textId="77777777" w:rsidR="004421F6" w:rsidRDefault="004421F6">
            <w:pPr>
              <w:rPr>
                <w:rFonts w:ascii="宋体"/>
                <w:vanish/>
              </w:rPr>
            </w:pPr>
          </w:p>
        </w:tc>
        <w:tc>
          <w:tcPr>
            <w:tcW w:w="0" w:type="auto"/>
            <w:gridSpan w:val="3"/>
            <w:shd w:val="clear" w:color="auto" w:fill="auto"/>
          </w:tcPr>
          <w:p w14:paraId="1D024CF8" w14:textId="77777777" w:rsidR="004421F6" w:rsidRDefault="004421F6">
            <w:pPr>
              <w:rPr>
                <w:rFonts w:ascii="宋体"/>
                <w:vanish/>
              </w:rPr>
            </w:pPr>
          </w:p>
        </w:tc>
      </w:tr>
      <w:tr w:rsidR="004421F6" w14:paraId="1D024D04" w14:textId="77777777">
        <w:tc>
          <w:tcPr>
            <w:tcW w:w="0" w:type="auto"/>
            <w:gridSpan w:val="3"/>
            <w:shd w:val="clear" w:color="auto" w:fill="auto"/>
            <w:tcMar>
              <w:top w:w="40" w:type="dxa"/>
              <w:left w:w="20" w:type="dxa"/>
              <w:bottom w:w="40" w:type="dxa"/>
              <w:right w:w="20" w:type="dxa"/>
            </w:tcMar>
            <w:vAlign w:val="bottom"/>
          </w:tcPr>
          <w:p w14:paraId="1D024CFA" w14:textId="77777777" w:rsidR="004421F6" w:rsidRDefault="00F15622">
            <w:pPr>
              <w:jc w:val="center"/>
              <w:textAlignment w:val="bottom"/>
            </w:pPr>
            <w:r>
              <w:rPr>
                <w:rFonts w:ascii="Arial" w:eastAsia="宋体" w:hAnsi="Arial" w:cs="Arial"/>
                <w:b/>
                <w:bCs/>
                <w:color w:val="000000"/>
                <w:sz w:val="14"/>
                <w:szCs w:val="14"/>
              </w:rPr>
              <w:t>Class B Common Stock</w:t>
            </w:r>
          </w:p>
        </w:tc>
        <w:tc>
          <w:tcPr>
            <w:tcW w:w="0" w:type="auto"/>
            <w:gridSpan w:val="6"/>
            <w:shd w:val="clear" w:color="auto" w:fill="auto"/>
            <w:tcMar>
              <w:top w:w="40" w:type="dxa"/>
              <w:left w:w="20" w:type="dxa"/>
              <w:bottom w:w="40" w:type="dxa"/>
              <w:right w:w="20" w:type="dxa"/>
            </w:tcMar>
            <w:vAlign w:val="bottom"/>
          </w:tcPr>
          <w:p w14:paraId="1D024CFB" w14:textId="77777777" w:rsidR="004421F6" w:rsidRDefault="00F15622">
            <w:pPr>
              <w:jc w:val="center"/>
              <w:textAlignment w:val="bottom"/>
            </w:pPr>
            <w:r>
              <w:rPr>
                <w:rFonts w:ascii="Arial" w:eastAsia="宋体" w:hAnsi="Arial" w:cs="Arial"/>
                <w:b/>
                <w:bCs/>
                <w:color w:val="000000"/>
                <w:sz w:val="14"/>
                <w:szCs w:val="14"/>
              </w:rPr>
              <w:t>NKE</w:t>
            </w:r>
          </w:p>
        </w:tc>
        <w:tc>
          <w:tcPr>
            <w:tcW w:w="0" w:type="auto"/>
            <w:gridSpan w:val="3"/>
            <w:shd w:val="clear" w:color="auto" w:fill="auto"/>
          </w:tcPr>
          <w:p w14:paraId="1D024CFC" w14:textId="77777777" w:rsidR="004421F6" w:rsidRDefault="004421F6">
            <w:pPr>
              <w:rPr>
                <w:rFonts w:ascii="宋体"/>
                <w:vanish/>
              </w:rPr>
            </w:pPr>
          </w:p>
        </w:tc>
        <w:tc>
          <w:tcPr>
            <w:tcW w:w="0" w:type="auto"/>
            <w:shd w:val="clear" w:color="auto" w:fill="auto"/>
            <w:tcMar>
              <w:top w:w="40" w:type="dxa"/>
              <w:left w:w="20" w:type="dxa"/>
              <w:bottom w:w="40" w:type="dxa"/>
              <w:right w:w="20" w:type="dxa"/>
            </w:tcMar>
            <w:vAlign w:val="bottom"/>
          </w:tcPr>
          <w:p w14:paraId="1D024CFD" w14:textId="77777777" w:rsidR="004421F6" w:rsidRDefault="00F15622">
            <w:pPr>
              <w:jc w:val="center"/>
              <w:textAlignment w:val="bottom"/>
            </w:pPr>
            <w:r>
              <w:rPr>
                <w:rFonts w:ascii="Arial" w:eastAsia="宋体" w:hAnsi="Arial" w:cs="Arial"/>
                <w:b/>
                <w:bCs/>
                <w:color w:val="000000"/>
                <w:sz w:val="14"/>
                <w:szCs w:val="14"/>
              </w:rPr>
              <w:t>New York Stock Exchange</w:t>
            </w:r>
          </w:p>
        </w:tc>
        <w:tc>
          <w:tcPr>
            <w:tcW w:w="0" w:type="auto"/>
            <w:shd w:val="clear" w:color="auto" w:fill="auto"/>
          </w:tcPr>
          <w:p w14:paraId="1D024CFE" w14:textId="77777777" w:rsidR="004421F6" w:rsidRDefault="004421F6">
            <w:pPr>
              <w:rPr>
                <w:rFonts w:ascii="宋体"/>
              </w:rPr>
            </w:pPr>
          </w:p>
        </w:tc>
        <w:tc>
          <w:tcPr>
            <w:tcW w:w="0" w:type="auto"/>
            <w:shd w:val="clear" w:color="auto" w:fill="auto"/>
          </w:tcPr>
          <w:p w14:paraId="1D024CFF" w14:textId="77777777" w:rsidR="004421F6" w:rsidRDefault="004421F6">
            <w:pPr>
              <w:rPr>
                <w:rFonts w:ascii="宋体"/>
              </w:rPr>
            </w:pPr>
          </w:p>
        </w:tc>
        <w:tc>
          <w:tcPr>
            <w:tcW w:w="0" w:type="auto"/>
            <w:shd w:val="clear" w:color="auto" w:fill="auto"/>
          </w:tcPr>
          <w:p w14:paraId="1D024D00" w14:textId="77777777" w:rsidR="004421F6" w:rsidRDefault="004421F6">
            <w:pPr>
              <w:rPr>
                <w:rFonts w:ascii="宋体"/>
              </w:rPr>
            </w:pPr>
          </w:p>
        </w:tc>
        <w:tc>
          <w:tcPr>
            <w:tcW w:w="0" w:type="auto"/>
            <w:shd w:val="clear" w:color="auto" w:fill="auto"/>
          </w:tcPr>
          <w:p w14:paraId="1D024D01" w14:textId="77777777" w:rsidR="004421F6" w:rsidRDefault="004421F6">
            <w:pPr>
              <w:rPr>
                <w:rFonts w:ascii="宋体"/>
              </w:rPr>
            </w:pPr>
          </w:p>
        </w:tc>
        <w:tc>
          <w:tcPr>
            <w:tcW w:w="0" w:type="auto"/>
            <w:shd w:val="clear" w:color="auto" w:fill="auto"/>
          </w:tcPr>
          <w:p w14:paraId="1D024D02" w14:textId="77777777" w:rsidR="004421F6" w:rsidRDefault="004421F6">
            <w:pPr>
              <w:rPr>
                <w:rFonts w:ascii="宋体"/>
              </w:rPr>
            </w:pPr>
          </w:p>
        </w:tc>
        <w:tc>
          <w:tcPr>
            <w:tcW w:w="0" w:type="auto"/>
            <w:shd w:val="clear" w:color="auto" w:fill="auto"/>
          </w:tcPr>
          <w:p w14:paraId="1D024D03" w14:textId="77777777" w:rsidR="004421F6" w:rsidRDefault="004421F6">
            <w:pPr>
              <w:rPr>
                <w:rFonts w:ascii="宋体"/>
              </w:rPr>
            </w:pPr>
          </w:p>
        </w:tc>
      </w:tr>
      <w:tr w:rsidR="004421F6" w14:paraId="1D024D0F" w14:textId="77777777">
        <w:tc>
          <w:tcPr>
            <w:tcW w:w="0" w:type="auto"/>
            <w:gridSpan w:val="3"/>
            <w:shd w:val="clear" w:color="auto" w:fill="auto"/>
            <w:tcMar>
              <w:top w:w="40" w:type="dxa"/>
              <w:left w:w="20" w:type="dxa"/>
              <w:bottom w:w="40" w:type="dxa"/>
              <w:right w:w="20" w:type="dxa"/>
            </w:tcMar>
            <w:vAlign w:val="bottom"/>
          </w:tcPr>
          <w:p w14:paraId="1D024D05" w14:textId="77777777" w:rsidR="004421F6" w:rsidRDefault="00F15622">
            <w:pPr>
              <w:jc w:val="center"/>
              <w:textAlignment w:val="bottom"/>
            </w:pPr>
            <w:r>
              <w:rPr>
                <w:rFonts w:ascii="Arial" w:eastAsia="宋体" w:hAnsi="Arial" w:cs="Arial"/>
                <w:i/>
                <w:iCs/>
                <w:color w:val="000000"/>
                <w:sz w:val="14"/>
                <w:szCs w:val="14"/>
              </w:rPr>
              <w:t>(Title of each class)</w:t>
            </w:r>
          </w:p>
        </w:tc>
        <w:tc>
          <w:tcPr>
            <w:tcW w:w="0" w:type="auto"/>
            <w:gridSpan w:val="6"/>
            <w:shd w:val="clear" w:color="auto" w:fill="auto"/>
            <w:tcMar>
              <w:top w:w="40" w:type="dxa"/>
              <w:left w:w="20" w:type="dxa"/>
              <w:bottom w:w="40" w:type="dxa"/>
              <w:right w:w="20" w:type="dxa"/>
            </w:tcMar>
            <w:vAlign w:val="bottom"/>
          </w:tcPr>
          <w:p w14:paraId="1D024D06" w14:textId="77777777" w:rsidR="004421F6" w:rsidRDefault="00F15622">
            <w:pPr>
              <w:jc w:val="center"/>
              <w:textAlignment w:val="bottom"/>
            </w:pPr>
            <w:r>
              <w:rPr>
                <w:rFonts w:ascii="Arial" w:eastAsia="宋体" w:hAnsi="Arial" w:cs="Arial"/>
                <w:i/>
                <w:iCs/>
                <w:color w:val="000000"/>
                <w:sz w:val="14"/>
                <w:szCs w:val="14"/>
              </w:rPr>
              <w:t>(Trading symbol)</w:t>
            </w:r>
          </w:p>
        </w:tc>
        <w:tc>
          <w:tcPr>
            <w:tcW w:w="0" w:type="auto"/>
            <w:gridSpan w:val="3"/>
            <w:shd w:val="clear" w:color="auto" w:fill="auto"/>
          </w:tcPr>
          <w:p w14:paraId="1D024D07" w14:textId="77777777" w:rsidR="004421F6" w:rsidRDefault="004421F6">
            <w:pPr>
              <w:rPr>
                <w:rFonts w:ascii="宋体"/>
                <w:vanish/>
              </w:rPr>
            </w:pPr>
          </w:p>
        </w:tc>
        <w:tc>
          <w:tcPr>
            <w:tcW w:w="0" w:type="auto"/>
            <w:shd w:val="clear" w:color="auto" w:fill="auto"/>
            <w:tcMar>
              <w:top w:w="40" w:type="dxa"/>
              <w:left w:w="20" w:type="dxa"/>
              <w:bottom w:w="40" w:type="dxa"/>
              <w:right w:w="20" w:type="dxa"/>
            </w:tcMar>
            <w:vAlign w:val="bottom"/>
          </w:tcPr>
          <w:p w14:paraId="1D024D08" w14:textId="77777777" w:rsidR="004421F6" w:rsidRDefault="00F15622">
            <w:pPr>
              <w:jc w:val="center"/>
              <w:textAlignment w:val="bottom"/>
            </w:pPr>
            <w:r>
              <w:rPr>
                <w:rFonts w:ascii="Arial" w:eastAsia="宋体" w:hAnsi="Arial" w:cs="Arial"/>
                <w:i/>
                <w:iCs/>
                <w:color w:val="000000"/>
                <w:sz w:val="14"/>
                <w:szCs w:val="14"/>
              </w:rPr>
              <w:t xml:space="preserve">(Name of </w:t>
            </w:r>
            <w:r>
              <w:rPr>
                <w:rFonts w:ascii="Arial" w:eastAsia="宋体" w:hAnsi="Arial" w:cs="Arial"/>
                <w:i/>
                <w:iCs/>
                <w:color w:val="000000"/>
                <w:sz w:val="14"/>
                <w:szCs w:val="14"/>
              </w:rPr>
              <w:t>each exchange on which registered)</w:t>
            </w:r>
          </w:p>
        </w:tc>
        <w:tc>
          <w:tcPr>
            <w:tcW w:w="0" w:type="auto"/>
            <w:shd w:val="clear" w:color="auto" w:fill="auto"/>
          </w:tcPr>
          <w:p w14:paraId="1D024D09" w14:textId="77777777" w:rsidR="004421F6" w:rsidRDefault="004421F6">
            <w:pPr>
              <w:rPr>
                <w:rFonts w:ascii="宋体"/>
              </w:rPr>
            </w:pPr>
          </w:p>
        </w:tc>
        <w:tc>
          <w:tcPr>
            <w:tcW w:w="0" w:type="auto"/>
            <w:shd w:val="clear" w:color="auto" w:fill="auto"/>
          </w:tcPr>
          <w:p w14:paraId="1D024D0A" w14:textId="77777777" w:rsidR="004421F6" w:rsidRDefault="004421F6">
            <w:pPr>
              <w:rPr>
                <w:rFonts w:ascii="宋体"/>
              </w:rPr>
            </w:pPr>
          </w:p>
        </w:tc>
        <w:tc>
          <w:tcPr>
            <w:tcW w:w="0" w:type="auto"/>
            <w:shd w:val="clear" w:color="auto" w:fill="auto"/>
          </w:tcPr>
          <w:p w14:paraId="1D024D0B" w14:textId="77777777" w:rsidR="004421F6" w:rsidRDefault="004421F6">
            <w:pPr>
              <w:rPr>
                <w:rFonts w:ascii="宋体"/>
              </w:rPr>
            </w:pPr>
          </w:p>
        </w:tc>
        <w:tc>
          <w:tcPr>
            <w:tcW w:w="0" w:type="auto"/>
            <w:shd w:val="clear" w:color="auto" w:fill="auto"/>
          </w:tcPr>
          <w:p w14:paraId="1D024D0C" w14:textId="77777777" w:rsidR="004421F6" w:rsidRDefault="004421F6">
            <w:pPr>
              <w:rPr>
                <w:rFonts w:ascii="宋体"/>
              </w:rPr>
            </w:pPr>
          </w:p>
        </w:tc>
        <w:tc>
          <w:tcPr>
            <w:tcW w:w="0" w:type="auto"/>
            <w:shd w:val="clear" w:color="auto" w:fill="auto"/>
          </w:tcPr>
          <w:p w14:paraId="1D024D0D" w14:textId="77777777" w:rsidR="004421F6" w:rsidRDefault="004421F6">
            <w:pPr>
              <w:rPr>
                <w:rFonts w:ascii="宋体"/>
              </w:rPr>
            </w:pPr>
          </w:p>
        </w:tc>
        <w:tc>
          <w:tcPr>
            <w:tcW w:w="0" w:type="auto"/>
            <w:shd w:val="clear" w:color="auto" w:fill="auto"/>
          </w:tcPr>
          <w:p w14:paraId="1D024D0E" w14:textId="77777777" w:rsidR="004421F6" w:rsidRDefault="004421F6">
            <w:pPr>
              <w:rPr>
                <w:rFonts w:ascii="宋体"/>
              </w:rPr>
            </w:pPr>
          </w:p>
        </w:tc>
      </w:tr>
    </w:tbl>
    <w:p w14:paraId="1D024D10" w14:textId="77777777" w:rsidR="004421F6" w:rsidRDefault="004421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6"/>
        <w:gridCol w:w="36"/>
        <w:gridCol w:w="36"/>
        <w:gridCol w:w="36"/>
        <w:gridCol w:w="45"/>
        <w:gridCol w:w="930"/>
        <w:gridCol w:w="38"/>
        <w:gridCol w:w="38"/>
        <w:gridCol w:w="151"/>
        <w:gridCol w:w="38"/>
        <w:gridCol w:w="84"/>
        <w:gridCol w:w="952"/>
        <w:gridCol w:w="38"/>
        <w:gridCol w:w="37"/>
        <w:gridCol w:w="37"/>
        <w:gridCol w:w="37"/>
        <w:gridCol w:w="76"/>
        <w:gridCol w:w="1250"/>
        <w:gridCol w:w="38"/>
        <w:gridCol w:w="37"/>
        <w:gridCol w:w="43"/>
        <w:gridCol w:w="37"/>
        <w:gridCol w:w="88"/>
        <w:gridCol w:w="1617"/>
        <w:gridCol w:w="37"/>
        <w:gridCol w:w="36"/>
        <w:gridCol w:w="50"/>
        <w:gridCol w:w="36"/>
        <w:gridCol w:w="53"/>
        <w:gridCol w:w="545"/>
        <w:gridCol w:w="37"/>
        <w:gridCol w:w="52"/>
        <w:gridCol w:w="419"/>
        <w:gridCol w:w="36"/>
        <w:gridCol w:w="36"/>
        <w:gridCol w:w="36"/>
        <w:gridCol w:w="36"/>
        <w:gridCol w:w="110"/>
        <w:gridCol w:w="36"/>
        <w:gridCol w:w="36"/>
        <w:gridCol w:w="36"/>
        <w:gridCol w:w="36"/>
        <w:gridCol w:w="36"/>
        <w:gridCol w:w="36"/>
        <w:gridCol w:w="55"/>
        <w:gridCol w:w="55"/>
        <w:gridCol w:w="55"/>
        <w:gridCol w:w="107"/>
        <w:gridCol w:w="107"/>
        <w:gridCol w:w="107"/>
        <w:gridCol w:w="42"/>
        <w:gridCol w:w="42"/>
        <w:gridCol w:w="42"/>
        <w:gridCol w:w="42"/>
        <w:gridCol w:w="42"/>
        <w:gridCol w:w="42"/>
        <w:gridCol w:w="36"/>
        <w:gridCol w:w="36"/>
        <w:gridCol w:w="36"/>
      </w:tblGrid>
      <w:tr w:rsidR="004421F6" w14:paraId="1D024D36" w14:textId="77777777">
        <w:trPr>
          <w:gridAfter w:val="22"/>
        </w:trPr>
        <w:tc>
          <w:tcPr>
            <w:tcW w:w="5" w:type="pct"/>
            <w:shd w:val="clear" w:color="auto" w:fill="auto"/>
          </w:tcPr>
          <w:p w14:paraId="1D024D11" w14:textId="77777777" w:rsidR="004421F6" w:rsidRDefault="004421F6">
            <w:pPr>
              <w:rPr>
                <w:rFonts w:ascii="宋体"/>
              </w:rPr>
            </w:pPr>
          </w:p>
        </w:tc>
        <w:tc>
          <w:tcPr>
            <w:tcW w:w="59" w:type="pct"/>
            <w:shd w:val="clear" w:color="auto" w:fill="auto"/>
          </w:tcPr>
          <w:p w14:paraId="1D024D12" w14:textId="77777777" w:rsidR="004421F6" w:rsidRDefault="004421F6">
            <w:pPr>
              <w:rPr>
                <w:rFonts w:ascii="宋体"/>
              </w:rPr>
            </w:pPr>
          </w:p>
        </w:tc>
        <w:tc>
          <w:tcPr>
            <w:tcW w:w="5" w:type="pct"/>
            <w:shd w:val="clear" w:color="auto" w:fill="auto"/>
          </w:tcPr>
          <w:p w14:paraId="1D024D13" w14:textId="77777777" w:rsidR="004421F6" w:rsidRDefault="004421F6">
            <w:pPr>
              <w:rPr>
                <w:rFonts w:ascii="宋体"/>
              </w:rPr>
            </w:pPr>
          </w:p>
        </w:tc>
        <w:tc>
          <w:tcPr>
            <w:tcW w:w="0" w:type="auto"/>
            <w:shd w:val="clear" w:color="auto" w:fill="auto"/>
          </w:tcPr>
          <w:p w14:paraId="1D024D14" w14:textId="77777777" w:rsidR="004421F6" w:rsidRDefault="004421F6">
            <w:pPr>
              <w:rPr>
                <w:rFonts w:ascii="宋体"/>
                <w:vanish/>
              </w:rPr>
            </w:pPr>
          </w:p>
        </w:tc>
        <w:tc>
          <w:tcPr>
            <w:tcW w:w="50" w:type="pct"/>
            <w:shd w:val="clear" w:color="auto" w:fill="auto"/>
          </w:tcPr>
          <w:p w14:paraId="1D024D15" w14:textId="77777777" w:rsidR="004421F6" w:rsidRDefault="004421F6">
            <w:pPr>
              <w:rPr>
                <w:rFonts w:ascii="宋体"/>
              </w:rPr>
            </w:pPr>
          </w:p>
        </w:tc>
        <w:tc>
          <w:tcPr>
            <w:tcW w:w="807" w:type="pct"/>
            <w:shd w:val="clear" w:color="auto" w:fill="auto"/>
          </w:tcPr>
          <w:p w14:paraId="1D024D16" w14:textId="77777777" w:rsidR="004421F6" w:rsidRDefault="004421F6">
            <w:pPr>
              <w:rPr>
                <w:rFonts w:ascii="宋体"/>
              </w:rPr>
            </w:pPr>
          </w:p>
        </w:tc>
        <w:tc>
          <w:tcPr>
            <w:tcW w:w="5" w:type="pct"/>
            <w:shd w:val="clear" w:color="auto" w:fill="auto"/>
          </w:tcPr>
          <w:p w14:paraId="1D024D17" w14:textId="77777777" w:rsidR="004421F6" w:rsidRDefault="004421F6">
            <w:pPr>
              <w:rPr>
                <w:rFonts w:ascii="宋体"/>
              </w:rPr>
            </w:pPr>
          </w:p>
        </w:tc>
        <w:tc>
          <w:tcPr>
            <w:tcW w:w="5" w:type="pct"/>
            <w:shd w:val="clear" w:color="auto" w:fill="auto"/>
          </w:tcPr>
          <w:p w14:paraId="1D024D18" w14:textId="77777777" w:rsidR="004421F6" w:rsidRDefault="004421F6">
            <w:pPr>
              <w:rPr>
                <w:rFonts w:ascii="宋体"/>
              </w:rPr>
            </w:pPr>
          </w:p>
        </w:tc>
        <w:tc>
          <w:tcPr>
            <w:tcW w:w="105" w:type="pct"/>
            <w:shd w:val="clear" w:color="auto" w:fill="auto"/>
          </w:tcPr>
          <w:p w14:paraId="1D024D19" w14:textId="77777777" w:rsidR="004421F6" w:rsidRDefault="004421F6">
            <w:pPr>
              <w:rPr>
                <w:rFonts w:ascii="宋体"/>
              </w:rPr>
            </w:pPr>
          </w:p>
        </w:tc>
        <w:tc>
          <w:tcPr>
            <w:tcW w:w="5" w:type="pct"/>
            <w:shd w:val="clear" w:color="auto" w:fill="auto"/>
          </w:tcPr>
          <w:p w14:paraId="1D024D1A" w14:textId="77777777" w:rsidR="004421F6" w:rsidRDefault="004421F6">
            <w:pPr>
              <w:rPr>
                <w:rFonts w:ascii="宋体"/>
              </w:rPr>
            </w:pPr>
          </w:p>
        </w:tc>
        <w:tc>
          <w:tcPr>
            <w:tcW w:w="50" w:type="pct"/>
            <w:shd w:val="clear" w:color="auto" w:fill="auto"/>
          </w:tcPr>
          <w:p w14:paraId="1D024D1B" w14:textId="77777777" w:rsidR="004421F6" w:rsidRDefault="004421F6">
            <w:pPr>
              <w:rPr>
                <w:rFonts w:ascii="宋体"/>
              </w:rPr>
            </w:pPr>
          </w:p>
        </w:tc>
        <w:tc>
          <w:tcPr>
            <w:tcW w:w="569" w:type="pct"/>
            <w:shd w:val="clear" w:color="auto" w:fill="auto"/>
          </w:tcPr>
          <w:p w14:paraId="1D024D1C" w14:textId="77777777" w:rsidR="004421F6" w:rsidRDefault="004421F6">
            <w:pPr>
              <w:rPr>
                <w:rFonts w:ascii="宋体"/>
              </w:rPr>
            </w:pPr>
          </w:p>
        </w:tc>
        <w:tc>
          <w:tcPr>
            <w:tcW w:w="5" w:type="pct"/>
            <w:shd w:val="clear" w:color="auto" w:fill="auto"/>
          </w:tcPr>
          <w:p w14:paraId="1D024D1D" w14:textId="77777777" w:rsidR="004421F6" w:rsidRDefault="004421F6">
            <w:pPr>
              <w:rPr>
                <w:rFonts w:ascii="宋体"/>
              </w:rPr>
            </w:pPr>
          </w:p>
        </w:tc>
        <w:tc>
          <w:tcPr>
            <w:tcW w:w="5" w:type="pct"/>
            <w:shd w:val="clear" w:color="auto" w:fill="auto"/>
          </w:tcPr>
          <w:p w14:paraId="1D024D1E" w14:textId="77777777" w:rsidR="004421F6" w:rsidRDefault="004421F6">
            <w:pPr>
              <w:rPr>
                <w:rFonts w:ascii="宋体"/>
              </w:rPr>
            </w:pPr>
          </w:p>
        </w:tc>
        <w:tc>
          <w:tcPr>
            <w:tcW w:w="90" w:type="pct"/>
            <w:shd w:val="clear" w:color="auto" w:fill="auto"/>
          </w:tcPr>
          <w:p w14:paraId="1D024D1F" w14:textId="77777777" w:rsidR="004421F6" w:rsidRDefault="004421F6">
            <w:pPr>
              <w:rPr>
                <w:rFonts w:ascii="宋体"/>
              </w:rPr>
            </w:pPr>
          </w:p>
        </w:tc>
        <w:tc>
          <w:tcPr>
            <w:tcW w:w="5" w:type="pct"/>
            <w:shd w:val="clear" w:color="auto" w:fill="auto"/>
          </w:tcPr>
          <w:p w14:paraId="1D024D20" w14:textId="77777777" w:rsidR="004421F6" w:rsidRDefault="004421F6">
            <w:pPr>
              <w:rPr>
                <w:rFonts w:ascii="宋体"/>
              </w:rPr>
            </w:pPr>
          </w:p>
        </w:tc>
        <w:tc>
          <w:tcPr>
            <w:tcW w:w="50" w:type="pct"/>
            <w:shd w:val="clear" w:color="auto" w:fill="auto"/>
          </w:tcPr>
          <w:p w14:paraId="1D024D21" w14:textId="77777777" w:rsidR="004421F6" w:rsidRDefault="004421F6">
            <w:pPr>
              <w:rPr>
                <w:rFonts w:ascii="宋体"/>
              </w:rPr>
            </w:pPr>
          </w:p>
        </w:tc>
        <w:tc>
          <w:tcPr>
            <w:tcW w:w="830" w:type="pct"/>
            <w:shd w:val="clear" w:color="auto" w:fill="auto"/>
          </w:tcPr>
          <w:p w14:paraId="1D024D22" w14:textId="77777777" w:rsidR="004421F6" w:rsidRDefault="004421F6">
            <w:pPr>
              <w:rPr>
                <w:rFonts w:ascii="宋体"/>
              </w:rPr>
            </w:pPr>
          </w:p>
        </w:tc>
        <w:tc>
          <w:tcPr>
            <w:tcW w:w="5" w:type="pct"/>
            <w:shd w:val="clear" w:color="auto" w:fill="auto"/>
          </w:tcPr>
          <w:p w14:paraId="1D024D23" w14:textId="77777777" w:rsidR="004421F6" w:rsidRDefault="004421F6">
            <w:pPr>
              <w:rPr>
                <w:rFonts w:ascii="宋体"/>
              </w:rPr>
            </w:pPr>
          </w:p>
        </w:tc>
        <w:tc>
          <w:tcPr>
            <w:tcW w:w="5" w:type="pct"/>
            <w:shd w:val="clear" w:color="auto" w:fill="auto"/>
          </w:tcPr>
          <w:p w14:paraId="1D024D24" w14:textId="77777777" w:rsidR="004421F6" w:rsidRDefault="004421F6">
            <w:pPr>
              <w:rPr>
                <w:rFonts w:ascii="宋体"/>
              </w:rPr>
            </w:pPr>
          </w:p>
        </w:tc>
        <w:tc>
          <w:tcPr>
            <w:tcW w:w="105" w:type="pct"/>
            <w:shd w:val="clear" w:color="auto" w:fill="auto"/>
          </w:tcPr>
          <w:p w14:paraId="1D024D25" w14:textId="77777777" w:rsidR="004421F6" w:rsidRDefault="004421F6">
            <w:pPr>
              <w:rPr>
                <w:rFonts w:ascii="宋体"/>
              </w:rPr>
            </w:pPr>
          </w:p>
        </w:tc>
        <w:tc>
          <w:tcPr>
            <w:tcW w:w="5" w:type="pct"/>
            <w:shd w:val="clear" w:color="auto" w:fill="auto"/>
          </w:tcPr>
          <w:p w14:paraId="1D024D26" w14:textId="77777777" w:rsidR="004421F6" w:rsidRDefault="004421F6">
            <w:pPr>
              <w:rPr>
                <w:rFonts w:ascii="宋体"/>
              </w:rPr>
            </w:pPr>
          </w:p>
        </w:tc>
        <w:tc>
          <w:tcPr>
            <w:tcW w:w="50" w:type="pct"/>
            <w:shd w:val="clear" w:color="auto" w:fill="auto"/>
          </w:tcPr>
          <w:p w14:paraId="1D024D27" w14:textId="77777777" w:rsidR="004421F6" w:rsidRDefault="004421F6">
            <w:pPr>
              <w:rPr>
                <w:rFonts w:ascii="宋体"/>
              </w:rPr>
            </w:pPr>
          </w:p>
        </w:tc>
        <w:tc>
          <w:tcPr>
            <w:tcW w:w="923" w:type="pct"/>
            <w:shd w:val="clear" w:color="auto" w:fill="auto"/>
          </w:tcPr>
          <w:p w14:paraId="1D024D28" w14:textId="77777777" w:rsidR="004421F6" w:rsidRDefault="004421F6">
            <w:pPr>
              <w:rPr>
                <w:rFonts w:ascii="宋体"/>
              </w:rPr>
            </w:pPr>
          </w:p>
        </w:tc>
        <w:tc>
          <w:tcPr>
            <w:tcW w:w="5" w:type="pct"/>
            <w:shd w:val="clear" w:color="auto" w:fill="auto"/>
          </w:tcPr>
          <w:p w14:paraId="1D024D29" w14:textId="77777777" w:rsidR="004421F6" w:rsidRDefault="004421F6">
            <w:pPr>
              <w:rPr>
                <w:rFonts w:ascii="宋体"/>
              </w:rPr>
            </w:pPr>
          </w:p>
        </w:tc>
        <w:tc>
          <w:tcPr>
            <w:tcW w:w="5" w:type="pct"/>
            <w:shd w:val="clear" w:color="auto" w:fill="auto"/>
          </w:tcPr>
          <w:p w14:paraId="1D024D2A" w14:textId="77777777" w:rsidR="004421F6" w:rsidRDefault="004421F6">
            <w:pPr>
              <w:rPr>
                <w:rFonts w:ascii="宋体"/>
              </w:rPr>
            </w:pPr>
          </w:p>
        </w:tc>
        <w:tc>
          <w:tcPr>
            <w:tcW w:w="105" w:type="pct"/>
            <w:shd w:val="clear" w:color="auto" w:fill="auto"/>
          </w:tcPr>
          <w:p w14:paraId="1D024D2B" w14:textId="77777777" w:rsidR="004421F6" w:rsidRDefault="004421F6">
            <w:pPr>
              <w:rPr>
                <w:rFonts w:ascii="宋体"/>
              </w:rPr>
            </w:pPr>
          </w:p>
        </w:tc>
        <w:tc>
          <w:tcPr>
            <w:tcW w:w="5" w:type="pct"/>
            <w:shd w:val="clear" w:color="auto" w:fill="auto"/>
          </w:tcPr>
          <w:p w14:paraId="1D024D2C" w14:textId="77777777" w:rsidR="004421F6" w:rsidRDefault="004421F6">
            <w:pPr>
              <w:rPr>
                <w:rFonts w:ascii="宋体"/>
              </w:rPr>
            </w:pPr>
          </w:p>
        </w:tc>
        <w:tc>
          <w:tcPr>
            <w:tcW w:w="50" w:type="pct"/>
            <w:shd w:val="clear" w:color="auto" w:fill="auto"/>
          </w:tcPr>
          <w:p w14:paraId="1D024D2D" w14:textId="77777777" w:rsidR="004421F6" w:rsidRDefault="004421F6">
            <w:pPr>
              <w:rPr>
                <w:rFonts w:ascii="宋体"/>
              </w:rPr>
            </w:pPr>
          </w:p>
        </w:tc>
        <w:tc>
          <w:tcPr>
            <w:tcW w:w="507" w:type="pct"/>
            <w:shd w:val="clear" w:color="auto" w:fill="auto"/>
          </w:tcPr>
          <w:p w14:paraId="1D024D2E" w14:textId="77777777" w:rsidR="004421F6" w:rsidRDefault="004421F6">
            <w:pPr>
              <w:rPr>
                <w:rFonts w:ascii="宋体"/>
              </w:rPr>
            </w:pPr>
          </w:p>
        </w:tc>
        <w:tc>
          <w:tcPr>
            <w:tcW w:w="5" w:type="pct"/>
            <w:shd w:val="clear" w:color="auto" w:fill="auto"/>
          </w:tcPr>
          <w:p w14:paraId="1D024D2F" w14:textId="77777777" w:rsidR="004421F6" w:rsidRDefault="004421F6">
            <w:pPr>
              <w:rPr>
                <w:rFonts w:ascii="宋体"/>
              </w:rPr>
            </w:pPr>
          </w:p>
        </w:tc>
        <w:tc>
          <w:tcPr>
            <w:tcW w:w="50" w:type="pct"/>
            <w:shd w:val="clear" w:color="auto" w:fill="auto"/>
          </w:tcPr>
          <w:p w14:paraId="1D024D30" w14:textId="77777777" w:rsidR="004421F6" w:rsidRDefault="004421F6">
            <w:pPr>
              <w:rPr>
                <w:rFonts w:ascii="宋体"/>
              </w:rPr>
            </w:pPr>
          </w:p>
        </w:tc>
        <w:tc>
          <w:tcPr>
            <w:tcW w:w="399" w:type="pct"/>
            <w:shd w:val="clear" w:color="auto" w:fill="auto"/>
          </w:tcPr>
          <w:p w14:paraId="1D024D31" w14:textId="77777777" w:rsidR="004421F6" w:rsidRDefault="004421F6">
            <w:pPr>
              <w:rPr>
                <w:rFonts w:ascii="宋体"/>
              </w:rPr>
            </w:pPr>
          </w:p>
        </w:tc>
        <w:tc>
          <w:tcPr>
            <w:tcW w:w="5" w:type="pct"/>
            <w:shd w:val="clear" w:color="auto" w:fill="auto"/>
          </w:tcPr>
          <w:p w14:paraId="1D024D32" w14:textId="77777777" w:rsidR="004421F6" w:rsidRDefault="004421F6">
            <w:pPr>
              <w:rPr>
                <w:rFonts w:ascii="宋体"/>
              </w:rPr>
            </w:pPr>
          </w:p>
        </w:tc>
        <w:tc>
          <w:tcPr>
            <w:tcW w:w="5" w:type="pct"/>
            <w:shd w:val="clear" w:color="auto" w:fill="auto"/>
          </w:tcPr>
          <w:p w14:paraId="1D024D33" w14:textId="77777777" w:rsidR="004421F6" w:rsidRDefault="004421F6">
            <w:pPr>
              <w:rPr>
                <w:rFonts w:ascii="宋体"/>
              </w:rPr>
            </w:pPr>
          </w:p>
        </w:tc>
        <w:tc>
          <w:tcPr>
            <w:tcW w:w="105" w:type="pct"/>
            <w:shd w:val="clear" w:color="auto" w:fill="auto"/>
          </w:tcPr>
          <w:p w14:paraId="1D024D34" w14:textId="77777777" w:rsidR="004421F6" w:rsidRDefault="004421F6">
            <w:pPr>
              <w:rPr>
                <w:rFonts w:ascii="宋体"/>
              </w:rPr>
            </w:pPr>
          </w:p>
        </w:tc>
        <w:tc>
          <w:tcPr>
            <w:tcW w:w="5" w:type="pct"/>
            <w:shd w:val="clear" w:color="auto" w:fill="auto"/>
          </w:tcPr>
          <w:p w14:paraId="1D024D35" w14:textId="77777777" w:rsidR="004421F6" w:rsidRDefault="004421F6">
            <w:pPr>
              <w:rPr>
                <w:rFonts w:ascii="宋体"/>
              </w:rPr>
            </w:pPr>
          </w:p>
        </w:tc>
      </w:tr>
      <w:tr w:rsidR="004421F6" w14:paraId="1D024D44" w14:textId="77777777">
        <w:tc>
          <w:tcPr>
            <w:tcW w:w="0" w:type="auto"/>
            <w:gridSpan w:val="22"/>
            <w:tcBorders>
              <w:bottom w:val="single" w:sz="8" w:space="0" w:color="E87722"/>
            </w:tcBorders>
            <w:shd w:val="clear" w:color="auto" w:fill="auto"/>
            <w:tcMar>
              <w:top w:w="40" w:type="dxa"/>
              <w:left w:w="20" w:type="dxa"/>
              <w:bottom w:w="40" w:type="dxa"/>
              <w:right w:w="20" w:type="dxa"/>
            </w:tcMar>
            <w:vAlign w:val="bottom"/>
          </w:tcPr>
          <w:p w14:paraId="1D024D37" w14:textId="77777777" w:rsidR="004421F6" w:rsidRDefault="00F15622">
            <w:pPr>
              <w:textAlignment w:val="bottom"/>
            </w:pPr>
            <w:r>
              <w:rPr>
                <w:rFonts w:ascii="Arial" w:eastAsia="宋体" w:hAnsi="Arial" w:cs="Arial"/>
                <w:b/>
                <w:bCs/>
                <w:color w:val="000000"/>
                <w:sz w:val="14"/>
                <w:szCs w:val="14"/>
              </w:rPr>
              <w:t>Indicate by check mark:</w:t>
            </w:r>
          </w:p>
        </w:tc>
        <w:tc>
          <w:tcPr>
            <w:tcW w:w="0" w:type="auto"/>
            <w:gridSpan w:val="3"/>
            <w:shd w:val="clear" w:color="auto" w:fill="auto"/>
          </w:tcPr>
          <w:p w14:paraId="1D024D38" w14:textId="77777777" w:rsidR="004421F6" w:rsidRDefault="004421F6">
            <w:pPr>
              <w:rPr>
                <w:rFonts w:ascii="宋体"/>
                <w:vanish/>
              </w:rPr>
            </w:pPr>
          </w:p>
        </w:tc>
        <w:tc>
          <w:tcPr>
            <w:tcW w:w="0" w:type="auto"/>
            <w:gridSpan w:val="3"/>
            <w:shd w:val="clear" w:color="auto" w:fill="auto"/>
          </w:tcPr>
          <w:p w14:paraId="1D024D39" w14:textId="77777777" w:rsidR="004421F6" w:rsidRDefault="004421F6">
            <w:pPr>
              <w:rPr>
                <w:rFonts w:ascii="宋体"/>
                <w:vanish/>
              </w:rPr>
            </w:pPr>
          </w:p>
        </w:tc>
        <w:tc>
          <w:tcPr>
            <w:tcW w:w="0" w:type="auto"/>
            <w:gridSpan w:val="3"/>
            <w:shd w:val="clear" w:color="auto" w:fill="auto"/>
          </w:tcPr>
          <w:p w14:paraId="1D024D3A" w14:textId="77777777" w:rsidR="004421F6" w:rsidRDefault="004421F6">
            <w:pPr>
              <w:rPr>
                <w:rFonts w:ascii="宋体"/>
                <w:vanish/>
              </w:rPr>
            </w:pPr>
          </w:p>
        </w:tc>
        <w:tc>
          <w:tcPr>
            <w:tcW w:w="0" w:type="auto"/>
            <w:gridSpan w:val="3"/>
            <w:shd w:val="clear" w:color="auto" w:fill="auto"/>
          </w:tcPr>
          <w:p w14:paraId="1D024D3B" w14:textId="77777777" w:rsidR="004421F6" w:rsidRDefault="004421F6">
            <w:pPr>
              <w:rPr>
                <w:rFonts w:ascii="宋体"/>
                <w:vanish/>
              </w:rPr>
            </w:pPr>
          </w:p>
        </w:tc>
        <w:tc>
          <w:tcPr>
            <w:tcW w:w="0" w:type="auto"/>
            <w:gridSpan w:val="3"/>
            <w:shd w:val="clear" w:color="auto" w:fill="auto"/>
          </w:tcPr>
          <w:p w14:paraId="1D024D3C" w14:textId="77777777" w:rsidR="004421F6" w:rsidRDefault="004421F6">
            <w:pPr>
              <w:rPr>
                <w:rFonts w:ascii="宋体"/>
                <w:vanish/>
              </w:rPr>
            </w:pPr>
          </w:p>
        </w:tc>
        <w:tc>
          <w:tcPr>
            <w:tcW w:w="0" w:type="auto"/>
            <w:shd w:val="clear" w:color="auto" w:fill="auto"/>
          </w:tcPr>
          <w:p w14:paraId="1D024D3D" w14:textId="77777777" w:rsidR="004421F6" w:rsidRDefault="004421F6">
            <w:pPr>
              <w:rPr>
                <w:rFonts w:ascii="宋体"/>
                <w:vanish/>
              </w:rPr>
            </w:pPr>
          </w:p>
        </w:tc>
        <w:tc>
          <w:tcPr>
            <w:tcW w:w="0" w:type="auto"/>
            <w:gridSpan w:val="3"/>
            <w:shd w:val="clear" w:color="auto" w:fill="auto"/>
          </w:tcPr>
          <w:p w14:paraId="1D024D3E" w14:textId="77777777" w:rsidR="004421F6" w:rsidRDefault="004421F6">
            <w:pPr>
              <w:rPr>
                <w:rFonts w:ascii="宋体"/>
                <w:vanish/>
              </w:rPr>
            </w:pPr>
          </w:p>
        </w:tc>
        <w:tc>
          <w:tcPr>
            <w:tcW w:w="0" w:type="auto"/>
            <w:gridSpan w:val="3"/>
            <w:shd w:val="clear" w:color="auto" w:fill="auto"/>
          </w:tcPr>
          <w:p w14:paraId="1D024D3F" w14:textId="77777777" w:rsidR="004421F6" w:rsidRDefault="004421F6">
            <w:pPr>
              <w:rPr>
                <w:rFonts w:ascii="宋体"/>
                <w:vanish/>
              </w:rPr>
            </w:pPr>
          </w:p>
        </w:tc>
        <w:tc>
          <w:tcPr>
            <w:tcW w:w="0" w:type="auto"/>
            <w:gridSpan w:val="3"/>
            <w:shd w:val="clear" w:color="auto" w:fill="auto"/>
            <w:tcMar>
              <w:left w:w="20" w:type="dxa"/>
              <w:right w:w="20" w:type="dxa"/>
            </w:tcMar>
            <w:vAlign w:val="bottom"/>
          </w:tcPr>
          <w:p w14:paraId="1D024D40" w14:textId="77777777" w:rsidR="004421F6" w:rsidRDefault="004421F6">
            <w:pPr>
              <w:rPr>
                <w:rFonts w:ascii="宋体"/>
              </w:rPr>
            </w:pPr>
          </w:p>
        </w:tc>
        <w:tc>
          <w:tcPr>
            <w:tcW w:w="0" w:type="auto"/>
            <w:gridSpan w:val="3"/>
            <w:shd w:val="clear" w:color="auto" w:fill="auto"/>
            <w:tcMar>
              <w:top w:w="40" w:type="dxa"/>
              <w:left w:w="20" w:type="dxa"/>
              <w:bottom w:w="40" w:type="dxa"/>
              <w:right w:w="20" w:type="dxa"/>
            </w:tcMar>
            <w:vAlign w:val="bottom"/>
          </w:tcPr>
          <w:p w14:paraId="1D024D41" w14:textId="77777777" w:rsidR="004421F6" w:rsidRDefault="00F15622">
            <w:pPr>
              <w:jc w:val="center"/>
              <w:textAlignment w:val="bottom"/>
            </w:pPr>
            <w:r>
              <w:rPr>
                <w:rFonts w:ascii="Arial" w:eastAsia="宋体" w:hAnsi="Arial" w:cs="Arial"/>
                <w:b/>
                <w:bCs/>
                <w:color w:val="000000"/>
                <w:sz w:val="14"/>
                <w:szCs w:val="14"/>
              </w:rPr>
              <w:t>YES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1D024D42" w14:textId="77777777" w:rsidR="004421F6" w:rsidRDefault="00F15622">
            <w:pPr>
              <w:jc w:val="center"/>
              <w:textAlignment w:val="bottom"/>
            </w:pPr>
            <w:r>
              <w:rPr>
                <w:rFonts w:ascii="Arial" w:eastAsia="宋体" w:hAnsi="Arial" w:cs="Arial"/>
                <w:b/>
                <w:bCs/>
                <w:color w:val="000000"/>
                <w:sz w:val="14"/>
                <w:szCs w:val="14"/>
              </w:rPr>
              <w:t>NO</w:t>
            </w:r>
          </w:p>
        </w:tc>
        <w:tc>
          <w:tcPr>
            <w:tcW w:w="0" w:type="auto"/>
            <w:gridSpan w:val="3"/>
            <w:shd w:val="clear" w:color="auto" w:fill="auto"/>
          </w:tcPr>
          <w:p w14:paraId="1D024D43" w14:textId="77777777" w:rsidR="004421F6" w:rsidRDefault="004421F6">
            <w:pPr>
              <w:rPr>
                <w:rFonts w:ascii="宋体"/>
                <w:vanish/>
              </w:rPr>
            </w:pPr>
          </w:p>
        </w:tc>
      </w:tr>
      <w:tr w:rsidR="004421F6" w14:paraId="1D024D55" w14:textId="77777777">
        <w:tc>
          <w:tcPr>
            <w:tcW w:w="0" w:type="auto"/>
            <w:gridSpan w:val="3"/>
            <w:tcBorders>
              <w:top w:val="single" w:sz="8" w:space="0" w:color="E87722"/>
            </w:tcBorders>
            <w:shd w:val="clear" w:color="auto" w:fill="auto"/>
            <w:tcMar>
              <w:top w:w="40" w:type="dxa"/>
              <w:left w:w="20" w:type="dxa"/>
              <w:bottom w:w="40" w:type="dxa"/>
              <w:right w:w="20" w:type="dxa"/>
            </w:tcMar>
          </w:tcPr>
          <w:p w14:paraId="1D024D45" w14:textId="77777777" w:rsidR="004421F6" w:rsidRDefault="00F15622">
            <w:pPr>
              <w:jc w:val="center"/>
              <w:textAlignment w:val="top"/>
            </w:pPr>
            <w:r>
              <w:rPr>
                <w:rFonts w:ascii="Arial" w:eastAsia="宋体" w:hAnsi="Arial" w:cs="Arial"/>
                <w:color w:val="E87722"/>
                <w:sz w:val="16"/>
                <w:szCs w:val="16"/>
              </w:rPr>
              <w:t>•</w:t>
            </w:r>
          </w:p>
        </w:tc>
        <w:tc>
          <w:tcPr>
            <w:tcW w:w="0" w:type="auto"/>
            <w:shd w:val="clear" w:color="auto" w:fill="auto"/>
          </w:tcPr>
          <w:p w14:paraId="1D024D46" w14:textId="77777777" w:rsidR="004421F6" w:rsidRDefault="004421F6">
            <w:pPr>
              <w:rPr>
                <w:rFonts w:ascii="宋体"/>
                <w:vanish/>
              </w:rPr>
            </w:pPr>
          </w:p>
        </w:tc>
        <w:tc>
          <w:tcPr>
            <w:tcW w:w="0" w:type="auto"/>
            <w:gridSpan w:val="21"/>
            <w:tcBorders>
              <w:top w:val="single" w:sz="8" w:space="0" w:color="E87722"/>
              <w:bottom w:val="single" w:sz="8" w:space="0" w:color="808080"/>
            </w:tcBorders>
            <w:shd w:val="clear" w:color="auto" w:fill="auto"/>
            <w:tcMar>
              <w:top w:w="40" w:type="dxa"/>
              <w:left w:w="20" w:type="dxa"/>
              <w:bottom w:w="40" w:type="dxa"/>
              <w:right w:w="20" w:type="dxa"/>
            </w:tcMar>
          </w:tcPr>
          <w:p w14:paraId="1D024D47" w14:textId="77777777" w:rsidR="004421F6" w:rsidRDefault="00F15622">
            <w:pPr>
              <w:textAlignment w:val="top"/>
            </w:pPr>
            <w:r>
              <w:rPr>
                <w:rFonts w:ascii="Arial" w:eastAsia="宋体" w:hAnsi="Arial" w:cs="Arial"/>
                <w:color w:val="000000"/>
                <w:sz w:val="14"/>
                <w:szCs w:val="14"/>
              </w:rPr>
              <w:t xml:space="preserve">whether the registrant </w:t>
            </w:r>
            <w:r>
              <w:rPr>
                <w:rFonts w:ascii="Arial" w:eastAsia="宋体" w:hAnsi="Arial" w:cs="Arial"/>
                <w:color w:val="000000"/>
                <w:sz w:val="14"/>
                <w:szCs w:val="14"/>
              </w:rPr>
              <w:t>(1) has filed all reports required to be filed by Section 13 or 15(d) of the Securities Exchange Act of 1934 during the preceding 12 months (or for such shorter period that the registrant was required to file such reports), and (2) has been subject to such</w:t>
            </w:r>
            <w:r>
              <w:rPr>
                <w:rFonts w:ascii="Arial" w:eastAsia="宋体" w:hAnsi="Arial" w:cs="Arial"/>
                <w:color w:val="000000"/>
                <w:sz w:val="14"/>
                <w:szCs w:val="14"/>
              </w:rPr>
              <w:t xml:space="preserve"> filing requirements for the past 90 days.</w:t>
            </w:r>
          </w:p>
        </w:tc>
        <w:tc>
          <w:tcPr>
            <w:tcW w:w="0" w:type="auto"/>
            <w:gridSpan w:val="3"/>
            <w:shd w:val="clear" w:color="auto" w:fill="auto"/>
          </w:tcPr>
          <w:p w14:paraId="1D024D48" w14:textId="77777777" w:rsidR="004421F6" w:rsidRDefault="004421F6">
            <w:pPr>
              <w:rPr>
                <w:rFonts w:ascii="宋体"/>
                <w:vanish/>
              </w:rPr>
            </w:pPr>
          </w:p>
        </w:tc>
        <w:tc>
          <w:tcPr>
            <w:tcW w:w="0" w:type="auto"/>
            <w:gridSpan w:val="3"/>
            <w:shd w:val="clear" w:color="auto" w:fill="auto"/>
          </w:tcPr>
          <w:p w14:paraId="1D024D49" w14:textId="77777777" w:rsidR="004421F6" w:rsidRDefault="004421F6">
            <w:pPr>
              <w:rPr>
                <w:rFonts w:ascii="宋体"/>
                <w:vanish/>
              </w:rPr>
            </w:pPr>
          </w:p>
        </w:tc>
        <w:tc>
          <w:tcPr>
            <w:tcW w:w="0" w:type="auto"/>
            <w:gridSpan w:val="3"/>
            <w:shd w:val="clear" w:color="auto" w:fill="auto"/>
          </w:tcPr>
          <w:p w14:paraId="1D024D4A" w14:textId="77777777" w:rsidR="004421F6" w:rsidRDefault="004421F6">
            <w:pPr>
              <w:rPr>
                <w:rFonts w:ascii="宋体"/>
                <w:vanish/>
              </w:rPr>
            </w:pPr>
          </w:p>
        </w:tc>
        <w:tc>
          <w:tcPr>
            <w:tcW w:w="0" w:type="auto"/>
            <w:gridSpan w:val="3"/>
            <w:shd w:val="clear" w:color="auto" w:fill="auto"/>
          </w:tcPr>
          <w:p w14:paraId="1D024D4B" w14:textId="77777777" w:rsidR="004421F6" w:rsidRDefault="004421F6">
            <w:pPr>
              <w:rPr>
                <w:rFonts w:ascii="宋体"/>
                <w:vanish/>
              </w:rPr>
            </w:pPr>
          </w:p>
        </w:tc>
        <w:tc>
          <w:tcPr>
            <w:tcW w:w="0" w:type="auto"/>
            <w:shd w:val="clear" w:color="auto" w:fill="auto"/>
          </w:tcPr>
          <w:p w14:paraId="1D024D4C" w14:textId="77777777" w:rsidR="004421F6" w:rsidRDefault="004421F6">
            <w:pPr>
              <w:rPr>
                <w:rFonts w:ascii="宋体"/>
                <w:vanish/>
              </w:rPr>
            </w:pPr>
          </w:p>
        </w:tc>
        <w:tc>
          <w:tcPr>
            <w:tcW w:w="0" w:type="auto"/>
            <w:gridSpan w:val="3"/>
            <w:shd w:val="clear" w:color="auto" w:fill="auto"/>
          </w:tcPr>
          <w:p w14:paraId="1D024D4D" w14:textId="77777777" w:rsidR="004421F6" w:rsidRDefault="004421F6">
            <w:pPr>
              <w:rPr>
                <w:rFonts w:ascii="宋体"/>
                <w:vanish/>
              </w:rPr>
            </w:pPr>
          </w:p>
        </w:tc>
        <w:tc>
          <w:tcPr>
            <w:tcW w:w="0" w:type="auto"/>
            <w:gridSpan w:val="3"/>
            <w:tcBorders>
              <w:top w:val="single" w:sz="8" w:space="0" w:color="E87722"/>
            </w:tcBorders>
            <w:shd w:val="clear" w:color="auto" w:fill="auto"/>
            <w:tcMar>
              <w:left w:w="20" w:type="dxa"/>
              <w:right w:w="20" w:type="dxa"/>
            </w:tcMar>
            <w:vAlign w:val="bottom"/>
          </w:tcPr>
          <w:p w14:paraId="1D024D4E" w14:textId="77777777" w:rsidR="004421F6" w:rsidRDefault="004421F6">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tcPr>
          <w:p w14:paraId="1D024D4F" w14:textId="77777777" w:rsidR="004421F6" w:rsidRDefault="00F15622">
            <w:pPr>
              <w:jc w:val="center"/>
              <w:textAlignment w:val="top"/>
            </w:pPr>
            <w:r>
              <w:rPr>
                <w:rFonts w:ascii="Wingdings" w:eastAsia="宋体" w:hAnsi="Wingdings" w:cs="Wingdings"/>
                <w:color w:val="000000"/>
                <w:sz w:val="14"/>
                <w:szCs w:val="14"/>
              </w:rPr>
              <w:t>þ</w:t>
            </w:r>
          </w:p>
        </w:tc>
        <w:tc>
          <w:tcPr>
            <w:tcW w:w="0" w:type="auto"/>
            <w:gridSpan w:val="6"/>
            <w:tcBorders>
              <w:top w:val="single" w:sz="8" w:space="0" w:color="E87722"/>
              <w:bottom w:val="single" w:sz="8" w:space="0" w:color="808080"/>
            </w:tcBorders>
            <w:shd w:val="clear" w:color="auto" w:fill="auto"/>
            <w:tcMar>
              <w:top w:w="40" w:type="dxa"/>
              <w:left w:w="20" w:type="dxa"/>
              <w:bottom w:w="40" w:type="dxa"/>
              <w:right w:w="20" w:type="dxa"/>
            </w:tcMar>
          </w:tcPr>
          <w:p w14:paraId="1D024D50" w14:textId="77777777" w:rsidR="004421F6" w:rsidRDefault="00F15622">
            <w:pPr>
              <w:jc w:val="center"/>
              <w:textAlignment w:val="top"/>
            </w:pPr>
            <w:r>
              <w:rPr>
                <w:rFonts w:ascii="Wingdings" w:eastAsia="宋体" w:hAnsi="Wingdings" w:cs="Wingdings"/>
                <w:color w:val="000000"/>
                <w:sz w:val="14"/>
                <w:szCs w:val="14"/>
              </w:rPr>
              <w:t>☐</w:t>
            </w:r>
          </w:p>
        </w:tc>
        <w:tc>
          <w:tcPr>
            <w:tcW w:w="0" w:type="auto"/>
            <w:gridSpan w:val="3"/>
            <w:shd w:val="clear" w:color="auto" w:fill="auto"/>
          </w:tcPr>
          <w:p w14:paraId="1D024D51" w14:textId="77777777" w:rsidR="004421F6" w:rsidRDefault="004421F6">
            <w:pPr>
              <w:rPr>
                <w:rFonts w:ascii="宋体"/>
                <w:vanish/>
              </w:rPr>
            </w:pPr>
          </w:p>
        </w:tc>
        <w:tc>
          <w:tcPr>
            <w:tcW w:w="0" w:type="auto"/>
            <w:shd w:val="clear" w:color="auto" w:fill="auto"/>
          </w:tcPr>
          <w:p w14:paraId="1D024D52" w14:textId="77777777" w:rsidR="004421F6" w:rsidRDefault="004421F6">
            <w:pPr>
              <w:rPr>
                <w:rFonts w:ascii="宋体"/>
              </w:rPr>
            </w:pPr>
          </w:p>
        </w:tc>
        <w:tc>
          <w:tcPr>
            <w:tcW w:w="0" w:type="auto"/>
            <w:shd w:val="clear" w:color="auto" w:fill="auto"/>
          </w:tcPr>
          <w:p w14:paraId="1D024D53" w14:textId="77777777" w:rsidR="004421F6" w:rsidRDefault="004421F6">
            <w:pPr>
              <w:rPr>
                <w:rFonts w:ascii="宋体"/>
              </w:rPr>
            </w:pPr>
          </w:p>
        </w:tc>
        <w:tc>
          <w:tcPr>
            <w:tcW w:w="0" w:type="auto"/>
            <w:shd w:val="clear" w:color="auto" w:fill="auto"/>
          </w:tcPr>
          <w:p w14:paraId="1D024D54" w14:textId="77777777" w:rsidR="004421F6" w:rsidRDefault="004421F6">
            <w:pPr>
              <w:rPr>
                <w:rFonts w:ascii="宋体"/>
              </w:rPr>
            </w:pPr>
          </w:p>
        </w:tc>
      </w:tr>
      <w:tr w:rsidR="004421F6" w14:paraId="1D024D66"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4D56" w14:textId="77777777" w:rsidR="004421F6" w:rsidRDefault="00F15622">
            <w:pPr>
              <w:jc w:val="center"/>
              <w:textAlignment w:val="top"/>
            </w:pPr>
            <w:r>
              <w:rPr>
                <w:rFonts w:ascii="Arial" w:eastAsia="宋体" w:hAnsi="Arial" w:cs="Arial"/>
                <w:color w:val="E87722"/>
                <w:sz w:val="16"/>
                <w:szCs w:val="16"/>
              </w:rPr>
              <w:t>•</w:t>
            </w:r>
          </w:p>
        </w:tc>
        <w:tc>
          <w:tcPr>
            <w:tcW w:w="0" w:type="auto"/>
            <w:shd w:val="clear" w:color="auto" w:fill="auto"/>
          </w:tcPr>
          <w:p w14:paraId="1D024D57" w14:textId="77777777" w:rsidR="004421F6" w:rsidRDefault="004421F6">
            <w:pPr>
              <w:rPr>
                <w:rFonts w:ascii="宋体"/>
                <w:vanish/>
              </w:rPr>
            </w:pPr>
          </w:p>
        </w:tc>
        <w:tc>
          <w:tcPr>
            <w:tcW w:w="0" w:type="auto"/>
            <w:gridSpan w:val="21"/>
            <w:tcBorders>
              <w:top w:val="single" w:sz="8" w:space="0" w:color="808080"/>
              <w:bottom w:val="single" w:sz="8" w:space="0" w:color="808080"/>
            </w:tcBorders>
            <w:shd w:val="clear" w:color="auto" w:fill="auto"/>
            <w:tcMar>
              <w:top w:w="40" w:type="dxa"/>
              <w:left w:w="20" w:type="dxa"/>
              <w:bottom w:w="40" w:type="dxa"/>
              <w:right w:w="20" w:type="dxa"/>
            </w:tcMar>
          </w:tcPr>
          <w:p w14:paraId="1D024D58" w14:textId="77777777" w:rsidR="004421F6" w:rsidRDefault="00F15622">
            <w:pPr>
              <w:textAlignment w:val="top"/>
            </w:pPr>
            <w:r>
              <w:rPr>
                <w:rFonts w:ascii="Arial" w:eastAsia="宋体" w:hAnsi="Arial" w:cs="Arial"/>
                <w:color w:val="000000"/>
                <w:sz w:val="14"/>
                <w:szCs w:val="14"/>
              </w:rPr>
              <w:t xml:space="preserve">whether the registrant has submitted electronically every Interactive Data File required to be submitted pursuant to Rule 405 of Regulation S-T (§232.405 of this chapter) during the </w:t>
            </w:r>
            <w:r>
              <w:rPr>
                <w:rFonts w:ascii="Arial" w:eastAsia="宋体" w:hAnsi="Arial" w:cs="Arial"/>
                <w:color w:val="000000"/>
                <w:sz w:val="14"/>
                <w:szCs w:val="14"/>
              </w:rPr>
              <w:t>preceding 12 months (or for such shorter period that the registrant was required to submit such files).</w:t>
            </w:r>
          </w:p>
        </w:tc>
        <w:tc>
          <w:tcPr>
            <w:tcW w:w="0" w:type="auto"/>
            <w:gridSpan w:val="3"/>
            <w:shd w:val="clear" w:color="auto" w:fill="auto"/>
          </w:tcPr>
          <w:p w14:paraId="1D024D59" w14:textId="77777777" w:rsidR="004421F6" w:rsidRDefault="004421F6">
            <w:pPr>
              <w:rPr>
                <w:rFonts w:ascii="宋体"/>
                <w:vanish/>
              </w:rPr>
            </w:pPr>
          </w:p>
        </w:tc>
        <w:tc>
          <w:tcPr>
            <w:tcW w:w="0" w:type="auto"/>
            <w:gridSpan w:val="3"/>
            <w:shd w:val="clear" w:color="auto" w:fill="auto"/>
          </w:tcPr>
          <w:p w14:paraId="1D024D5A" w14:textId="77777777" w:rsidR="004421F6" w:rsidRDefault="004421F6">
            <w:pPr>
              <w:rPr>
                <w:rFonts w:ascii="宋体"/>
                <w:vanish/>
              </w:rPr>
            </w:pPr>
          </w:p>
        </w:tc>
        <w:tc>
          <w:tcPr>
            <w:tcW w:w="0" w:type="auto"/>
            <w:gridSpan w:val="3"/>
            <w:shd w:val="clear" w:color="auto" w:fill="auto"/>
          </w:tcPr>
          <w:p w14:paraId="1D024D5B" w14:textId="77777777" w:rsidR="004421F6" w:rsidRDefault="004421F6">
            <w:pPr>
              <w:rPr>
                <w:rFonts w:ascii="宋体"/>
                <w:vanish/>
              </w:rPr>
            </w:pPr>
          </w:p>
        </w:tc>
        <w:tc>
          <w:tcPr>
            <w:tcW w:w="0" w:type="auto"/>
            <w:gridSpan w:val="3"/>
            <w:shd w:val="clear" w:color="auto" w:fill="auto"/>
          </w:tcPr>
          <w:p w14:paraId="1D024D5C" w14:textId="77777777" w:rsidR="004421F6" w:rsidRDefault="004421F6">
            <w:pPr>
              <w:rPr>
                <w:rFonts w:ascii="宋体"/>
                <w:vanish/>
              </w:rPr>
            </w:pPr>
          </w:p>
        </w:tc>
        <w:tc>
          <w:tcPr>
            <w:tcW w:w="0" w:type="auto"/>
            <w:shd w:val="clear" w:color="auto" w:fill="auto"/>
          </w:tcPr>
          <w:p w14:paraId="1D024D5D" w14:textId="77777777" w:rsidR="004421F6" w:rsidRDefault="004421F6">
            <w:pPr>
              <w:rPr>
                <w:rFonts w:ascii="宋体"/>
                <w:vanish/>
              </w:rPr>
            </w:pPr>
          </w:p>
        </w:tc>
        <w:tc>
          <w:tcPr>
            <w:tcW w:w="0" w:type="auto"/>
            <w:gridSpan w:val="3"/>
            <w:shd w:val="clear" w:color="auto" w:fill="auto"/>
          </w:tcPr>
          <w:p w14:paraId="1D024D5E" w14:textId="77777777" w:rsidR="004421F6" w:rsidRDefault="004421F6">
            <w:pPr>
              <w:rPr>
                <w:rFonts w:ascii="宋体"/>
                <w:vanish/>
              </w:rPr>
            </w:pPr>
          </w:p>
        </w:tc>
        <w:tc>
          <w:tcPr>
            <w:tcW w:w="0" w:type="auto"/>
            <w:gridSpan w:val="3"/>
            <w:tcBorders>
              <w:top w:val="single" w:sz="8" w:space="0" w:color="808080"/>
              <w:bottom w:val="single" w:sz="8" w:space="0" w:color="808080"/>
            </w:tcBorders>
            <w:shd w:val="clear" w:color="auto" w:fill="auto"/>
            <w:tcMar>
              <w:left w:w="20" w:type="dxa"/>
              <w:right w:w="20" w:type="dxa"/>
            </w:tcMar>
            <w:vAlign w:val="bottom"/>
          </w:tcPr>
          <w:p w14:paraId="1D024D5F" w14:textId="77777777" w:rsidR="004421F6" w:rsidRDefault="004421F6">
            <w:pPr>
              <w:rPr>
                <w:rFonts w:ascii="宋体"/>
              </w:rPr>
            </w:pPr>
          </w:p>
        </w:tc>
        <w:tc>
          <w:tcPr>
            <w:tcW w:w="0" w:type="auto"/>
            <w:gridSpan w:val="3"/>
            <w:tcBorders>
              <w:top w:val="single" w:sz="8" w:space="0" w:color="808080"/>
              <w:bottom w:val="single" w:sz="8" w:space="0" w:color="808080"/>
            </w:tcBorders>
            <w:shd w:val="clear" w:color="auto" w:fill="auto"/>
            <w:tcMar>
              <w:top w:w="40" w:type="dxa"/>
              <w:left w:w="20" w:type="dxa"/>
              <w:bottom w:w="40" w:type="dxa"/>
              <w:right w:w="20" w:type="dxa"/>
            </w:tcMar>
          </w:tcPr>
          <w:p w14:paraId="1D024D60" w14:textId="77777777" w:rsidR="004421F6" w:rsidRDefault="00F15622">
            <w:pPr>
              <w:jc w:val="center"/>
              <w:textAlignment w:val="top"/>
            </w:pPr>
            <w:r>
              <w:rPr>
                <w:rFonts w:ascii="Wingdings" w:eastAsia="宋体" w:hAnsi="Wingdings" w:cs="Wingdings"/>
                <w:color w:val="000000"/>
                <w:sz w:val="14"/>
                <w:szCs w:val="14"/>
              </w:rPr>
              <w:t>þ</w:t>
            </w:r>
          </w:p>
        </w:tc>
        <w:tc>
          <w:tcPr>
            <w:tcW w:w="0" w:type="auto"/>
            <w:gridSpan w:val="6"/>
            <w:tcBorders>
              <w:top w:val="single" w:sz="8" w:space="0" w:color="808080"/>
              <w:bottom w:val="single" w:sz="8" w:space="0" w:color="808080"/>
            </w:tcBorders>
            <w:shd w:val="clear" w:color="auto" w:fill="auto"/>
            <w:tcMar>
              <w:top w:w="40" w:type="dxa"/>
              <w:left w:w="20" w:type="dxa"/>
              <w:bottom w:w="40" w:type="dxa"/>
              <w:right w:w="20" w:type="dxa"/>
            </w:tcMar>
          </w:tcPr>
          <w:p w14:paraId="1D024D61" w14:textId="77777777" w:rsidR="004421F6" w:rsidRDefault="00F15622">
            <w:pPr>
              <w:jc w:val="center"/>
              <w:textAlignment w:val="top"/>
            </w:pPr>
            <w:r>
              <w:rPr>
                <w:rFonts w:ascii="Wingdings" w:eastAsia="宋体" w:hAnsi="Wingdings" w:cs="Wingdings"/>
                <w:color w:val="000000"/>
                <w:sz w:val="14"/>
                <w:szCs w:val="14"/>
              </w:rPr>
              <w:t>☐</w:t>
            </w:r>
          </w:p>
        </w:tc>
        <w:tc>
          <w:tcPr>
            <w:tcW w:w="0" w:type="auto"/>
            <w:gridSpan w:val="3"/>
            <w:shd w:val="clear" w:color="auto" w:fill="auto"/>
          </w:tcPr>
          <w:p w14:paraId="1D024D62" w14:textId="77777777" w:rsidR="004421F6" w:rsidRDefault="004421F6">
            <w:pPr>
              <w:rPr>
                <w:rFonts w:ascii="宋体"/>
                <w:vanish/>
              </w:rPr>
            </w:pPr>
          </w:p>
        </w:tc>
        <w:tc>
          <w:tcPr>
            <w:tcW w:w="0" w:type="auto"/>
            <w:shd w:val="clear" w:color="auto" w:fill="auto"/>
          </w:tcPr>
          <w:p w14:paraId="1D024D63" w14:textId="77777777" w:rsidR="004421F6" w:rsidRDefault="004421F6">
            <w:pPr>
              <w:rPr>
                <w:rFonts w:ascii="宋体"/>
              </w:rPr>
            </w:pPr>
          </w:p>
        </w:tc>
        <w:tc>
          <w:tcPr>
            <w:tcW w:w="0" w:type="auto"/>
            <w:shd w:val="clear" w:color="auto" w:fill="auto"/>
          </w:tcPr>
          <w:p w14:paraId="1D024D64" w14:textId="77777777" w:rsidR="004421F6" w:rsidRDefault="004421F6">
            <w:pPr>
              <w:rPr>
                <w:rFonts w:ascii="宋体"/>
              </w:rPr>
            </w:pPr>
          </w:p>
        </w:tc>
        <w:tc>
          <w:tcPr>
            <w:tcW w:w="0" w:type="auto"/>
            <w:shd w:val="clear" w:color="auto" w:fill="auto"/>
          </w:tcPr>
          <w:p w14:paraId="1D024D65" w14:textId="77777777" w:rsidR="004421F6" w:rsidRDefault="004421F6">
            <w:pPr>
              <w:rPr>
                <w:rFonts w:ascii="宋体"/>
              </w:rPr>
            </w:pPr>
          </w:p>
        </w:tc>
      </w:tr>
      <w:tr w:rsidR="004421F6" w14:paraId="1D024D73"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4D67" w14:textId="77777777" w:rsidR="004421F6" w:rsidRDefault="00F15622">
            <w:pPr>
              <w:jc w:val="center"/>
              <w:textAlignment w:val="top"/>
            </w:pPr>
            <w:r>
              <w:rPr>
                <w:rFonts w:ascii="Arial" w:eastAsia="宋体" w:hAnsi="Arial" w:cs="Arial"/>
                <w:color w:val="E87722"/>
                <w:sz w:val="16"/>
                <w:szCs w:val="16"/>
              </w:rPr>
              <w:t>•</w:t>
            </w:r>
          </w:p>
        </w:tc>
        <w:tc>
          <w:tcPr>
            <w:tcW w:w="0" w:type="auto"/>
            <w:shd w:val="clear" w:color="auto" w:fill="auto"/>
          </w:tcPr>
          <w:p w14:paraId="1D024D68" w14:textId="77777777" w:rsidR="004421F6" w:rsidRDefault="004421F6">
            <w:pPr>
              <w:rPr>
                <w:rFonts w:ascii="宋体"/>
                <w:vanish/>
              </w:rPr>
            </w:pPr>
          </w:p>
        </w:tc>
        <w:tc>
          <w:tcPr>
            <w:tcW w:w="0" w:type="auto"/>
            <w:gridSpan w:val="33"/>
            <w:tcBorders>
              <w:top w:val="single" w:sz="8" w:space="0" w:color="808080"/>
            </w:tcBorders>
            <w:shd w:val="clear" w:color="auto" w:fill="auto"/>
            <w:tcMar>
              <w:top w:w="40" w:type="dxa"/>
              <w:left w:w="20" w:type="dxa"/>
              <w:bottom w:w="40" w:type="dxa"/>
              <w:right w:w="20" w:type="dxa"/>
            </w:tcMar>
          </w:tcPr>
          <w:p w14:paraId="1D024D69" w14:textId="77777777" w:rsidR="004421F6" w:rsidRDefault="00F15622">
            <w:pPr>
              <w:textAlignment w:val="top"/>
            </w:pPr>
            <w:r>
              <w:rPr>
                <w:rFonts w:ascii="Arial" w:eastAsia="宋体" w:hAnsi="Arial" w:cs="Arial"/>
                <w:color w:val="000000"/>
                <w:sz w:val="14"/>
                <w:szCs w:val="14"/>
              </w:rPr>
              <w:t xml:space="preserve">whether the registrant is a large accelerated filer, an accelerated filer, a non-accelerated filer, a smaller reporting </w:t>
            </w:r>
            <w:r>
              <w:rPr>
                <w:rFonts w:ascii="Arial" w:eastAsia="宋体" w:hAnsi="Arial" w:cs="Arial"/>
                <w:color w:val="000000"/>
                <w:sz w:val="14"/>
                <w:szCs w:val="14"/>
              </w:rPr>
              <w:t>company, or an emerging growth company. See the definitions of “large accelerated filer,” “accelerated filer,” “smaller reporting company,” and “emerging growth company” in Rule 12b-2 of the Exchange Act.</w:t>
            </w:r>
          </w:p>
        </w:tc>
        <w:tc>
          <w:tcPr>
            <w:tcW w:w="0" w:type="auto"/>
            <w:shd w:val="clear" w:color="auto" w:fill="auto"/>
          </w:tcPr>
          <w:p w14:paraId="1D024D6A" w14:textId="77777777" w:rsidR="004421F6" w:rsidRDefault="004421F6">
            <w:pPr>
              <w:rPr>
                <w:rFonts w:ascii="宋体"/>
                <w:vanish/>
              </w:rPr>
            </w:pPr>
          </w:p>
        </w:tc>
        <w:tc>
          <w:tcPr>
            <w:tcW w:w="0" w:type="auto"/>
            <w:gridSpan w:val="3"/>
            <w:shd w:val="clear" w:color="auto" w:fill="auto"/>
          </w:tcPr>
          <w:p w14:paraId="1D024D6B" w14:textId="77777777" w:rsidR="004421F6" w:rsidRDefault="004421F6">
            <w:pPr>
              <w:rPr>
                <w:rFonts w:ascii="宋体"/>
                <w:vanish/>
              </w:rPr>
            </w:pPr>
          </w:p>
        </w:tc>
        <w:tc>
          <w:tcPr>
            <w:tcW w:w="0" w:type="auto"/>
            <w:gridSpan w:val="3"/>
            <w:shd w:val="clear" w:color="auto" w:fill="auto"/>
          </w:tcPr>
          <w:p w14:paraId="1D024D6C" w14:textId="77777777" w:rsidR="004421F6" w:rsidRDefault="004421F6">
            <w:pPr>
              <w:rPr>
                <w:rFonts w:ascii="宋体"/>
                <w:vanish/>
              </w:rPr>
            </w:pPr>
          </w:p>
        </w:tc>
        <w:tc>
          <w:tcPr>
            <w:tcW w:w="0" w:type="auto"/>
            <w:gridSpan w:val="3"/>
            <w:shd w:val="clear" w:color="auto" w:fill="auto"/>
          </w:tcPr>
          <w:p w14:paraId="1D024D6D" w14:textId="77777777" w:rsidR="004421F6" w:rsidRDefault="004421F6">
            <w:pPr>
              <w:rPr>
                <w:rFonts w:ascii="宋体"/>
                <w:vanish/>
              </w:rPr>
            </w:pPr>
          </w:p>
        </w:tc>
        <w:tc>
          <w:tcPr>
            <w:tcW w:w="0" w:type="auto"/>
            <w:gridSpan w:val="3"/>
            <w:shd w:val="clear" w:color="auto" w:fill="auto"/>
          </w:tcPr>
          <w:p w14:paraId="1D024D6E" w14:textId="77777777" w:rsidR="004421F6" w:rsidRDefault="004421F6">
            <w:pPr>
              <w:rPr>
                <w:rFonts w:ascii="宋体"/>
                <w:vanish/>
              </w:rPr>
            </w:pPr>
          </w:p>
        </w:tc>
        <w:tc>
          <w:tcPr>
            <w:tcW w:w="0" w:type="auto"/>
            <w:gridSpan w:val="3"/>
            <w:shd w:val="clear" w:color="auto" w:fill="auto"/>
          </w:tcPr>
          <w:p w14:paraId="1D024D6F" w14:textId="77777777" w:rsidR="004421F6" w:rsidRDefault="004421F6">
            <w:pPr>
              <w:rPr>
                <w:rFonts w:ascii="宋体"/>
                <w:vanish/>
              </w:rPr>
            </w:pPr>
          </w:p>
        </w:tc>
        <w:tc>
          <w:tcPr>
            <w:tcW w:w="0" w:type="auto"/>
            <w:gridSpan w:val="3"/>
            <w:shd w:val="clear" w:color="auto" w:fill="auto"/>
          </w:tcPr>
          <w:p w14:paraId="1D024D70" w14:textId="77777777" w:rsidR="004421F6" w:rsidRDefault="004421F6">
            <w:pPr>
              <w:rPr>
                <w:rFonts w:ascii="宋体"/>
                <w:vanish/>
              </w:rPr>
            </w:pPr>
          </w:p>
        </w:tc>
        <w:tc>
          <w:tcPr>
            <w:tcW w:w="0" w:type="auto"/>
            <w:gridSpan w:val="2"/>
            <w:shd w:val="clear" w:color="auto" w:fill="auto"/>
          </w:tcPr>
          <w:p w14:paraId="1D024D71" w14:textId="77777777" w:rsidR="004421F6" w:rsidRDefault="004421F6">
            <w:pPr>
              <w:rPr>
                <w:rFonts w:ascii="宋体"/>
                <w:vanish/>
              </w:rPr>
            </w:pPr>
          </w:p>
        </w:tc>
        <w:tc>
          <w:tcPr>
            <w:tcW w:w="0" w:type="auto"/>
            <w:shd w:val="clear" w:color="auto" w:fill="auto"/>
          </w:tcPr>
          <w:p w14:paraId="1D024D72" w14:textId="77777777" w:rsidR="004421F6" w:rsidRDefault="004421F6">
            <w:pPr>
              <w:rPr>
                <w:rFonts w:ascii="宋体"/>
                <w:vanish/>
              </w:rPr>
            </w:pPr>
          </w:p>
        </w:tc>
      </w:tr>
      <w:tr w:rsidR="004421F6" w14:paraId="1D024D96" w14:textId="77777777">
        <w:tc>
          <w:tcPr>
            <w:tcW w:w="0" w:type="auto"/>
            <w:gridSpan w:val="3"/>
            <w:shd w:val="clear" w:color="auto" w:fill="auto"/>
            <w:tcMar>
              <w:left w:w="20" w:type="dxa"/>
              <w:right w:w="20" w:type="dxa"/>
            </w:tcMar>
            <w:vAlign w:val="bottom"/>
          </w:tcPr>
          <w:p w14:paraId="1D024D74" w14:textId="77777777" w:rsidR="004421F6" w:rsidRDefault="004421F6">
            <w:pPr>
              <w:rPr>
                <w:rFonts w:ascii="宋体"/>
              </w:rPr>
            </w:pPr>
          </w:p>
        </w:tc>
        <w:tc>
          <w:tcPr>
            <w:tcW w:w="0" w:type="auto"/>
            <w:shd w:val="clear" w:color="auto" w:fill="auto"/>
          </w:tcPr>
          <w:p w14:paraId="1D024D75" w14:textId="77777777" w:rsidR="004421F6" w:rsidRDefault="004421F6">
            <w:pPr>
              <w:rPr>
                <w:rFonts w:ascii="宋体"/>
                <w:vanish/>
              </w:rPr>
            </w:pPr>
          </w:p>
        </w:tc>
        <w:tc>
          <w:tcPr>
            <w:tcW w:w="0" w:type="auto"/>
            <w:gridSpan w:val="3"/>
            <w:shd w:val="clear" w:color="auto" w:fill="auto"/>
            <w:tcMar>
              <w:top w:w="40" w:type="dxa"/>
              <w:left w:w="20" w:type="dxa"/>
              <w:bottom w:w="40" w:type="dxa"/>
              <w:right w:w="20" w:type="dxa"/>
            </w:tcMar>
            <w:vAlign w:val="bottom"/>
          </w:tcPr>
          <w:p w14:paraId="1D024D76" w14:textId="77777777" w:rsidR="004421F6" w:rsidRDefault="00F15622">
            <w:pPr>
              <w:jc w:val="center"/>
              <w:textAlignment w:val="bottom"/>
            </w:pPr>
            <w:r>
              <w:rPr>
                <w:rFonts w:ascii="Arial" w:eastAsia="宋体" w:hAnsi="Arial" w:cs="Arial"/>
                <w:color w:val="000000"/>
                <w:sz w:val="14"/>
                <w:szCs w:val="14"/>
              </w:rPr>
              <w:t>Large accelerated filer</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1D024D77" w14:textId="77777777" w:rsidR="004421F6" w:rsidRDefault="00F15622">
            <w:pPr>
              <w:jc w:val="center"/>
              <w:textAlignment w:val="bottom"/>
            </w:pPr>
            <w:r>
              <w:rPr>
                <w:rFonts w:ascii="Wingdings" w:eastAsia="宋体" w:hAnsi="Wingdings" w:cs="Wingdings"/>
                <w:color w:val="000000"/>
                <w:sz w:val="14"/>
                <w:szCs w:val="14"/>
              </w:rPr>
              <w:t>þ</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1D024D78" w14:textId="77777777" w:rsidR="004421F6" w:rsidRDefault="00F15622">
            <w:pPr>
              <w:jc w:val="right"/>
              <w:textAlignment w:val="bottom"/>
            </w:pPr>
            <w:r>
              <w:rPr>
                <w:rFonts w:ascii="Arial" w:eastAsia="宋体" w:hAnsi="Arial" w:cs="Arial"/>
                <w:color w:val="000000"/>
                <w:sz w:val="14"/>
                <w:szCs w:val="14"/>
              </w:rPr>
              <w:t>Accelerated filer</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1D024D79" w14:textId="77777777" w:rsidR="004421F6" w:rsidRDefault="00F15622">
            <w:pPr>
              <w:jc w:val="center"/>
              <w:textAlignment w:val="bottom"/>
            </w:pPr>
            <w:r>
              <w:rPr>
                <w:rFonts w:ascii="Wingdings" w:eastAsia="宋体" w:hAnsi="Wingdings" w:cs="Wingdings"/>
                <w:color w:val="000000"/>
                <w:sz w:val="14"/>
                <w:szCs w:val="14"/>
              </w:rPr>
              <w:t>☐</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1D024D7A" w14:textId="77777777" w:rsidR="004421F6" w:rsidRDefault="00F15622">
            <w:pPr>
              <w:jc w:val="right"/>
              <w:textAlignment w:val="bottom"/>
            </w:pPr>
            <w:r>
              <w:rPr>
                <w:rFonts w:ascii="Arial" w:eastAsia="宋体" w:hAnsi="Arial" w:cs="Arial"/>
                <w:color w:val="000000"/>
                <w:sz w:val="14"/>
                <w:szCs w:val="14"/>
              </w:rPr>
              <w:t>Non-accelerated filer</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1D024D7B" w14:textId="77777777" w:rsidR="004421F6" w:rsidRDefault="00F15622">
            <w:pPr>
              <w:jc w:val="center"/>
              <w:textAlignment w:val="bottom"/>
            </w:pPr>
            <w:r>
              <w:rPr>
                <w:rFonts w:ascii="Wingdings" w:eastAsia="宋体" w:hAnsi="Wingdings" w:cs="Wingdings"/>
                <w:color w:val="000000"/>
                <w:sz w:val="14"/>
                <w:szCs w:val="14"/>
              </w:rPr>
              <w:t>☐</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1D024D7C" w14:textId="77777777" w:rsidR="004421F6" w:rsidRDefault="00F15622">
            <w:pPr>
              <w:jc w:val="right"/>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vAlign w:val="bottom"/>
          </w:tcPr>
          <w:p w14:paraId="1D024D7D" w14:textId="77777777" w:rsidR="004421F6" w:rsidRDefault="00F15622">
            <w:pPr>
              <w:jc w:val="center"/>
              <w:textAlignment w:val="bottom"/>
            </w:pPr>
            <w:r>
              <w:rPr>
                <w:rFonts w:ascii="Wingdings" w:eastAsia="宋体" w:hAnsi="Wingdings" w:cs="Wingdings"/>
                <w:color w:val="000000"/>
                <w:sz w:val="14"/>
                <w:szCs w:val="14"/>
              </w:rPr>
              <w:t>☐</w:t>
            </w:r>
          </w:p>
        </w:tc>
        <w:tc>
          <w:tcPr>
            <w:tcW w:w="0" w:type="auto"/>
            <w:gridSpan w:val="6"/>
            <w:tcBorders>
              <w:bottom w:val="single" w:sz="8" w:space="0" w:color="808080"/>
            </w:tcBorders>
            <w:shd w:val="clear" w:color="auto" w:fill="auto"/>
            <w:tcMar>
              <w:top w:w="40" w:type="dxa"/>
              <w:left w:w="20" w:type="dxa"/>
              <w:bottom w:w="40" w:type="dxa"/>
              <w:right w:w="20" w:type="dxa"/>
            </w:tcMar>
            <w:vAlign w:val="bottom"/>
          </w:tcPr>
          <w:p w14:paraId="1D024D7E" w14:textId="77777777" w:rsidR="004421F6" w:rsidRDefault="00F15622">
            <w:pPr>
              <w:jc w:val="right"/>
              <w:textAlignment w:val="bottom"/>
            </w:pPr>
            <w:r>
              <w:rPr>
                <w:rFonts w:ascii="Arial" w:eastAsia="宋体" w:hAnsi="Arial" w:cs="Arial"/>
                <w:color w:val="000000"/>
                <w:sz w:val="14"/>
                <w:szCs w:val="14"/>
              </w:rPr>
              <w:t>Emerging growth company</w:t>
            </w:r>
          </w:p>
        </w:tc>
        <w:tc>
          <w:tcPr>
            <w:tcW w:w="0" w:type="auto"/>
            <w:gridSpan w:val="3"/>
            <w:shd w:val="clear" w:color="auto" w:fill="auto"/>
          </w:tcPr>
          <w:p w14:paraId="1D024D7F" w14:textId="77777777" w:rsidR="004421F6" w:rsidRDefault="004421F6">
            <w:pPr>
              <w:rPr>
                <w:rFonts w:ascii="宋体"/>
                <w:vanish/>
              </w:rPr>
            </w:pPr>
          </w:p>
        </w:tc>
        <w:tc>
          <w:tcPr>
            <w:tcW w:w="0" w:type="auto"/>
            <w:tcBorders>
              <w:bottom w:val="single" w:sz="8" w:space="0" w:color="808080"/>
            </w:tcBorders>
            <w:shd w:val="clear" w:color="auto" w:fill="auto"/>
            <w:tcMar>
              <w:top w:w="40" w:type="dxa"/>
              <w:left w:w="20" w:type="dxa"/>
              <w:bottom w:w="40" w:type="dxa"/>
              <w:right w:w="20" w:type="dxa"/>
            </w:tcMar>
            <w:vAlign w:val="bottom"/>
          </w:tcPr>
          <w:p w14:paraId="1D024D80" w14:textId="77777777" w:rsidR="004421F6" w:rsidRDefault="00F15622">
            <w:pPr>
              <w:jc w:val="center"/>
              <w:textAlignment w:val="bottom"/>
            </w:pPr>
            <w:r>
              <w:rPr>
                <w:rFonts w:ascii="Wingdings" w:eastAsia="宋体" w:hAnsi="Wingdings" w:cs="Wingdings"/>
                <w:color w:val="000000"/>
                <w:sz w:val="14"/>
                <w:szCs w:val="14"/>
              </w:rPr>
              <w:t>☐</w:t>
            </w:r>
          </w:p>
        </w:tc>
        <w:tc>
          <w:tcPr>
            <w:tcW w:w="0" w:type="auto"/>
            <w:shd w:val="clear" w:color="auto" w:fill="auto"/>
          </w:tcPr>
          <w:p w14:paraId="1D024D81" w14:textId="77777777" w:rsidR="004421F6" w:rsidRDefault="004421F6">
            <w:pPr>
              <w:rPr>
                <w:rFonts w:ascii="宋体"/>
              </w:rPr>
            </w:pPr>
          </w:p>
        </w:tc>
        <w:tc>
          <w:tcPr>
            <w:tcW w:w="0" w:type="auto"/>
            <w:shd w:val="clear" w:color="auto" w:fill="auto"/>
          </w:tcPr>
          <w:p w14:paraId="1D024D82" w14:textId="77777777" w:rsidR="004421F6" w:rsidRDefault="004421F6">
            <w:pPr>
              <w:rPr>
                <w:rFonts w:ascii="宋体"/>
              </w:rPr>
            </w:pPr>
          </w:p>
        </w:tc>
        <w:tc>
          <w:tcPr>
            <w:tcW w:w="0" w:type="auto"/>
            <w:shd w:val="clear" w:color="auto" w:fill="auto"/>
          </w:tcPr>
          <w:p w14:paraId="1D024D83" w14:textId="77777777" w:rsidR="004421F6" w:rsidRDefault="004421F6">
            <w:pPr>
              <w:rPr>
                <w:rFonts w:ascii="宋体"/>
              </w:rPr>
            </w:pPr>
          </w:p>
        </w:tc>
        <w:tc>
          <w:tcPr>
            <w:tcW w:w="0" w:type="auto"/>
            <w:shd w:val="clear" w:color="auto" w:fill="auto"/>
          </w:tcPr>
          <w:p w14:paraId="1D024D84" w14:textId="77777777" w:rsidR="004421F6" w:rsidRDefault="004421F6">
            <w:pPr>
              <w:rPr>
                <w:rFonts w:ascii="宋体"/>
              </w:rPr>
            </w:pPr>
          </w:p>
        </w:tc>
        <w:tc>
          <w:tcPr>
            <w:tcW w:w="0" w:type="auto"/>
            <w:shd w:val="clear" w:color="auto" w:fill="auto"/>
          </w:tcPr>
          <w:p w14:paraId="1D024D85" w14:textId="77777777" w:rsidR="004421F6" w:rsidRDefault="004421F6">
            <w:pPr>
              <w:rPr>
                <w:rFonts w:ascii="宋体"/>
              </w:rPr>
            </w:pPr>
          </w:p>
        </w:tc>
        <w:tc>
          <w:tcPr>
            <w:tcW w:w="0" w:type="auto"/>
            <w:shd w:val="clear" w:color="auto" w:fill="auto"/>
          </w:tcPr>
          <w:p w14:paraId="1D024D86" w14:textId="77777777" w:rsidR="004421F6" w:rsidRDefault="004421F6">
            <w:pPr>
              <w:rPr>
                <w:rFonts w:ascii="宋体"/>
              </w:rPr>
            </w:pPr>
          </w:p>
        </w:tc>
        <w:tc>
          <w:tcPr>
            <w:tcW w:w="0" w:type="auto"/>
            <w:shd w:val="clear" w:color="auto" w:fill="auto"/>
          </w:tcPr>
          <w:p w14:paraId="1D024D87" w14:textId="77777777" w:rsidR="004421F6" w:rsidRDefault="004421F6">
            <w:pPr>
              <w:rPr>
                <w:rFonts w:ascii="宋体"/>
              </w:rPr>
            </w:pPr>
          </w:p>
        </w:tc>
        <w:tc>
          <w:tcPr>
            <w:tcW w:w="0" w:type="auto"/>
            <w:shd w:val="clear" w:color="auto" w:fill="auto"/>
          </w:tcPr>
          <w:p w14:paraId="1D024D88" w14:textId="77777777" w:rsidR="004421F6" w:rsidRDefault="004421F6">
            <w:pPr>
              <w:rPr>
                <w:rFonts w:ascii="宋体"/>
              </w:rPr>
            </w:pPr>
          </w:p>
        </w:tc>
        <w:tc>
          <w:tcPr>
            <w:tcW w:w="0" w:type="auto"/>
            <w:shd w:val="clear" w:color="auto" w:fill="auto"/>
          </w:tcPr>
          <w:p w14:paraId="1D024D89" w14:textId="77777777" w:rsidR="004421F6" w:rsidRDefault="004421F6">
            <w:pPr>
              <w:rPr>
                <w:rFonts w:ascii="宋体"/>
              </w:rPr>
            </w:pPr>
          </w:p>
        </w:tc>
        <w:tc>
          <w:tcPr>
            <w:tcW w:w="0" w:type="auto"/>
            <w:shd w:val="clear" w:color="auto" w:fill="auto"/>
          </w:tcPr>
          <w:p w14:paraId="1D024D8A" w14:textId="77777777" w:rsidR="004421F6" w:rsidRDefault="004421F6">
            <w:pPr>
              <w:rPr>
                <w:rFonts w:ascii="宋体"/>
              </w:rPr>
            </w:pPr>
          </w:p>
        </w:tc>
        <w:tc>
          <w:tcPr>
            <w:tcW w:w="0" w:type="auto"/>
            <w:shd w:val="clear" w:color="auto" w:fill="auto"/>
          </w:tcPr>
          <w:p w14:paraId="1D024D8B" w14:textId="77777777" w:rsidR="004421F6" w:rsidRDefault="004421F6">
            <w:pPr>
              <w:rPr>
                <w:rFonts w:ascii="宋体"/>
              </w:rPr>
            </w:pPr>
          </w:p>
        </w:tc>
        <w:tc>
          <w:tcPr>
            <w:tcW w:w="0" w:type="auto"/>
            <w:shd w:val="clear" w:color="auto" w:fill="auto"/>
          </w:tcPr>
          <w:p w14:paraId="1D024D8C" w14:textId="77777777" w:rsidR="004421F6" w:rsidRDefault="004421F6">
            <w:pPr>
              <w:rPr>
                <w:rFonts w:ascii="宋体"/>
              </w:rPr>
            </w:pPr>
          </w:p>
        </w:tc>
        <w:tc>
          <w:tcPr>
            <w:tcW w:w="0" w:type="auto"/>
            <w:shd w:val="clear" w:color="auto" w:fill="auto"/>
          </w:tcPr>
          <w:p w14:paraId="1D024D8D" w14:textId="77777777" w:rsidR="004421F6" w:rsidRDefault="004421F6">
            <w:pPr>
              <w:rPr>
                <w:rFonts w:ascii="宋体"/>
              </w:rPr>
            </w:pPr>
          </w:p>
        </w:tc>
        <w:tc>
          <w:tcPr>
            <w:tcW w:w="0" w:type="auto"/>
            <w:shd w:val="clear" w:color="auto" w:fill="auto"/>
          </w:tcPr>
          <w:p w14:paraId="1D024D8E" w14:textId="77777777" w:rsidR="004421F6" w:rsidRDefault="004421F6">
            <w:pPr>
              <w:rPr>
                <w:rFonts w:ascii="宋体"/>
              </w:rPr>
            </w:pPr>
          </w:p>
        </w:tc>
        <w:tc>
          <w:tcPr>
            <w:tcW w:w="0" w:type="auto"/>
            <w:shd w:val="clear" w:color="auto" w:fill="auto"/>
          </w:tcPr>
          <w:p w14:paraId="1D024D8F" w14:textId="77777777" w:rsidR="004421F6" w:rsidRDefault="004421F6">
            <w:pPr>
              <w:rPr>
                <w:rFonts w:ascii="宋体"/>
              </w:rPr>
            </w:pPr>
          </w:p>
        </w:tc>
        <w:tc>
          <w:tcPr>
            <w:tcW w:w="0" w:type="auto"/>
            <w:shd w:val="clear" w:color="auto" w:fill="auto"/>
          </w:tcPr>
          <w:p w14:paraId="1D024D90" w14:textId="77777777" w:rsidR="004421F6" w:rsidRDefault="004421F6">
            <w:pPr>
              <w:rPr>
                <w:rFonts w:ascii="宋体"/>
              </w:rPr>
            </w:pPr>
          </w:p>
        </w:tc>
        <w:tc>
          <w:tcPr>
            <w:tcW w:w="0" w:type="auto"/>
            <w:shd w:val="clear" w:color="auto" w:fill="auto"/>
          </w:tcPr>
          <w:p w14:paraId="1D024D91" w14:textId="77777777" w:rsidR="004421F6" w:rsidRDefault="004421F6">
            <w:pPr>
              <w:rPr>
                <w:rFonts w:ascii="宋体"/>
              </w:rPr>
            </w:pPr>
          </w:p>
        </w:tc>
        <w:tc>
          <w:tcPr>
            <w:tcW w:w="0" w:type="auto"/>
            <w:shd w:val="clear" w:color="auto" w:fill="auto"/>
          </w:tcPr>
          <w:p w14:paraId="1D024D92" w14:textId="77777777" w:rsidR="004421F6" w:rsidRDefault="004421F6">
            <w:pPr>
              <w:rPr>
                <w:rFonts w:ascii="宋体"/>
              </w:rPr>
            </w:pPr>
          </w:p>
        </w:tc>
        <w:tc>
          <w:tcPr>
            <w:tcW w:w="0" w:type="auto"/>
            <w:shd w:val="clear" w:color="auto" w:fill="auto"/>
          </w:tcPr>
          <w:p w14:paraId="1D024D93" w14:textId="77777777" w:rsidR="004421F6" w:rsidRDefault="004421F6">
            <w:pPr>
              <w:rPr>
                <w:rFonts w:ascii="宋体"/>
              </w:rPr>
            </w:pPr>
          </w:p>
        </w:tc>
        <w:tc>
          <w:tcPr>
            <w:tcW w:w="0" w:type="auto"/>
            <w:shd w:val="clear" w:color="auto" w:fill="auto"/>
          </w:tcPr>
          <w:p w14:paraId="1D024D94" w14:textId="77777777" w:rsidR="004421F6" w:rsidRDefault="004421F6">
            <w:pPr>
              <w:rPr>
                <w:rFonts w:ascii="宋体"/>
              </w:rPr>
            </w:pPr>
          </w:p>
        </w:tc>
        <w:tc>
          <w:tcPr>
            <w:tcW w:w="0" w:type="auto"/>
            <w:shd w:val="clear" w:color="auto" w:fill="auto"/>
          </w:tcPr>
          <w:p w14:paraId="1D024D95" w14:textId="77777777" w:rsidR="004421F6" w:rsidRDefault="004421F6">
            <w:pPr>
              <w:rPr>
                <w:rFonts w:ascii="宋体"/>
              </w:rPr>
            </w:pPr>
          </w:p>
        </w:tc>
      </w:tr>
      <w:tr w:rsidR="004421F6" w14:paraId="1D024DA4"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4D97" w14:textId="77777777" w:rsidR="004421F6" w:rsidRDefault="00F15622">
            <w:pPr>
              <w:jc w:val="center"/>
              <w:textAlignment w:val="top"/>
            </w:pPr>
            <w:r>
              <w:rPr>
                <w:rFonts w:ascii="Arial" w:eastAsia="宋体" w:hAnsi="Arial" w:cs="Arial"/>
                <w:color w:val="E87722"/>
                <w:sz w:val="16"/>
                <w:szCs w:val="16"/>
              </w:rPr>
              <w:t>•</w:t>
            </w:r>
          </w:p>
        </w:tc>
        <w:tc>
          <w:tcPr>
            <w:tcW w:w="0" w:type="auto"/>
            <w:shd w:val="clear" w:color="auto" w:fill="auto"/>
          </w:tcPr>
          <w:p w14:paraId="1D024D98" w14:textId="77777777" w:rsidR="004421F6" w:rsidRDefault="004421F6">
            <w:pPr>
              <w:rPr>
                <w:rFonts w:ascii="宋体"/>
                <w:vanish/>
              </w:rPr>
            </w:pPr>
          </w:p>
        </w:tc>
        <w:tc>
          <w:tcPr>
            <w:tcW w:w="0" w:type="auto"/>
            <w:gridSpan w:val="21"/>
            <w:tcBorders>
              <w:top w:val="single" w:sz="8" w:space="0" w:color="808080"/>
              <w:bottom w:val="single" w:sz="8" w:space="0" w:color="808080"/>
            </w:tcBorders>
            <w:shd w:val="clear" w:color="auto" w:fill="auto"/>
            <w:tcMar>
              <w:top w:w="40" w:type="dxa"/>
              <w:left w:w="20" w:type="dxa"/>
              <w:bottom w:w="40" w:type="dxa"/>
              <w:right w:w="20" w:type="dxa"/>
            </w:tcMar>
          </w:tcPr>
          <w:p w14:paraId="1D024D99" w14:textId="77777777" w:rsidR="004421F6" w:rsidRDefault="00F15622">
            <w:pPr>
              <w:textAlignment w:val="top"/>
            </w:pPr>
            <w:r>
              <w:rPr>
                <w:rFonts w:ascii="Arial" w:eastAsia="宋体" w:hAnsi="Arial" w:cs="Arial"/>
                <w:color w:val="000000"/>
                <w:sz w:val="14"/>
                <w:szCs w:val="14"/>
              </w:rPr>
              <w:t>if an emerging growth company, if the registrant has elected not to use the extended transition period for complying with any new or revised financial accounting standards provided pursuant t</w:t>
            </w:r>
            <w:r>
              <w:rPr>
                <w:rFonts w:ascii="Arial" w:eastAsia="宋体" w:hAnsi="Arial" w:cs="Arial"/>
                <w:color w:val="000000"/>
                <w:sz w:val="14"/>
                <w:szCs w:val="14"/>
              </w:rPr>
              <w:t>o Section 13(a) of the Exchange Act.</w:t>
            </w:r>
          </w:p>
        </w:tc>
        <w:tc>
          <w:tcPr>
            <w:tcW w:w="0" w:type="auto"/>
            <w:gridSpan w:val="3"/>
            <w:shd w:val="clear" w:color="auto" w:fill="auto"/>
          </w:tcPr>
          <w:p w14:paraId="1D024D9A" w14:textId="77777777" w:rsidR="004421F6" w:rsidRDefault="004421F6">
            <w:pPr>
              <w:rPr>
                <w:rFonts w:ascii="宋体"/>
                <w:vanish/>
              </w:rPr>
            </w:pPr>
          </w:p>
        </w:tc>
        <w:tc>
          <w:tcPr>
            <w:tcW w:w="0" w:type="auto"/>
            <w:gridSpan w:val="3"/>
            <w:shd w:val="clear" w:color="auto" w:fill="auto"/>
          </w:tcPr>
          <w:p w14:paraId="1D024D9B" w14:textId="77777777" w:rsidR="004421F6" w:rsidRDefault="004421F6">
            <w:pPr>
              <w:rPr>
                <w:rFonts w:ascii="宋体"/>
                <w:vanish/>
              </w:rPr>
            </w:pPr>
          </w:p>
        </w:tc>
        <w:tc>
          <w:tcPr>
            <w:tcW w:w="0" w:type="auto"/>
            <w:gridSpan w:val="3"/>
            <w:shd w:val="clear" w:color="auto" w:fill="auto"/>
          </w:tcPr>
          <w:p w14:paraId="1D024D9C" w14:textId="77777777" w:rsidR="004421F6" w:rsidRDefault="004421F6">
            <w:pPr>
              <w:rPr>
                <w:rFonts w:ascii="宋体"/>
                <w:vanish/>
              </w:rPr>
            </w:pPr>
          </w:p>
        </w:tc>
        <w:tc>
          <w:tcPr>
            <w:tcW w:w="0" w:type="auto"/>
            <w:gridSpan w:val="3"/>
            <w:shd w:val="clear" w:color="auto" w:fill="auto"/>
          </w:tcPr>
          <w:p w14:paraId="1D024D9D" w14:textId="77777777" w:rsidR="004421F6" w:rsidRDefault="004421F6">
            <w:pPr>
              <w:rPr>
                <w:rFonts w:ascii="宋体"/>
                <w:vanish/>
              </w:rPr>
            </w:pPr>
          </w:p>
        </w:tc>
        <w:tc>
          <w:tcPr>
            <w:tcW w:w="0" w:type="auto"/>
            <w:shd w:val="clear" w:color="auto" w:fill="auto"/>
          </w:tcPr>
          <w:p w14:paraId="1D024D9E" w14:textId="77777777" w:rsidR="004421F6" w:rsidRDefault="004421F6">
            <w:pPr>
              <w:rPr>
                <w:rFonts w:ascii="宋体"/>
                <w:vanish/>
              </w:rPr>
            </w:pPr>
          </w:p>
        </w:tc>
        <w:tc>
          <w:tcPr>
            <w:tcW w:w="0" w:type="auto"/>
            <w:gridSpan w:val="3"/>
            <w:shd w:val="clear" w:color="auto" w:fill="auto"/>
          </w:tcPr>
          <w:p w14:paraId="1D024D9F" w14:textId="77777777" w:rsidR="004421F6" w:rsidRDefault="004421F6">
            <w:pPr>
              <w:rPr>
                <w:rFonts w:ascii="宋体"/>
                <w:vanish/>
              </w:rPr>
            </w:pPr>
          </w:p>
        </w:tc>
        <w:tc>
          <w:tcPr>
            <w:tcW w:w="0" w:type="auto"/>
            <w:gridSpan w:val="3"/>
            <w:tcBorders>
              <w:top w:val="single" w:sz="8" w:space="0" w:color="808080"/>
            </w:tcBorders>
            <w:shd w:val="clear" w:color="auto" w:fill="auto"/>
            <w:tcMar>
              <w:left w:w="20" w:type="dxa"/>
              <w:right w:w="20" w:type="dxa"/>
            </w:tcMar>
            <w:vAlign w:val="bottom"/>
          </w:tcPr>
          <w:p w14:paraId="1D024DA0" w14:textId="77777777" w:rsidR="004421F6" w:rsidRDefault="004421F6">
            <w:pPr>
              <w:rPr>
                <w:rFonts w:ascii="宋体"/>
              </w:rPr>
            </w:pPr>
          </w:p>
        </w:tc>
        <w:tc>
          <w:tcPr>
            <w:tcW w:w="0" w:type="auto"/>
            <w:gridSpan w:val="9"/>
            <w:tcBorders>
              <w:top w:val="single" w:sz="8" w:space="0" w:color="808080"/>
              <w:bottom w:val="single" w:sz="8" w:space="0" w:color="808080"/>
            </w:tcBorders>
            <w:shd w:val="clear" w:color="auto" w:fill="auto"/>
            <w:tcMar>
              <w:top w:w="40" w:type="dxa"/>
              <w:left w:w="20" w:type="dxa"/>
              <w:bottom w:w="40" w:type="dxa"/>
              <w:right w:w="20" w:type="dxa"/>
            </w:tcMar>
          </w:tcPr>
          <w:p w14:paraId="1D024DA1" w14:textId="77777777" w:rsidR="004421F6" w:rsidRDefault="00F15622">
            <w:pPr>
              <w:jc w:val="center"/>
              <w:textAlignment w:val="top"/>
            </w:pPr>
            <w:r>
              <w:rPr>
                <w:rFonts w:ascii="Wingdings" w:eastAsia="宋体" w:hAnsi="Wingdings" w:cs="Wingdings"/>
                <w:color w:val="000000"/>
                <w:sz w:val="14"/>
                <w:szCs w:val="14"/>
              </w:rPr>
              <w:t>☐</w:t>
            </w:r>
          </w:p>
        </w:tc>
        <w:tc>
          <w:tcPr>
            <w:tcW w:w="0" w:type="auto"/>
            <w:gridSpan w:val="3"/>
            <w:shd w:val="clear" w:color="auto" w:fill="auto"/>
          </w:tcPr>
          <w:p w14:paraId="1D024DA2" w14:textId="77777777" w:rsidR="004421F6" w:rsidRDefault="004421F6">
            <w:pPr>
              <w:rPr>
                <w:rFonts w:ascii="宋体"/>
                <w:vanish/>
              </w:rPr>
            </w:pPr>
          </w:p>
        </w:tc>
        <w:tc>
          <w:tcPr>
            <w:tcW w:w="0" w:type="auto"/>
            <w:gridSpan w:val="3"/>
            <w:shd w:val="clear" w:color="auto" w:fill="auto"/>
          </w:tcPr>
          <w:p w14:paraId="1D024DA3" w14:textId="77777777" w:rsidR="004421F6" w:rsidRDefault="004421F6">
            <w:pPr>
              <w:rPr>
                <w:rFonts w:ascii="宋体"/>
                <w:vanish/>
              </w:rPr>
            </w:pPr>
          </w:p>
        </w:tc>
      </w:tr>
      <w:tr w:rsidR="004421F6" w14:paraId="1D024DB5"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1D024DA5" w14:textId="77777777" w:rsidR="004421F6" w:rsidRDefault="00F15622">
            <w:pPr>
              <w:jc w:val="center"/>
              <w:textAlignment w:val="bottom"/>
            </w:pPr>
            <w:r>
              <w:rPr>
                <w:rFonts w:ascii="Arial" w:eastAsia="宋体" w:hAnsi="Arial" w:cs="Arial"/>
                <w:color w:val="E87722"/>
                <w:sz w:val="16"/>
                <w:szCs w:val="16"/>
              </w:rPr>
              <w:lastRenderedPageBreak/>
              <w:t>•</w:t>
            </w:r>
          </w:p>
        </w:tc>
        <w:tc>
          <w:tcPr>
            <w:tcW w:w="0" w:type="auto"/>
            <w:shd w:val="clear" w:color="auto" w:fill="auto"/>
          </w:tcPr>
          <w:p w14:paraId="1D024DA6" w14:textId="77777777" w:rsidR="004421F6" w:rsidRDefault="004421F6">
            <w:pPr>
              <w:rPr>
                <w:rFonts w:ascii="宋体"/>
                <w:vanish/>
              </w:rPr>
            </w:pPr>
          </w:p>
        </w:tc>
        <w:tc>
          <w:tcPr>
            <w:tcW w:w="0" w:type="auto"/>
            <w:gridSpan w:val="21"/>
            <w:tcBorders>
              <w:top w:val="single" w:sz="8" w:space="0" w:color="808080"/>
              <w:bottom w:val="single" w:sz="8" w:space="0" w:color="E87722"/>
            </w:tcBorders>
            <w:shd w:val="clear" w:color="auto" w:fill="auto"/>
            <w:tcMar>
              <w:top w:w="40" w:type="dxa"/>
              <w:left w:w="20" w:type="dxa"/>
              <w:bottom w:w="40" w:type="dxa"/>
              <w:right w:w="20" w:type="dxa"/>
            </w:tcMar>
            <w:vAlign w:val="bottom"/>
          </w:tcPr>
          <w:p w14:paraId="1D024DA7" w14:textId="77777777" w:rsidR="004421F6" w:rsidRDefault="00F15622">
            <w:pPr>
              <w:textAlignment w:val="bottom"/>
            </w:pPr>
            <w:r>
              <w:rPr>
                <w:rFonts w:ascii="Arial" w:eastAsia="宋体" w:hAnsi="Arial" w:cs="Arial"/>
                <w:color w:val="000000"/>
                <w:sz w:val="14"/>
                <w:szCs w:val="14"/>
              </w:rPr>
              <w:t>whether the registrant is a shell company (as defined in Rule 12b-2 of the Act).</w:t>
            </w:r>
          </w:p>
        </w:tc>
        <w:tc>
          <w:tcPr>
            <w:tcW w:w="0" w:type="auto"/>
            <w:gridSpan w:val="3"/>
            <w:shd w:val="clear" w:color="auto" w:fill="auto"/>
          </w:tcPr>
          <w:p w14:paraId="1D024DA8" w14:textId="77777777" w:rsidR="004421F6" w:rsidRDefault="004421F6">
            <w:pPr>
              <w:rPr>
                <w:rFonts w:ascii="宋体"/>
                <w:vanish/>
              </w:rPr>
            </w:pPr>
          </w:p>
        </w:tc>
        <w:tc>
          <w:tcPr>
            <w:tcW w:w="0" w:type="auto"/>
            <w:gridSpan w:val="3"/>
            <w:shd w:val="clear" w:color="auto" w:fill="auto"/>
          </w:tcPr>
          <w:p w14:paraId="1D024DA9" w14:textId="77777777" w:rsidR="004421F6" w:rsidRDefault="004421F6">
            <w:pPr>
              <w:rPr>
                <w:rFonts w:ascii="宋体"/>
                <w:vanish/>
              </w:rPr>
            </w:pPr>
          </w:p>
        </w:tc>
        <w:tc>
          <w:tcPr>
            <w:tcW w:w="0" w:type="auto"/>
            <w:gridSpan w:val="3"/>
            <w:shd w:val="clear" w:color="auto" w:fill="auto"/>
          </w:tcPr>
          <w:p w14:paraId="1D024DAA" w14:textId="77777777" w:rsidR="004421F6" w:rsidRDefault="004421F6">
            <w:pPr>
              <w:rPr>
                <w:rFonts w:ascii="宋体"/>
                <w:vanish/>
              </w:rPr>
            </w:pPr>
          </w:p>
        </w:tc>
        <w:tc>
          <w:tcPr>
            <w:tcW w:w="0" w:type="auto"/>
            <w:gridSpan w:val="3"/>
            <w:shd w:val="clear" w:color="auto" w:fill="auto"/>
          </w:tcPr>
          <w:p w14:paraId="1D024DAB" w14:textId="77777777" w:rsidR="004421F6" w:rsidRDefault="004421F6">
            <w:pPr>
              <w:rPr>
                <w:rFonts w:ascii="宋体"/>
                <w:vanish/>
              </w:rPr>
            </w:pPr>
          </w:p>
        </w:tc>
        <w:tc>
          <w:tcPr>
            <w:tcW w:w="0" w:type="auto"/>
            <w:shd w:val="clear" w:color="auto" w:fill="auto"/>
          </w:tcPr>
          <w:p w14:paraId="1D024DAC" w14:textId="77777777" w:rsidR="004421F6" w:rsidRDefault="004421F6">
            <w:pPr>
              <w:rPr>
                <w:rFonts w:ascii="宋体"/>
                <w:vanish/>
              </w:rPr>
            </w:pPr>
          </w:p>
        </w:tc>
        <w:tc>
          <w:tcPr>
            <w:tcW w:w="0" w:type="auto"/>
            <w:gridSpan w:val="3"/>
            <w:shd w:val="clear" w:color="auto" w:fill="auto"/>
          </w:tcPr>
          <w:p w14:paraId="1D024DAD" w14:textId="77777777" w:rsidR="004421F6" w:rsidRDefault="004421F6">
            <w:pPr>
              <w:rPr>
                <w:rFonts w:ascii="宋体"/>
                <w:vanish/>
              </w:rPr>
            </w:pPr>
          </w:p>
        </w:tc>
        <w:tc>
          <w:tcPr>
            <w:tcW w:w="0" w:type="auto"/>
            <w:gridSpan w:val="3"/>
            <w:tcBorders>
              <w:top w:val="single" w:sz="8" w:space="0" w:color="808080"/>
              <w:bottom w:val="single" w:sz="8" w:space="0" w:color="E87722"/>
            </w:tcBorders>
            <w:shd w:val="clear" w:color="auto" w:fill="auto"/>
            <w:tcMar>
              <w:left w:w="20" w:type="dxa"/>
              <w:right w:w="20" w:type="dxa"/>
            </w:tcMar>
            <w:vAlign w:val="bottom"/>
          </w:tcPr>
          <w:p w14:paraId="1D024DAE" w14:textId="77777777" w:rsidR="004421F6" w:rsidRDefault="004421F6">
            <w:pPr>
              <w:rPr>
                <w:rFonts w:ascii="宋体"/>
              </w:rPr>
            </w:pP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1D024DAF" w14:textId="77777777" w:rsidR="004421F6" w:rsidRDefault="00F15622">
            <w:pPr>
              <w:jc w:val="center"/>
              <w:textAlignment w:val="bottom"/>
            </w:pPr>
            <w:r>
              <w:rPr>
                <w:rFonts w:ascii="Wingdings" w:eastAsia="宋体" w:hAnsi="Wingdings" w:cs="Wingdings"/>
                <w:color w:val="000000"/>
                <w:sz w:val="14"/>
                <w:szCs w:val="14"/>
              </w:rPr>
              <w:t>☐</w:t>
            </w:r>
          </w:p>
        </w:tc>
        <w:tc>
          <w:tcPr>
            <w:tcW w:w="0" w:type="auto"/>
            <w:gridSpan w:val="6"/>
            <w:tcBorders>
              <w:top w:val="single" w:sz="8" w:space="0" w:color="808080"/>
              <w:bottom w:val="single" w:sz="8" w:space="0" w:color="E87722"/>
            </w:tcBorders>
            <w:shd w:val="clear" w:color="auto" w:fill="auto"/>
            <w:tcMar>
              <w:top w:w="40" w:type="dxa"/>
              <w:left w:w="20" w:type="dxa"/>
              <w:bottom w:w="40" w:type="dxa"/>
              <w:right w:w="20" w:type="dxa"/>
            </w:tcMar>
            <w:vAlign w:val="bottom"/>
          </w:tcPr>
          <w:p w14:paraId="1D024DB0" w14:textId="77777777" w:rsidR="004421F6" w:rsidRDefault="00F15622">
            <w:pPr>
              <w:jc w:val="center"/>
              <w:textAlignment w:val="bottom"/>
            </w:pPr>
            <w:r>
              <w:rPr>
                <w:rFonts w:ascii="Wingdings" w:eastAsia="宋体" w:hAnsi="Wingdings" w:cs="Wingdings"/>
                <w:color w:val="000000"/>
                <w:sz w:val="14"/>
                <w:szCs w:val="14"/>
              </w:rPr>
              <w:t>þ</w:t>
            </w:r>
          </w:p>
        </w:tc>
        <w:tc>
          <w:tcPr>
            <w:tcW w:w="0" w:type="auto"/>
            <w:gridSpan w:val="3"/>
            <w:shd w:val="clear" w:color="auto" w:fill="auto"/>
          </w:tcPr>
          <w:p w14:paraId="1D024DB1" w14:textId="77777777" w:rsidR="004421F6" w:rsidRDefault="004421F6">
            <w:pPr>
              <w:rPr>
                <w:rFonts w:ascii="宋体"/>
                <w:vanish/>
              </w:rPr>
            </w:pPr>
          </w:p>
        </w:tc>
        <w:tc>
          <w:tcPr>
            <w:tcW w:w="0" w:type="auto"/>
            <w:shd w:val="clear" w:color="auto" w:fill="auto"/>
          </w:tcPr>
          <w:p w14:paraId="1D024DB2" w14:textId="77777777" w:rsidR="004421F6" w:rsidRDefault="004421F6">
            <w:pPr>
              <w:rPr>
                <w:rFonts w:ascii="宋体"/>
              </w:rPr>
            </w:pPr>
          </w:p>
        </w:tc>
        <w:tc>
          <w:tcPr>
            <w:tcW w:w="0" w:type="auto"/>
            <w:shd w:val="clear" w:color="auto" w:fill="auto"/>
          </w:tcPr>
          <w:p w14:paraId="1D024DB3" w14:textId="77777777" w:rsidR="004421F6" w:rsidRDefault="004421F6">
            <w:pPr>
              <w:rPr>
                <w:rFonts w:ascii="宋体"/>
              </w:rPr>
            </w:pPr>
          </w:p>
        </w:tc>
        <w:tc>
          <w:tcPr>
            <w:tcW w:w="0" w:type="auto"/>
            <w:shd w:val="clear" w:color="auto" w:fill="auto"/>
          </w:tcPr>
          <w:p w14:paraId="1D024DB4" w14:textId="77777777" w:rsidR="004421F6" w:rsidRDefault="004421F6">
            <w:pPr>
              <w:rPr>
                <w:rFonts w:ascii="宋体"/>
              </w:rPr>
            </w:pPr>
          </w:p>
        </w:tc>
      </w:tr>
    </w:tbl>
    <w:p w14:paraId="1D024DB6" w14:textId="77777777" w:rsidR="004421F6" w:rsidRDefault="004421F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6"/>
        <w:gridCol w:w="6688"/>
        <w:gridCol w:w="37"/>
        <w:gridCol w:w="67"/>
        <w:gridCol w:w="1329"/>
        <w:gridCol w:w="41"/>
        <w:gridCol w:w="36"/>
        <w:gridCol w:w="36"/>
        <w:gridCol w:w="36"/>
      </w:tblGrid>
      <w:tr w:rsidR="004421F6" w14:paraId="1D024DBD" w14:textId="77777777">
        <w:trPr>
          <w:gridAfter w:val="3"/>
        </w:trPr>
        <w:tc>
          <w:tcPr>
            <w:tcW w:w="50" w:type="pct"/>
            <w:shd w:val="clear" w:color="auto" w:fill="auto"/>
          </w:tcPr>
          <w:p w14:paraId="1D024DB7" w14:textId="77777777" w:rsidR="004421F6" w:rsidRDefault="004421F6">
            <w:pPr>
              <w:rPr>
                <w:rFonts w:ascii="宋体"/>
              </w:rPr>
            </w:pPr>
          </w:p>
        </w:tc>
        <w:tc>
          <w:tcPr>
            <w:tcW w:w="4073" w:type="pct"/>
            <w:shd w:val="clear" w:color="auto" w:fill="auto"/>
          </w:tcPr>
          <w:p w14:paraId="1D024DB8" w14:textId="77777777" w:rsidR="004421F6" w:rsidRDefault="004421F6">
            <w:pPr>
              <w:rPr>
                <w:rFonts w:ascii="宋体"/>
              </w:rPr>
            </w:pPr>
          </w:p>
        </w:tc>
        <w:tc>
          <w:tcPr>
            <w:tcW w:w="5" w:type="pct"/>
            <w:shd w:val="clear" w:color="auto" w:fill="auto"/>
          </w:tcPr>
          <w:p w14:paraId="1D024DB9" w14:textId="77777777" w:rsidR="004421F6" w:rsidRDefault="004421F6">
            <w:pPr>
              <w:rPr>
                <w:rFonts w:ascii="宋体"/>
              </w:rPr>
            </w:pPr>
          </w:p>
        </w:tc>
        <w:tc>
          <w:tcPr>
            <w:tcW w:w="50" w:type="pct"/>
            <w:shd w:val="clear" w:color="auto" w:fill="auto"/>
          </w:tcPr>
          <w:p w14:paraId="1D024DBA" w14:textId="77777777" w:rsidR="004421F6" w:rsidRDefault="004421F6">
            <w:pPr>
              <w:rPr>
                <w:rFonts w:ascii="宋体"/>
              </w:rPr>
            </w:pPr>
          </w:p>
        </w:tc>
        <w:tc>
          <w:tcPr>
            <w:tcW w:w="816" w:type="pct"/>
            <w:shd w:val="clear" w:color="auto" w:fill="auto"/>
          </w:tcPr>
          <w:p w14:paraId="1D024DBB" w14:textId="77777777" w:rsidR="004421F6" w:rsidRDefault="004421F6">
            <w:pPr>
              <w:rPr>
                <w:rFonts w:ascii="宋体"/>
              </w:rPr>
            </w:pPr>
          </w:p>
        </w:tc>
        <w:tc>
          <w:tcPr>
            <w:tcW w:w="5" w:type="pct"/>
            <w:shd w:val="clear" w:color="auto" w:fill="auto"/>
          </w:tcPr>
          <w:p w14:paraId="1D024DBC" w14:textId="77777777" w:rsidR="004421F6" w:rsidRDefault="004421F6">
            <w:pPr>
              <w:rPr>
                <w:rFonts w:ascii="宋体"/>
              </w:rPr>
            </w:pPr>
          </w:p>
        </w:tc>
      </w:tr>
      <w:tr w:rsidR="004421F6" w14:paraId="1D024DC0" w14:textId="77777777">
        <w:tc>
          <w:tcPr>
            <w:tcW w:w="0" w:type="auto"/>
            <w:gridSpan w:val="6"/>
            <w:shd w:val="clear" w:color="auto" w:fill="auto"/>
            <w:tcMar>
              <w:top w:w="40" w:type="dxa"/>
              <w:left w:w="20" w:type="dxa"/>
              <w:bottom w:w="40" w:type="dxa"/>
              <w:right w:w="20" w:type="dxa"/>
            </w:tcMar>
          </w:tcPr>
          <w:p w14:paraId="1D024DBE" w14:textId="77777777" w:rsidR="004421F6" w:rsidRDefault="00F15622">
            <w:pPr>
              <w:textAlignment w:val="top"/>
            </w:pPr>
            <w:r>
              <w:rPr>
                <w:rFonts w:ascii="Arial" w:eastAsia="宋体" w:hAnsi="Arial" w:cs="Arial"/>
                <w:color w:val="000000"/>
                <w:sz w:val="14"/>
                <w:szCs w:val="14"/>
              </w:rPr>
              <w:t xml:space="preserve">As of September 28, 2020, the number of shares of the Registrant's Common Stock </w:t>
            </w:r>
            <w:r>
              <w:rPr>
                <w:rFonts w:ascii="Arial" w:eastAsia="宋体" w:hAnsi="Arial" w:cs="Arial"/>
                <w:color w:val="000000"/>
                <w:sz w:val="14"/>
                <w:szCs w:val="14"/>
              </w:rPr>
              <w:t>outstanding were:</w:t>
            </w:r>
          </w:p>
        </w:tc>
        <w:tc>
          <w:tcPr>
            <w:tcW w:w="0" w:type="auto"/>
            <w:gridSpan w:val="3"/>
            <w:shd w:val="clear" w:color="auto" w:fill="auto"/>
          </w:tcPr>
          <w:p w14:paraId="1D024DBF" w14:textId="77777777" w:rsidR="004421F6" w:rsidRDefault="004421F6">
            <w:pPr>
              <w:rPr>
                <w:rFonts w:ascii="宋体"/>
                <w:vanish/>
              </w:rPr>
            </w:pPr>
          </w:p>
        </w:tc>
      </w:tr>
      <w:tr w:rsidR="004421F6" w14:paraId="1D024DC7" w14:textId="77777777">
        <w:tc>
          <w:tcPr>
            <w:tcW w:w="0" w:type="auto"/>
            <w:gridSpan w:val="3"/>
            <w:tcBorders>
              <w:top w:val="single" w:sz="8" w:space="0" w:color="E87722"/>
            </w:tcBorders>
            <w:shd w:val="clear" w:color="auto" w:fill="auto"/>
            <w:tcMar>
              <w:top w:w="40" w:type="dxa"/>
              <w:left w:w="20" w:type="dxa"/>
              <w:bottom w:w="40" w:type="dxa"/>
              <w:right w:w="20" w:type="dxa"/>
            </w:tcMar>
          </w:tcPr>
          <w:p w14:paraId="1D024DC1" w14:textId="77777777" w:rsidR="004421F6" w:rsidRDefault="00F15622">
            <w:pPr>
              <w:textAlignment w:val="top"/>
            </w:pPr>
            <w:r>
              <w:rPr>
                <w:rFonts w:ascii="Arial" w:eastAsia="宋体" w:hAnsi="Arial" w:cs="Arial"/>
                <w:color w:val="000000"/>
                <w:sz w:val="14"/>
                <w:szCs w:val="14"/>
              </w:rPr>
              <w:t>Class A</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4DC2" w14:textId="77777777" w:rsidR="004421F6" w:rsidRDefault="00F15622">
            <w:pPr>
              <w:jc w:val="right"/>
              <w:textAlignment w:val="bottom"/>
            </w:pPr>
            <w:r>
              <w:rPr>
                <w:rFonts w:ascii="Arial" w:eastAsia="宋体" w:hAnsi="Arial" w:cs="Arial"/>
                <w:color w:val="000000"/>
                <w:sz w:val="14"/>
                <w:szCs w:val="14"/>
              </w:rPr>
              <w:t>315,017,252 </w:t>
            </w:r>
          </w:p>
        </w:tc>
        <w:tc>
          <w:tcPr>
            <w:tcW w:w="0" w:type="auto"/>
            <w:tcBorders>
              <w:top w:val="single" w:sz="8" w:space="0" w:color="E87722"/>
            </w:tcBorders>
            <w:shd w:val="clear" w:color="auto" w:fill="auto"/>
            <w:tcMar>
              <w:top w:w="40" w:type="dxa"/>
              <w:bottom w:w="40" w:type="dxa"/>
              <w:right w:w="20" w:type="dxa"/>
            </w:tcMar>
            <w:vAlign w:val="bottom"/>
          </w:tcPr>
          <w:p w14:paraId="1D024DC3" w14:textId="77777777" w:rsidR="004421F6" w:rsidRDefault="004421F6">
            <w:pPr>
              <w:jc w:val="right"/>
              <w:rPr>
                <w:rFonts w:ascii="宋体"/>
              </w:rPr>
            </w:pPr>
          </w:p>
        </w:tc>
        <w:tc>
          <w:tcPr>
            <w:tcW w:w="0" w:type="auto"/>
            <w:shd w:val="clear" w:color="auto" w:fill="auto"/>
          </w:tcPr>
          <w:p w14:paraId="1D024DC4" w14:textId="77777777" w:rsidR="004421F6" w:rsidRDefault="004421F6">
            <w:pPr>
              <w:rPr>
                <w:rFonts w:ascii="宋体"/>
              </w:rPr>
            </w:pPr>
          </w:p>
        </w:tc>
        <w:tc>
          <w:tcPr>
            <w:tcW w:w="0" w:type="auto"/>
            <w:shd w:val="clear" w:color="auto" w:fill="auto"/>
          </w:tcPr>
          <w:p w14:paraId="1D024DC5" w14:textId="77777777" w:rsidR="004421F6" w:rsidRDefault="004421F6">
            <w:pPr>
              <w:rPr>
                <w:rFonts w:ascii="宋体"/>
              </w:rPr>
            </w:pPr>
          </w:p>
        </w:tc>
        <w:tc>
          <w:tcPr>
            <w:tcW w:w="0" w:type="auto"/>
            <w:shd w:val="clear" w:color="auto" w:fill="auto"/>
          </w:tcPr>
          <w:p w14:paraId="1D024DC6" w14:textId="77777777" w:rsidR="004421F6" w:rsidRDefault="004421F6">
            <w:pPr>
              <w:rPr>
                <w:rFonts w:ascii="宋体"/>
              </w:rPr>
            </w:pPr>
          </w:p>
        </w:tc>
      </w:tr>
      <w:tr w:rsidR="004421F6" w14:paraId="1D024DCE"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4DC8" w14:textId="77777777" w:rsidR="004421F6" w:rsidRDefault="00F15622">
            <w:pPr>
              <w:textAlignment w:val="top"/>
            </w:pPr>
            <w:r>
              <w:rPr>
                <w:rFonts w:ascii="Arial" w:eastAsia="宋体" w:hAnsi="Arial" w:cs="Arial"/>
                <w:color w:val="000000"/>
                <w:sz w:val="14"/>
                <w:szCs w:val="14"/>
              </w:rPr>
              <w:t>Class B</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4DC9" w14:textId="77777777" w:rsidR="004421F6" w:rsidRDefault="00F15622">
            <w:pPr>
              <w:jc w:val="right"/>
              <w:textAlignment w:val="bottom"/>
            </w:pPr>
            <w:r>
              <w:rPr>
                <w:rFonts w:ascii="Arial" w:eastAsia="宋体" w:hAnsi="Arial" w:cs="Arial"/>
                <w:color w:val="000000"/>
                <w:sz w:val="14"/>
                <w:szCs w:val="14"/>
              </w:rPr>
              <w:t>1,254,809,281 </w:t>
            </w:r>
          </w:p>
        </w:tc>
        <w:tc>
          <w:tcPr>
            <w:tcW w:w="0" w:type="auto"/>
            <w:tcBorders>
              <w:top w:val="single" w:sz="8" w:space="0" w:color="808080"/>
            </w:tcBorders>
            <w:shd w:val="clear" w:color="auto" w:fill="auto"/>
            <w:tcMar>
              <w:top w:w="40" w:type="dxa"/>
              <w:bottom w:w="40" w:type="dxa"/>
              <w:right w:w="20" w:type="dxa"/>
            </w:tcMar>
            <w:vAlign w:val="bottom"/>
          </w:tcPr>
          <w:p w14:paraId="1D024DCA" w14:textId="77777777" w:rsidR="004421F6" w:rsidRDefault="004421F6">
            <w:pPr>
              <w:jc w:val="right"/>
              <w:rPr>
                <w:rFonts w:ascii="宋体"/>
              </w:rPr>
            </w:pPr>
          </w:p>
        </w:tc>
        <w:tc>
          <w:tcPr>
            <w:tcW w:w="0" w:type="auto"/>
            <w:shd w:val="clear" w:color="auto" w:fill="auto"/>
          </w:tcPr>
          <w:p w14:paraId="1D024DCB" w14:textId="77777777" w:rsidR="004421F6" w:rsidRDefault="004421F6">
            <w:pPr>
              <w:rPr>
                <w:rFonts w:ascii="宋体"/>
              </w:rPr>
            </w:pPr>
          </w:p>
        </w:tc>
        <w:tc>
          <w:tcPr>
            <w:tcW w:w="0" w:type="auto"/>
            <w:shd w:val="clear" w:color="auto" w:fill="auto"/>
          </w:tcPr>
          <w:p w14:paraId="1D024DCC" w14:textId="77777777" w:rsidR="004421F6" w:rsidRDefault="004421F6">
            <w:pPr>
              <w:rPr>
                <w:rFonts w:ascii="宋体"/>
              </w:rPr>
            </w:pPr>
          </w:p>
        </w:tc>
        <w:tc>
          <w:tcPr>
            <w:tcW w:w="0" w:type="auto"/>
            <w:shd w:val="clear" w:color="auto" w:fill="auto"/>
          </w:tcPr>
          <w:p w14:paraId="1D024DCD" w14:textId="77777777" w:rsidR="004421F6" w:rsidRDefault="004421F6">
            <w:pPr>
              <w:rPr>
                <w:rFonts w:ascii="宋体"/>
              </w:rPr>
            </w:pPr>
          </w:p>
        </w:tc>
      </w:tr>
      <w:tr w:rsidR="004421F6" w14:paraId="1D024DD5" w14:textId="77777777">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4DCF" w14:textId="77777777" w:rsidR="004421F6" w:rsidRDefault="004421F6">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D024DD0" w14:textId="77777777" w:rsidR="004421F6" w:rsidRDefault="00F15622">
            <w:pPr>
              <w:jc w:val="right"/>
              <w:textAlignment w:val="bottom"/>
            </w:pPr>
            <w:r>
              <w:rPr>
                <w:rFonts w:ascii="Arial" w:eastAsia="宋体" w:hAnsi="Arial" w:cs="Arial"/>
                <w:color w:val="000000"/>
                <w:sz w:val="14"/>
                <w:szCs w:val="14"/>
              </w:rPr>
              <w:t>1,569,826,533 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4DD1" w14:textId="77777777" w:rsidR="004421F6" w:rsidRDefault="004421F6">
            <w:pPr>
              <w:jc w:val="right"/>
              <w:rPr>
                <w:rFonts w:ascii="宋体"/>
              </w:rPr>
            </w:pPr>
          </w:p>
        </w:tc>
        <w:tc>
          <w:tcPr>
            <w:tcW w:w="0" w:type="auto"/>
            <w:shd w:val="clear" w:color="auto" w:fill="auto"/>
          </w:tcPr>
          <w:p w14:paraId="1D024DD2" w14:textId="77777777" w:rsidR="004421F6" w:rsidRDefault="004421F6">
            <w:pPr>
              <w:rPr>
                <w:rFonts w:ascii="宋体"/>
              </w:rPr>
            </w:pPr>
          </w:p>
        </w:tc>
        <w:tc>
          <w:tcPr>
            <w:tcW w:w="0" w:type="auto"/>
            <w:shd w:val="clear" w:color="auto" w:fill="auto"/>
          </w:tcPr>
          <w:p w14:paraId="1D024DD3" w14:textId="77777777" w:rsidR="004421F6" w:rsidRDefault="004421F6">
            <w:pPr>
              <w:rPr>
                <w:rFonts w:ascii="宋体"/>
              </w:rPr>
            </w:pPr>
          </w:p>
        </w:tc>
        <w:tc>
          <w:tcPr>
            <w:tcW w:w="0" w:type="auto"/>
            <w:shd w:val="clear" w:color="auto" w:fill="auto"/>
          </w:tcPr>
          <w:p w14:paraId="1D024DD4" w14:textId="77777777" w:rsidR="004421F6" w:rsidRDefault="004421F6">
            <w:pPr>
              <w:rPr>
                <w:rFonts w:ascii="宋体"/>
              </w:rPr>
            </w:pPr>
          </w:p>
        </w:tc>
      </w:tr>
    </w:tbl>
    <w:p w14:paraId="1D024DD6" w14:textId="77777777" w:rsidR="004421F6" w:rsidRDefault="004421F6">
      <w:pPr>
        <w:spacing w:before="120" w:after="120"/>
      </w:pPr>
    </w:p>
    <w:p w14:paraId="1D024DD7" w14:textId="77777777" w:rsidR="004421F6" w:rsidRDefault="00F15622">
      <w:r>
        <w:pict w14:anchorId="1D02727A">
          <v:rect id="_x0000_i1025" style="width:415.3pt;height:1.5pt" o:hralign="center" o:hrstd="t" o:hr="t" fillcolor="#a0a0a0" stroked="f"/>
        </w:pict>
      </w:r>
    </w:p>
    <w:p w14:paraId="1D024DD8" w14:textId="77777777" w:rsidR="004421F6" w:rsidRDefault="004421F6"/>
    <w:p w14:paraId="1D024DD9" w14:textId="77777777" w:rsidR="004421F6" w:rsidRDefault="00F15622">
      <w:hyperlink r:id="rId7" w:anchor="i3e524f2e23844e81ba9d33a05ac3917c_7" w:history="1">
        <w:r>
          <w:rPr>
            <w:rStyle w:val="a5"/>
            <w:rFonts w:ascii="sans-serif" w:eastAsia="sans-serif" w:hAnsi="sans-serif" w:cs="sans-serif"/>
            <w:sz w:val="17"/>
            <w:szCs w:val="17"/>
          </w:rPr>
          <w:t>Table of Contents</w:t>
        </w:r>
      </w:hyperlink>
    </w:p>
    <w:p w14:paraId="1D024DDA" w14:textId="77777777" w:rsidR="004421F6" w:rsidRDefault="004421F6"/>
    <w:p w14:paraId="1D024DDB" w14:textId="77777777" w:rsidR="004421F6" w:rsidRDefault="00F15622">
      <w:r>
        <w:rPr>
          <w:rFonts w:ascii="sans-serif" w:eastAsia="sans-serif" w:hAnsi="sans-serif" w:cs="sans-serif"/>
          <w:color w:val="000000"/>
          <w:sz w:val="44"/>
          <w:szCs w:val="44"/>
        </w:rPr>
        <w:t>NIKE, INC.</w:t>
      </w:r>
    </w:p>
    <w:p w14:paraId="1D024DDC" w14:textId="77777777" w:rsidR="004421F6" w:rsidRDefault="00F15622">
      <w:r>
        <w:rPr>
          <w:rFonts w:ascii="sans-serif" w:eastAsia="sans-serif" w:hAnsi="sans-serif" w:cs="sans-serif"/>
          <w:color w:val="000000"/>
          <w:sz w:val="44"/>
          <w:szCs w:val="44"/>
        </w:rPr>
        <w:t>FORM 10-Q</w:t>
      </w:r>
    </w:p>
    <w:p w14:paraId="1D024DDD" w14:textId="77777777" w:rsidR="004421F6" w:rsidRDefault="00F15622">
      <w:r>
        <w:rPr>
          <w:rFonts w:ascii="sans-serif" w:eastAsia="sans-serif" w:hAnsi="sans-serif" w:cs="sans-serif"/>
          <w:color w:val="000000"/>
          <w:sz w:val="44"/>
          <w:szCs w:val="44"/>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2"/>
        <w:gridCol w:w="552"/>
        <w:gridCol w:w="37"/>
        <w:gridCol w:w="55"/>
        <w:gridCol w:w="6823"/>
        <w:gridCol w:w="36"/>
        <w:gridCol w:w="84"/>
        <w:gridCol w:w="356"/>
        <w:gridCol w:w="36"/>
        <w:gridCol w:w="95"/>
        <w:gridCol w:w="95"/>
        <w:gridCol w:w="95"/>
      </w:tblGrid>
      <w:tr w:rsidR="004421F6" w14:paraId="1D024DE7" w14:textId="77777777">
        <w:trPr>
          <w:gridAfter w:val="3"/>
        </w:trPr>
        <w:tc>
          <w:tcPr>
            <w:tcW w:w="50" w:type="pct"/>
            <w:shd w:val="clear" w:color="auto" w:fill="auto"/>
          </w:tcPr>
          <w:p w14:paraId="1D024DDE" w14:textId="77777777" w:rsidR="004421F6" w:rsidRDefault="004421F6">
            <w:pPr>
              <w:rPr>
                <w:rFonts w:ascii="宋体"/>
              </w:rPr>
            </w:pPr>
          </w:p>
        </w:tc>
        <w:tc>
          <w:tcPr>
            <w:tcW w:w="368" w:type="pct"/>
            <w:shd w:val="clear" w:color="auto" w:fill="auto"/>
          </w:tcPr>
          <w:p w14:paraId="1D024DDF" w14:textId="77777777" w:rsidR="004421F6" w:rsidRDefault="004421F6">
            <w:pPr>
              <w:rPr>
                <w:rFonts w:ascii="宋体"/>
              </w:rPr>
            </w:pPr>
          </w:p>
        </w:tc>
        <w:tc>
          <w:tcPr>
            <w:tcW w:w="5" w:type="pct"/>
            <w:shd w:val="clear" w:color="auto" w:fill="auto"/>
          </w:tcPr>
          <w:p w14:paraId="1D024DE0" w14:textId="77777777" w:rsidR="004421F6" w:rsidRDefault="004421F6">
            <w:pPr>
              <w:rPr>
                <w:rFonts w:ascii="宋体"/>
              </w:rPr>
            </w:pPr>
          </w:p>
        </w:tc>
        <w:tc>
          <w:tcPr>
            <w:tcW w:w="50" w:type="pct"/>
            <w:shd w:val="clear" w:color="auto" w:fill="auto"/>
          </w:tcPr>
          <w:p w14:paraId="1D024DE1" w14:textId="77777777" w:rsidR="004421F6" w:rsidRDefault="004421F6">
            <w:pPr>
              <w:rPr>
                <w:rFonts w:ascii="宋体"/>
              </w:rPr>
            </w:pPr>
          </w:p>
        </w:tc>
        <w:tc>
          <w:tcPr>
            <w:tcW w:w="4251" w:type="pct"/>
            <w:shd w:val="clear" w:color="auto" w:fill="auto"/>
          </w:tcPr>
          <w:p w14:paraId="1D024DE2" w14:textId="77777777" w:rsidR="004421F6" w:rsidRDefault="004421F6">
            <w:pPr>
              <w:rPr>
                <w:rFonts w:ascii="宋体"/>
              </w:rPr>
            </w:pPr>
          </w:p>
        </w:tc>
        <w:tc>
          <w:tcPr>
            <w:tcW w:w="5" w:type="pct"/>
            <w:shd w:val="clear" w:color="auto" w:fill="auto"/>
          </w:tcPr>
          <w:p w14:paraId="1D024DE3" w14:textId="77777777" w:rsidR="004421F6" w:rsidRDefault="004421F6">
            <w:pPr>
              <w:rPr>
                <w:rFonts w:ascii="宋体"/>
              </w:rPr>
            </w:pPr>
          </w:p>
        </w:tc>
        <w:tc>
          <w:tcPr>
            <w:tcW w:w="50" w:type="pct"/>
            <w:shd w:val="clear" w:color="auto" w:fill="auto"/>
          </w:tcPr>
          <w:p w14:paraId="1D024DE4" w14:textId="77777777" w:rsidR="004421F6" w:rsidRDefault="004421F6">
            <w:pPr>
              <w:rPr>
                <w:rFonts w:ascii="宋体"/>
              </w:rPr>
            </w:pPr>
          </w:p>
        </w:tc>
        <w:tc>
          <w:tcPr>
            <w:tcW w:w="214" w:type="pct"/>
            <w:shd w:val="clear" w:color="auto" w:fill="auto"/>
          </w:tcPr>
          <w:p w14:paraId="1D024DE5" w14:textId="77777777" w:rsidR="004421F6" w:rsidRDefault="004421F6">
            <w:pPr>
              <w:rPr>
                <w:rFonts w:ascii="宋体"/>
              </w:rPr>
            </w:pPr>
          </w:p>
        </w:tc>
        <w:tc>
          <w:tcPr>
            <w:tcW w:w="5" w:type="pct"/>
            <w:shd w:val="clear" w:color="auto" w:fill="auto"/>
          </w:tcPr>
          <w:p w14:paraId="1D024DE6" w14:textId="77777777" w:rsidR="004421F6" w:rsidRDefault="004421F6">
            <w:pPr>
              <w:rPr>
                <w:rFonts w:ascii="宋体"/>
              </w:rPr>
            </w:pPr>
          </w:p>
        </w:tc>
      </w:tr>
      <w:tr w:rsidR="004421F6" w14:paraId="1D024DEB" w14:textId="77777777">
        <w:trPr>
          <w:gridAfter w:val="3"/>
        </w:trPr>
        <w:tc>
          <w:tcPr>
            <w:tcW w:w="0" w:type="auto"/>
            <w:gridSpan w:val="3"/>
            <w:shd w:val="clear" w:color="auto" w:fill="auto"/>
            <w:tcMar>
              <w:left w:w="20" w:type="dxa"/>
              <w:right w:w="20" w:type="dxa"/>
            </w:tcMar>
            <w:vAlign w:val="bottom"/>
          </w:tcPr>
          <w:p w14:paraId="1D024DE8" w14:textId="77777777" w:rsidR="004421F6" w:rsidRDefault="004421F6">
            <w:pPr>
              <w:rPr>
                <w:rFonts w:ascii="宋体"/>
              </w:rPr>
            </w:pPr>
          </w:p>
        </w:tc>
        <w:tc>
          <w:tcPr>
            <w:tcW w:w="0" w:type="auto"/>
            <w:gridSpan w:val="3"/>
            <w:shd w:val="clear" w:color="auto" w:fill="auto"/>
            <w:tcMar>
              <w:left w:w="20" w:type="dxa"/>
              <w:right w:w="20" w:type="dxa"/>
            </w:tcMar>
            <w:vAlign w:val="bottom"/>
          </w:tcPr>
          <w:p w14:paraId="1D024DE9" w14:textId="77777777" w:rsidR="004421F6" w:rsidRDefault="004421F6">
            <w:pPr>
              <w:rPr>
                <w:rFonts w:ascii="宋体"/>
              </w:rPr>
            </w:pPr>
          </w:p>
        </w:tc>
        <w:tc>
          <w:tcPr>
            <w:tcW w:w="0" w:type="auto"/>
            <w:gridSpan w:val="3"/>
            <w:shd w:val="clear" w:color="auto" w:fill="auto"/>
            <w:tcMar>
              <w:top w:w="40" w:type="dxa"/>
              <w:left w:w="20" w:type="dxa"/>
              <w:bottom w:w="40" w:type="dxa"/>
              <w:right w:w="20" w:type="dxa"/>
            </w:tcMar>
          </w:tcPr>
          <w:p w14:paraId="1D024DEA" w14:textId="77777777" w:rsidR="004421F6" w:rsidRDefault="00F15622">
            <w:pPr>
              <w:textAlignment w:val="top"/>
            </w:pPr>
            <w:r>
              <w:rPr>
                <w:rFonts w:ascii="sans-serif" w:eastAsia="sans-serif" w:hAnsi="sans-serif" w:cs="sans-serif"/>
                <w:b/>
                <w:bCs/>
                <w:color w:val="000000"/>
                <w:sz w:val="18"/>
                <w:szCs w:val="18"/>
              </w:rPr>
              <w:t>PAGE</w:t>
            </w:r>
          </w:p>
        </w:tc>
      </w:tr>
      <w:tr w:rsidR="004421F6" w14:paraId="1D024DEF" w14:textId="77777777">
        <w:tc>
          <w:tcPr>
            <w:tcW w:w="0" w:type="auto"/>
            <w:gridSpan w:val="6"/>
            <w:shd w:val="clear" w:color="auto" w:fill="auto"/>
            <w:tcMar>
              <w:top w:w="40" w:type="dxa"/>
              <w:left w:w="20" w:type="dxa"/>
              <w:bottom w:w="40" w:type="dxa"/>
              <w:right w:w="20" w:type="dxa"/>
            </w:tcMar>
            <w:vAlign w:val="bottom"/>
          </w:tcPr>
          <w:p w14:paraId="1D024DEC" w14:textId="77777777" w:rsidR="004421F6" w:rsidRDefault="00F15622">
            <w:pPr>
              <w:spacing w:before="120" w:after="120"/>
              <w:textAlignment w:val="bottom"/>
            </w:pPr>
            <w:hyperlink r:id="rId8" w:anchor="i3e524f2e23844e81ba9d33a05ac3917c_10" w:history="1">
              <w:r>
                <w:rPr>
                  <w:rStyle w:val="a5"/>
                  <w:rFonts w:ascii="sans-serif" w:eastAsia="sans-serif" w:hAnsi="sans-serif" w:cs="sans-serif"/>
                  <w:color w:val="E87722"/>
                  <w:u w:val="none"/>
                </w:rPr>
                <w:t>PART I</w:t>
              </w:r>
            </w:hyperlink>
            <w:r>
              <w:rPr>
                <w:rFonts w:ascii="sans-serif" w:eastAsia="sans-serif" w:hAnsi="sans-serif" w:cs="sans-serif"/>
                <w:color w:val="E87722"/>
              </w:rPr>
              <w:t xml:space="preserve"> - FINANCIAL INFORMATION</w:t>
            </w:r>
          </w:p>
        </w:tc>
        <w:tc>
          <w:tcPr>
            <w:tcW w:w="0" w:type="auto"/>
            <w:gridSpan w:val="3"/>
            <w:shd w:val="clear" w:color="auto" w:fill="auto"/>
          </w:tcPr>
          <w:p w14:paraId="1D024DED" w14:textId="77777777" w:rsidR="004421F6" w:rsidRDefault="004421F6">
            <w:pPr>
              <w:rPr>
                <w:rFonts w:ascii="宋体"/>
                <w:vanish/>
              </w:rPr>
            </w:pPr>
          </w:p>
        </w:tc>
        <w:tc>
          <w:tcPr>
            <w:tcW w:w="0" w:type="auto"/>
            <w:gridSpan w:val="3"/>
            <w:shd w:val="clear" w:color="auto" w:fill="auto"/>
            <w:tcMar>
              <w:top w:w="40" w:type="dxa"/>
              <w:left w:w="20" w:type="dxa"/>
              <w:bottom w:w="40" w:type="dxa"/>
              <w:right w:w="20" w:type="dxa"/>
            </w:tcMar>
            <w:vAlign w:val="bottom"/>
          </w:tcPr>
          <w:p w14:paraId="1D024DEE" w14:textId="77777777" w:rsidR="004421F6" w:rsidRDefault="00F15622">
            <w:pPr>
              <w:spacing w:before="120" w:after="120"/>
              <w:textAlignment w:val="bottom"/>
            </w:pPr>
            <w:hyperlink r:id="rId9" w:anchor="i3e524f2e23844e81ba9d33a05ac3917c_10" w:history="1">
              <w:r>
                <w:rPr>
                  <w:rStyle w:val="a5"/>
                  <w:rFonts w:ascii="sans-serif" w:eastAsia="sans-serif" w:hAnsi="sans-serif" w:cs="sans-serif"/>
                  <w:color w:val="E87722"/>
                  <w:u w:val="none"/>
                </w:rPr>
                <w:t>1</w:t>
              </w:r>
            </w:hyperlink>
          </w:p>
        </w:tc>
      </w:tr>
      <w:tr w:rsidR="004421F6" w14:paraId="1D024DF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DF0" w14:textId="77777777" w:rsidR="004421F6" w:rsidRDefault="00F15622">
            <w:pPr>
              <w:textAlignment w:val="bottom"/>
            </w:pPr>
            <w:r>
              <w:rPr>
                <w:rFonts w:ascii="sans-serif" w:eastAsia="sans-serif" w:hAnsi="sans-serif" w:cs="sans-serif"/>
                <w:b/>
                <w:bCs/>
                <w:color w:val="000000"/>
                <w:sz w:val="18"/>
                <w:szCs w:val="18"/>
              </w:rPr>
              <w:t>ITEM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DF1" w14:textId="77777777" w:rsidR="004421F6" w:rsidRDefault="00F15622">
            <w:pPr>
              <w:textAlignment w:val="bottom"/>
            </w:pPr>
            <w:hyperlink r:id="rId10" w:anchor="i3e524f2e23844e81ba9d33a05ac3917c_13" w:history="1">
              <w:r>
                <w:rPr>
                  <w:rStyle w:val="a5"/>
                  <w:rFonts w:ascii="sans-serif" w:eastAsia="sans-serif" w:hAnsi="sans-serif" w:cs="sans-serif"/>
                  <w:color w:val="000000"/>
                  <w:sz w:val="16"/>
                  <w:szCs w:val="16"/>
                  <w:u w:val="none"/>
                </w:rPr>
                <w:t>Financial Statements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DF2" w14:textId="77777777" w:rsidR="004421F6" w:rsidRDefault="00F15622">
            <w:pPr>
              <w:textAlignment w:val="bottom"/>
            </w:pPr>
            <w:hyperlink r:id="rId11" w:anchor="i3e524f2e23844e81ba9d33a05ac3917c_13" w:history="1">
              <w:r>
                <w:rPr>
                  <w:rStyle w:val="a5"/>
                  <w:rFonts w:ascii="sans-serif" w:eastAsia="sans-serif" w:hAnsi="sans-serif" w:cs="sans-serif"/>
                  <w:color w:val="000000"/>
                  <w:sz w:val="16"/>
                  <w:szCs w:val="16"/>
                  <w:u w:val="none"/>
                </w:rPr>
                <w:t>1</w:t>
              </w:r>
            </w:hyperlink>
          </w:p>
        </w:tc>
        <w:tc>
          <w:tcPr>
            <w:tcW w:w="0" w:type="auto"/>
            <w:shd w:val="clear" w:color="auto" w:fill="auto"/>
          </w:tcPr>
          <w:p w14:paraId="1D024DF3" w14:textId="77777777" w:rsidR="004421F6" w:rsidRDefault="004421F6">
            <w:pPr>
              <w:rPr>
                <w:rFonts w:ascii="宋体"/>
              </w:rPr>
            </w:pPr>
          </w:p>
        </w:tc>
        <w:tc>
          <w:tcPr>
            <w:tcW w:w="0" w:type="auto"/>
            <w:shd w:val="clear" w:color="auto" w:fill="auto"/>
          </w:tcPr>
          <w:p w14:paraId="1D024DF4" w14:textId="77777777" w:rsidR="004421F6" w:rsidRDefault="004421F6">
            <w:pPr>
              <w:rPr>
                <w:rFonts w:ascii="宋体"/>
              </w:rPr>
            </w:pPr>
          </w:p>
        </w:tc>
        <w:tc>
          <w:tcPr>
            <w:tcW w:w="0" w:type="auto"/>
            <w:shd w:val="clear" w:color="auto" w:fill="auto"/>
          </w:tcPr>
          <w:p w14:paraId="1D024DF5" w14:textId="77777777" w:rsidR="004421F6" w:rsidRDefault="004421F6">
            <w:pPr>
              <w:rPr>
                <w:rFonts w:ascii="宋体"/>
              </w:rPr>
            </w:pPr>
          </w:p>
        </w:tc>
      </w:tr>
      <w:tr w:rsidR="004421F6" w14:paraId="1D024DFD" w14:textId="77777777">
        <w:tc>
          <w:tcPr>
            <w:tcW w:w="0" w:type="auto"/>
            <w:gridSpan w:val="3"/>
            <w:shd w:val="clear" w:color="auto" w:fill="auto"/>
            <w:tcMar>
              <w:left w:w="20" w:type="dxa"/>
              <w:right w:w="20" w:type="dxa"/>
            </w:tcMar>
            <w:vAlign w:val="bottom"/>
          </w:tcPr>
          <w:p w14:paraId="1D024DF7" w14:textId="77777777" w:rsidR="004421F6" w:rsidRDefault="004421F6">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DF8" w14:textId="77777777" w:rsidR="004421F6" w:rsidRDefault="00F15622">
            <w:pPr>
              <w:textAlignment w:val="bottom"/>
            </w:pPr>
            <w:hyperlink r:id="rId12" w:anchor="i3e524f2e23844e81ba9d33a05ac3917c_16" w:history="1">
              <w:r>
                <w:rPr>
                  <w:rStyle w:val="a5"/>
                  <w:rFonts w:ascii="sans-serif" w:eastAsia="sans-serif" w:hAnsi="sans-serif" w:cs="sans-serif"/>
                  <w:color w:val="000000"/>
                  <w:sz w:val="16"/>
                  <w:szCs w:val="16"/>
                  <w:u w:val="none"/>
                </w:rPr>
                <w:t xml:space="preserve">Unaudited Condensed </w:t>
              </w:r>
              <w:r>
                <w:rPr>
                  <w:rStyle w:val="a5"/>
                  <w:rFonts w:ascii="sans-serif" w:eastAsia="sans-serif" w:hAnsi="sans-serif" w:cs="sans-serif"/>
                  <w:color w:val="000000"/>
                  <w:sz w:val="16"/>
                  <w:szCs w:val="16"/>
                  <w:u w:val="none"/>
                </w:rPr>
                <w:t>Consolidated Statements of Income</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DF9" w14:textId="77777777" w:rsidR="004421F6" w:rsidRDefault="00F15622">
            <w:pPr>
              <w:textAlignment w:val="bottom"/>
            </w:pPr>
            <w:hyperlink r:id="rId13" w:anchor="i3e524f2e23844e81ba9d33a05ac3917c_16" w:history="1">
              <w:r>
                <w:rPr>
                  <w:rStyle w:val="a5"/>
                  <w:rFonts w:ascii="sans-serif" w:eastAsia="sans-serif" w:hAnsi="sans-serif" w:cs="sans-serif"/>
                  <w:color w:val="000000"/>
                  <w:sz w:val="16"/>
                  <w:szCs w:val="16"/>
                  <w:u w:val="none"/>
                </w:rPr>
                <w:t>1</w:t>
              </w:r>
            </w:hyperlink>
          </w:p>
        </w:tc>
        <w:tc>
          <w:tcPr>
            <w:tcW w:w="0" w:type="auto"/>
            <w:shd w:val="clear" w:color="auto" w:fill="auto"/>
          </w:tcPr>
          <w:p w14:paraId="1D024DFA" w14:textId="77777777" w:rsidR="004421F6" w:rsidRDefault="004421F6">
            <w:pPr>
              <w:rPr>
                <w:rFonts w:ascii="宋体"/>
              </w:rPr>
            </w:pPr>
          </w:p>
        </w:tc>
        <w:tc>
          <w:tcPr>
            <w:tcW w:w="0" w:type="auto"/>
            <w:shd w:val="clear" w:color="auto" w:fill="auto"/>
          </w:tcPr>
          <w:p w14:paraId="1D024DFB" w14:textId="77777777" w:rsidR="004421F6" w:rsidRDefault="004421F6">
            <w:pPr>
              <w:rPr>
                <w:rFonts w:ascii="宋体"/>
              </w:rPr>
            </w:pPr>
          </w:p>
        </w:tc>
        <w:tc>
          <w:tcPr>
            <w:tcW w:w="0" w:type="auto"/>
            <w:shd w:val="clear" w:color="auto" w:fill="auto"/>
          </w:tcPr>
          <w:p w14:paraId="1D024DFC" w14:textId="77777777" w:rsidR="004421F6" w:rsidRDefault="004421F6">
            <w:pPr>
              <w:rPr>
                <w:rFonts w:ascii="宋体"/>
              </w:rPr>
            </w:pPr>
          </w:p>
        </w:tc>
      </w:tr>
      <w:tr w:rsidR="004421F6" w14:paraId="1D024E04" w14:textId="77777777">
        <w:tc>
          <w:tcPr>
            <w:tcW w:w="0" w:type="auto"/>
            <w:gridSpan w:val="3"/>
            <w:shd w:val="clear" w:color="auto" w:fill="auto"/>
            <w:tcMar>
              <w:left w:w="20" w:type="dxa"/>
              <w:right w:w="20" w:type="dxa"/>
            </w:tcMar>
            <w:vAlign w:val="bottom"/>
          </w:tcPr>
          <w:p w14:paraId="1D024DFE" w14:textId="77777777" w:rsidR="004421F6" w:rsidRDefault="004421F6">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DFF" w14:textId="77777777" w:rsidR="004421F6" w:rsidRDefault="00F15622">
            <w:pPr>
              <w:textAlignment w:val="bottom"/>
            </w:pPr>
            <w:hyperlink r:id="rId14" w:anchor="i3e524f2e23844e81ba9d33a05ac3917c_19" w:history="1">
              <w:r>
                <w:rPr>
                  <w:rStyle w:val="a5"/>
                  <w:rFonts w:ascii="sans-serif" w:eastAsia="sans-serif" w:hAnsi="sans-serif" w:cs="sans-serif"/>
                  <w:color w:val="000000"/>
                  <w:sz w:val="16"/>
                  <w:szCs w:val="16"/>
                  <w:u w:val="none"/>
                </w:rPr>
                <w:t>Unaudited Condensed Consolidated Statements of Comprehensive Income</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00" w14:textId="77777777" w:rsidR="004421F6" w:rsidRDefault="00F15622">
            <w:pPr>
              <w:textAlignment w:val="bottom"/>
            </w:pPr>
            <w:hyperlink r:id="rId15" w:anchor="i3e524f2e23844e81ba9d33a05ac3917c_19" w:history="1">
              <w:r>
                <w:rPr>
                  <w:rStyle w:val="a5"/>
                  <w:rFonts w:ascii="sans-serif" w:eastAsia="sans-serif" w:hAnsi="sans-serif" w:cs="sans-serif"/>
                  <w:color w:val="000000"/>
                  <w:sz w:val="16"/>
                  <w:szCs w:val="16"/>
                  <w:u w:val="none"/>
                </w:rPr>
                <w:t>2</w:t>
              </w:r>
            </w:hyperlink>
          </w:p>
        </w:tc>
        <w:tc>
          <w:tcPr>
            <w:tcW w:w="0" w:type="auto"/>
            <w:shd w:val="clear" w:color="auto" w:fill="auto"/>
          </w:tcPr>
          <w:p w14:paraId="1D024E01" w14:textId="77777777" w:rsidR="004421F6" w:rsidRDefault="004421F6">
            <w:pPr>
              <w:rPr>
                <w:rFonts w:ascii="宋体"/>
              </w:rPr>
            </w:pPr>
          </w:p>
        </w:tc>
        <w:tc>
          <w:tcPr>
            <w:tcW w:w="0" w:type="auto"/>
            <w:shd w:val="clear" w:color="auto" w:fill="auto"/>
          </w:tcPr>
          <w:p w14:paraId="1D024E02" w14:textId="77777777" w:rsidR="004421F6" w:rsidRDefault="004421F6">
            <w:pPr>
              <w:rPr>
                <w:rFonts w:ascii="宋体"/>
              </w:rPr>
            </w:pPr>
          </w:p>
        </w:tc>
        <w:tc>
          <w:tcPr>
            <w:tcW w:w="0" w:type="auto"/>
            <w:shd w:val="clear" w:color="auto" w:fill="auto"/>
          </w:tcPr>
          <w:p w14:paraId="1D024E03" w14:textId="77777777" w:rsidR="004421F6" w:rsidRDefault="004421F6">
            <w:pPr>
              <w:rPr>
                <w:rFonts w:ascii="宋体"/>
              </w:rPr>
            </w:pPr>
          </w:p>
        </w:tc>
      </w:tr>
      <w:tr w:rsidR="004421F6" w14:paraId="1D024E0B" w14:textId="77777777">
        <w:tc>
          <w:tcPr>
            <w:tcW w:w="0" w:type="auto"/>
            <w:gridSpan w:val="3"/>
            <w:shd w:val="clear" w:color="auto" w:fill="auto"/>
            <w:tcMar>
              <w:left w:w="20" w:type="dxa"/>
              <w:right w:w="20" w:type="dxa"/>
            </w:tcMar>
            <w:vAlign w:val="bottom"/>
          </w:tcPr>
          <w:p w14:paraId="1D024E05" w14:textId="77777777" w:rsidR="004421F6" w:rsidRDefault="004421F6">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06" w14:textId="77777777" w:rsidR="004421F6" w:rsidRDefault="00F15622">
            <w:pPr>
              <w:textAlignment w:val="bottom"/>
            </w:pPr>
            <w:hyperlink r:id="rId16" w:anchor="i3e524f2e23844e81ba9d33a05ac3917c_22" w:history="1">
              <w:r>
                <w:rPr>
                  <w:rStyle w:val="a5"/>
                  <w:rFonts w:ascii="sans-serif" w:eastAsia="sans-serif" w:hAnsi="sans-serif" w:cs="sans-serif"/>
                  <w:color w:val="000000"/>
                  <w:sz w:val="16"/>
                  <w:szCs w:val="16"/>
                  <w:u w:val="none"/>
                </w:rPr>
                <w:t>Unaudited Condensed Consolidated Balance Sheets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07" w14:textId="77777777" w:rsidR="004421F6" w:rsidRDefault="00F15622">
            <w:pPr>
              <w:textAlignment w:val="bottom"/>
            </w:pPr>
            <w:hyperlink r:id="rId17" w:anchor="i3e524f2e23844e81ba9d33a05ac3917c_22" w:history="1">
              <w:r>
                <w:rPr>
                  <w:rStyle w:val="a5"/>
                  <w:rFonts w:ascii="sans-serif" w:eastAsia="sans-serif" w:hAnsi="sans-serif" w:cs="sans-serif"/>
                  <w:color w:val="000000"/>
                  <w:sz w:val="16"/>
                  <w:szCs w:val="16"/>
                  <w:u w:val="none"/>
                </w:rPr>
                <w:t>3</w:t>
              </w:r>
            </w:hyperlink>
          </w:p>
        </w:tc>
        <w:tc>
          <w:tcPr>
            <w:tcW w:w="0" w:type="auto"/>
            <w:shd w:val="clear" w:color="auto" w:fill="auto"/>
          </w:tcPr>
          <w:p w14:paraId="1D024E08" w14:textId="77777777" w:rsidR="004421F6" w:rsidRDefault="004421F6">
            <w:pPr>
              <w:rPr>
                <w:rFonts w:ascii="宋体"/>
              </w:rPr>
            </w:pPr>
          </w:p>
        </w:tc>
        <w:tc>
          <w:tcPr>
            <w:tcW w:w="0" w:type="auto"/>
            <w:shd w:val="clear" w:color="auto" w:fill="auto"/>
          </w:tcPr>
          <w:p w14:paraId="1D024E09" w14:textId="77777777" w:rsidR="004421F6" w:rsidRDefault="004421F6">
            <w:pPr>
              <w:rPr>
                <w:rFonts w:ascii="宋体"/>
              </w:rPr>
            </w:pPr>
          </w:p>
        </w:tc>
        <w:tc>
          <w:tcPr>
            <w:tcW w:w="0" w:type="auto"/>
            <w:shd w:val="clear" w:color="auto" w:fill="auto"/>
          </w:tcPr>
          <w:p w14:paraId="1D024E0A" w14:textId="77777777" w:rsidR="004421F6" w:rsidRDefault="004421F6">
            <w:pPr>
              <w:rPr>
                <w:rFonts w:ascii="宋体"/>
              </w:rPr>
            </w:pPr>
          </w:p>
        </w:tc>
      </w:tr>
      <w:tr w:rsidR="004421F6" w14:paraId="1D024E12" w14:textId="77777777">
        <w:tc>
          <w:tcPr>
            <w:tcW w:w="0" w:type="auto"/>
            <w:gridSpan w:val="3"/>
            <w:shd w:val="clear" w:color="auto" w:fill="auto"/>
            <w:tcMar>
              <w:left w:w="20" w:type="dxa"/>
              <w:right w:w="20" w:type="dxa"/>
            </w:tcMar>
            <w:vAlign w:val="bottom"/>
          </w:tcPr>
          <w:p w14:paraId="1D024E0C" w14:textId="77777777" w:rsidR="004421F6" w:rsidRDefault="004421F6">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0D" w14:textId="77777777" w:rsidR="004421F6" w:rsidRDefault="00F15622">
            <w:pPr>
              <w:textAlignment w:val="bottom"/>
            </w:pPr>
            <w:hyperlink r:id="rId18" w:anchor="i3e524f2e23844e81ba9d33a05ac3917c_28" w:history="1">
              <w:r>
                <w:rPr>
                  <w:rStyle w:val="a5"/>
                  <w:rFonts w:ascii="sans-serif" w:eastAsia="sans-serif" w:hAnsi="sans-serif" w:cs="sans-serif"/>
                  <w:color w:val="000000"/>
                  <w:sz w:val="16"/>
                  <w:szCs w:val="16"/>
                  <w:u w:val="none"/>
                </w:rPr>
                <w:t>Unaudited Condensed Consolidated Statements of Cash Flows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0E" w14:textId="77777777" w:rsidR="004421F6" w:rsidRDefault="00F15622">
            <w:pPr>
              <w:textAlignment w:val="bottom"/>
            </w:pPr>
            <w:hyperlink r:id="rId19" w:anchor="i3e524f2e23844e81ba9d33a05ac3917c_28" w:history="1">
              <w:r>
                <w:rPr>
                  <w:rStyle w:val="a5"/>
                  <w:rFonts w:ascii="sans-serif" w:eastAsia="sans-serif" w:hAnsi="sans-serif" w:cs="sans-serif"/>
                  <w:color w:val="000000"/>
                  <w:sz w:val="16"/>
                  <w:szCs w:val="16"/>
                  <w:u w:val="none"/>
                </w:rPr>
                <w:t>4</w:t>
              </w:r>
            </w:hyperlink>
          </w:p>
        </w:tc>
        <w:tc>
          <w:tcPr>
            <w:tcW w:w="0" w:type="auto"/>
            <w:shd w:val="clear" w:color="auto" w:fill="auto"/>
          </w:tcPr>
          <w:p w14:paraId="1D024E0F" w14:textId="77777777" w:rsidR="004421F6" w:rsidRDefault="004421F6">
            <w:pPr>
              <w:rPr>
                <w:rFonts w:ascii="宋体"/>
              </w:rPr>
            </w:pPr>
          </w:p>
        </w:tc>
        <w:tc>
          <w:tcPr>
            <w:tcW w:w="0" w:type="auto"/>
            <w:shd w:val="clear" w:color="auto" w:fill="auto"/>
          </w:tcPr>
          <w:p w14:paraId="1D024E10" w14:textId="77777777" w:rsidR="004421F6" w:rsidRDefault="004421F6">
            <w:pPr>
              <w:rPr>
                <w:rFonts w:ascii="宋体"/>
              </w:rPr>
            </w:pPr>
          </w:p>
        </w:tc>
        <w:tc>
          <w:tcPr>
            <w:tcW w:w="0" w:type="auto"/>
            <w:shd w:val="clear" w:color="auto" w:fill="auto"/>
          </w:tcPr>
          <w:p w14:paraId="1D024E11" w14:textId="77777777" w:rsidR="004421F6" w:rsidRDefault="004421F6">
            <w:pPr>
              <w:rPr>
                <w:rFonts w:ascii="宋体"/>
              </w:rPr>
            </w:pPr>
          </w:p>
        </w:tc>
      </w:tr>
      <w:tr w:rsidR="004421F6" w14:paraId="1D024E19" w14:textId="77777777">
        <w:tc>
          <w:tcPr>
            <w:tcW w:w="0" w:type="auto"/>
            <w:gridSpan w:val="3"/>
            <w:shd w:val="clear" w:color="auto" w:fill="auto"/>
            <w:tcMar>
              <w:left w:w="20" w:type="dxa"/>
              <w:right w:w="20" w:type="dxa"/>
            </w:tcMar>
            <w:vAlign w:val="bottom"/>
          </w:tcPr>
          <w:p w14:paraId="1D024E13" w14:textId="77777777" w:rsidR="004421F6" w:rsidRDefault="004421F6">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14" w14:textId="77777777" w:rsidR="004421F6" w:rsidRDefault="00F15622">
            <w:pPr>
              <w:textAlignment w:val="bottom"/>
            </w:pPr>
            <w:hyperlink r:id="rId20" w:anchor="i3e524f2e23844e81ba9d33a05ac3917c_31" w:history="1">
              <w:r>
                <w:rPr>
                  <w:rStyle w:val="a5"/>
                  <w:rFonts w:ascii="sans-serif" w:eastAsia="sans-serif" w:hAnsi="sans-serif" w:cs="sans-serif"/>
                  <w:color w:val="000000"/>
                  <w:sz w:val="16"/>
                  <w:szCs w:val="16"/>
                  <w:u w:val="none"/>
                </w:rPr>
                <w:t>Unaudited Condensed Consolidated Statements of Shareholders' Equity</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15" w14:textId="77777777" w:rsidR="004421F6" w:rsidRDefault="00F15622">
            <w:pPr>
              <w:textAlignment w:val="bottom"/>
            </w:pPr>
            <w:hyperlink r:id="rId21" w:anchor="i3e524f2e23844e81ba9d33a05ac3917c_31" w:history="1">
              <w:r>
                <w:rPr>
                  <w:rStyle w:val="a5"/>
                  <w:rFonts w:ascii="sans-serif" w:eastAsia="sans-serif" w:hAnsi="sans-serif" w:cs="sans-serif"/>
                  <w:color w:val="000000"/>
                  <w:sz w:val="16"/>
                  <w:szCs w:val="16"/>
                  <w:u w:val="none"/>
                </w:rPr>
                <w:t>5</w:t>
              </w:r>
            </w:hyperlink>
          </w:p>
        </w:tc>
        <w:tc>
          <w:tcPr>
            <w:tcW w:w="0" w:type="auto"/>
            <w:shd w:val="clear" w:color="auto" w:fill="auto"/>
          </w:tcPr>
          <w:p w14:paraId="1D024E16" w14:textId="77777777" w:rsidR="004421F6" w:rsidRDefault="004421F6">
            <w:pPr>
              <w:rPr>
                <w:rFonts w:ascii="宋体"/>
              </w:rPr>
            </w:pPr>
          </w:p>
        </w:tc>
        <w:tc>
          <w:tcPr>
            <w:tcW w:w="0" w:type="auto"/>
            <w:shd w:val="clear" w:color="auto" w:fill="auto"/>
          </w:tcPr>
          <w:p w14:paraId="1D024E17" w14:textId="77777777" w:rsidR="004421F6" w:rsidRDefault="004421F6">
            <w:pPr>
              <w:rPr>
                <w:rFonts w:ascii="宋体"/>
              </w:rPr>
            </w:pPr>
          </w:p>
        </w:tc>
        <w:tc>
          <w:tcPr>
            <w:tcW w:w="0" w:type="auto"/>
            <w:shd w:val="clear" w:color="auto" w:fill="auto"/>
          </w:tcPr>
          <w:p w14:paraId="1D024E18" w14:textId="77777777" w:rsidR="004421F6" w:rsidRDefault="004421F6">
            <w:pPr>
              <w:rPr>
                <w:rFonts w:ascii="宋体"/>
              </w:rPr>
            </w:pPr>
          </w:p>
        </w:tc>
      </w:tr>
      <w:tr w:rsidR="004421F6" w14:paraId="1D024E20" w14:textId="77777777">
        <w:tc>
          <w:tcPr>
            <w:tcW w:w="0" w:type="auto"/>
            <w:gridSpan w:val="3"/>
            <w:shd w:val="clear" w:color="auto" w:fill="auto"/>
            <w:tcMar>
              <w:left w:w="20" w:type="dxa"/>
              <w:right w:w="20" w:type="dxa"/>
            </w:tcMar>
            <w:vAlign w:val="bottom"/>
          </w:tcPr>
          <w:p w14:paraId="1D024E1A" w14:textId="77777777" w:rsidR="004421F6" w:rsidRDefault="004421F6">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1B" w14:textId="77777777" w:rsidR="004421F6" w:rsidRDefault="00F15622">
            <w:pPr>
              <w:textAlignment w:val="bottom"/>
            </w:pPr>
            <w:hyperlink r:id="rId22" w:anchor="i3e524f2e23844e81ba9d33a05ac3917c_37" w:history="1">
              <w:r>
                <w:rPr>
                  <w:rStyle w:val="a5"/>
                  <w:rFonts w:ascii="sans-serif" w:eastAsia="sans-serif" w:hAnsi="sans-serif" w:cs="sans-serif"/>
                  <w:color w:val="000000"/>
                  <w:sz w:val="16"/>
                  <w:szCs w:val="16"/>
                  <w:u w:val="none"/>
                </w:rPr>
                <w:t xml:space="preserve">Notes to the Unaudited Condensed Consolidated Financial Statements </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1C" w14:textId="77777777" w:rsidR="004421F6" w:rsidRDefault="00F15622">
            <w:pPr>
              <w:textAlignment w:val="bottom"/>
            </w:pPr>
            <w:hyperlink r:id="rId23" w:anchor="i3e524f2e23844e81ba9d33a05ac3917c_37" w:history="1">
              <w:r>
                <w:rPr>
                  <w:rStyle w:val="a5"/>
                  <w:rFonts w:ascii="sans-serif" w:eastAsia="sans-serif" w:hAnsi="sans-serif" w:cs="sans-serif"/>
                  <w:color w:val="000000"/>
                  <w:sz w:val="16"/>
                  <w:szCs w:val="16"/>
                  <w:u w:val="none"/>
                </w:rPr>
                <w:t>6</w:t>
              </w:r>
            </w:hyperlink>
          </w:p>
        </w:tc>
        <w:tc>
          <w:tcPr>
            <w:tcW w:w="0" w:type="auto"/>
            <w:shd w:val="clear" w:color="auto" w:fill="auto"/>
          </w:tcPr>
          <w:p w14:paraId="1D024E1D" w14:textId="77777777" w:rsidR="004421F6" w:rsidRDefault="004421F6">
            <w:pPr>
              <w:rPr>
                <w:rFonts w:ascii="宋体"/>
              </w:rPr>
            </w:pPr>
          </w:p>
        </w:tc>
        <w:tc>
          <w:tcPr>
            <w:tcW w:w="0" w:type="auto"/>
            <w:shd w:val="clear" w:color="auto" w:fill="auto"/>
          </w:tcPr>
          <w:p w14:paraId="1D024E1E" w14:textId="77777777" w:rsidR="004421F6" w:rsidRDefault="004421F6">
            <w:pPr>
              <w:rPr>
                <w:rFonts w:ascii="宋体"/>
              </w:rPr>
            </w:pPr>
          </w:p>
        </w:tc>
        <w:tc>
          <w:tcPr>
            <w:tcW w:w="0" w:type="auto"/>
            <w:shd w:val="clear" w:color="auto" w:fill="auto"/>
          </w:tcPr>
          <w:p w14:paraId="1D024E1F" w14:textId="77777777" w:rsidR="004421F6" w:rsidRDefault="004421F6">
            <w:pPr>
              <w:rPr>
                <w:rFonts w:ascii="宋体"/>
              </w:rPr>
            </w:pPr>
          </w:p>
        </w:tc>
      </w:tr>
      <w:tr w:rsidR="004421F6" w14:paraId="1D024E27" w14:textId="77777777">
        <w:tc>
          <w:tcPr>
            <w:tcW w:w="0" w:type="auto"/>
            <w:gridSpan w:val="3"/>
            <w:shd w:val="clear" w:color="auto" w:fill="auto"/>
            <w:tcMar>
              <w:top w:w="40" w:type="dxa"/>
              <w:left w:w="20" w:type="dxa"/>
              <w:bottom w:w="40" w:type="dxa"/>
              <w:right w:w="20" w:type="dxa"/>
            </w:tcMar>
            <w:vAlign w:val="bottom"/>
          </w:tcPr>
          <w:p w14:paraId="1D024E21" w14:textId="77777777" w:rsidR="004421F6" w:rsidRDefault="00F15622">
            <w:pPr>
              <w:textAlignment w:val="bottom"/>
            </w:pPr>
            <w:hyperlink r:id="rId24" w:anchor="i3e524f2e23844e81ba9d33a05ac3917c_160" w:history="1">
              <w:r>
                <w:rPr>
                  <w:rStyle w:val="a5"/>
                  <w:rFonts w:ascii="sans-serif" w:eastAsia="sans-serif" w:hAnsi="sans-serif" w:cs="sans-serif"/>
                  <w:b/>
                  <w:bCs/>
                  <w:color w:val="000000"/>
                  <w:sz w:val="18"/>
                  <w:szCs w:val="18"/>
                  <w:u w:val="none"/>
                </w:rPr>
                <w:t>ITEM </w:t>
              </w:r>
            </w:hyperlink>
            <w:r>
              <w:rPr>
                <w:rFonts w:ascii="sans-serif" w:eastAsia="sans-serif" w:hAnsi="sans-serif" w:cs="sans-serif"/>
                <w:b/>
                <w:bCs/>
                <w:color w:val="000000"/>
                <w:sz w:val="18"/>
                <w:szCs w:val="18"/>
              </w:rPr>
              <w:t>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22" w14:textId="77777777" w:rsidR="004421F6" w:rsidRDefault="00F15622">
            <w:pPr>
              <w:textAlignment w:val="bottom"/>
            </w:pPr>
            <w:hyperlink r:id="rId25" w:anchor="i3e524f2e23844e81ba9d33a05ac3917c_100" w:history="1">
              <w:r>
                <w:rPr>
                  <w:rStyle w:val="a5"/>
                  <w:rFonts w:ascii="sans-serif" w:eastAsia="sans-serif" w:hAnsi="sans-serif" w:cs="sans-serif"/>
                  <w:color w:val="000000"/>
                  <w:sz w:val="16"/>
                  <w:szCs w:val="16"/>
                  <w:u w:val="none"/>
                </w:rPr>
                <w:t>Management's Discussion and Analysis of Financial Condition and Results of Operations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23" w14:textId="77777777" w:rsidR="004421F6" w:rsidRDefault="00F15622">
            <w:pPr>
              <w:textAlignment w:val="bottom"/>
            </w:pPr>
            <w:hyperlink r:id="rId26" w:anchor="i3e524f2e23844e81ba9d33a05ac3917c_100" w:history="1">
              <w:r>
                <w:rPr>
                  <w:rStyle w:val="a5"/>
                  <w:rFonts w:ascii="sans-serif" w:eastAsia="sans-serif" w:hAnsi="sans-serif" w:cs="sans-serif"/>
                  <w:color w:val="000000"/>
                  <w:sz w:val="16"/>
                  <w:szCs w:val="16"/>
                  <w:u w:val="none"/>
                </w:rPr>
                <w:t>21</w:t>
              </w:r>
            </w:hyperlink>
          </w:p>
        </w:tc>
        <w:tc>
          <w:tcPr>
            <w:tcW w:w="0" w:type="auto"/>
            <w:shd w:val="clear" w:color="auto" w:fill="auto"/>
          </w:tcPr>
          <w:p w14:paraId="1D024E24" w14:textId="77777777" w:rsidR="004421F6" w:rsidRDefault="004421F6">
            <w:pPr>
              <w:rPr>
                <w:rFonts w:ascii="宋体"/>
              </w:rPr>
            </w:pPr>
          </w:p>
        </w:tc>
        <w:tc>
          <w:tcPr>
            <w:tcW w:w="0" w:type="auto"/>
            <w:shd w:val="clear" w:color="auto" w:fill="auto"/>
          </w:tcPr>
          <w:p w14:paraId="1D024E25" w14:textId="77777777" w:rsidR="004421F6" w:rsidRDefault="004421F6">
            <w:pPr>
              <w:rPr>
                <w:rFonts w:ascii="宋体"/>
              </w:rPr>
            </w:pPr>
          </w:p>
        </w:tc>
        <w:tc>
          <w:tcPr>
            <w:tcW w:w="0" w:type="auto"/>
            <w:shd w:val="clear" w:color="auto" w:fill="auto"/>
          </w:tcPr>
          <w:p w14:paraId="1D024E26" w14:textId="77777777" w:rsidR="004421F6" w:rsidRDefault="004421F6">
            <w:pPr>
              <w:rPr>
                <w:rFonts w:ascii="宋体"/>
              </w:rPr>
            </w:pPr>
          </w:p>
        </w:tc>
      </w:tr>
      <w:tr w:rsidR="004421F6" w14:paraId="1D024E2E"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28" w14:textId="77777777" w:rsidR="004421F6" w:rsidRDefault="00F15622">
            <w:pPr>
              <w:textAlignment w:val="bottom"/>
            </w:pPr>
            <w:r>
              <w:rPr>
                <w:rFonts w:ascii="sans-serif" w:eastAsia="sans-serif" w:hAnsi="sans-serif" w:cs="sans-serif"/>
                <w:b/>
                <w:bCs/>
                <w:color w:val="000000"/>
                <w:sz w:val="18"/>
                <w:szCs w:val="18"/>
              </w:rPr>
              <w:t>ITEM 3.</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29" w14:textId="77777777" w:rsidR="004421F6" w:rsidRDefault="00F15622">
            <w:pPr>
              <w:textAlignment w:val="bottom"/>
            </w:pPr>
            <w:hyperlink r:id="rId27" w:anchor="i3e524f2e23844e81ba9d33a05ac3917c_145" w:history="1">
              <w:r>
                <w:rPr>
                  <w:rStyle w:val="a5"/>
                  <w:rFonts w:ascii="sans-serif" w:eastAsia="sans-serif" w:hAnsi="sans-serif" w:cs="sans-serif"/>
                  <w:color w:val="000000"/>
                  <w:sz w:val="16"/>
                  <w:szCs w:val="16"/>
                  <w:u w:val="none"/>
                </w:rPr>
                <w:t>Quantitative and Qualitative Disclosures about Market Risk</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2A" w14:textId="77777777" w:rsidR="004421F6" w:rsidRDefault="00F15622">
            <w:pPr>
              <w:textAlignment w:val="bottom"/>
            </w:pPr>
            <w:hyperlink r:id="rId28" w:anchor="i3e524f2e23844e81ba9d33a05ac3917c_145" w:history="1">
              <w:r>
                <w:rPr>
                  <w:rStyle w:val="a5"/>
                  <w:rFonts w:ascii="sans-serif" w:eastAsia="sans-serif" w:hAnsi="sans-serif" w:cs="sans-serif"/>
                  <w:color w:val="000000"/>
                  <w:sz w:val="16"/>
                  <w:szCs w:val="16"/>
                  <w:u w:val="none"/>
                </w:rPr>
                <w:t>37</w:t>
              </w:r>
            </w:hyperlink>
          </w:p>
        </w:tc>
        <w:tc>
          <w:tcPr>
            <w:tcW w:w="0" w:type="auto"/>
            <w:shd w:val="clear" w:color="auto" w:fill="auto"/>
          </w:tcPr>
          <w:p w14:paraId="1D024E2B" w14:textId="77777777" w:rsidR="004421F6" w:rsidRDefault="004421F6">
            <w:pPr>
              <w:rPr>
                <w:rFonts w:ascii="宋体"/>
              </w:rPr>
            </w:pPr>
          </w:p>
        </w:tc>
        <w:tc>
          <w:tcPr>
            <w:tcW w:w="0" w:type="auto"/>
            <w:shd w:val="clear" w:color="auto" w:fill="auto"/>
          </w:tcPr>
          <w:p w14:paraId="1D024E2C" w14:textId="77777777" w:rsidR="004421F6" w:rsidRDefault="004421F6">
            <w:pPr>
              <w:rPr>
                <w:rFonts w:ascii="宋体"/>
              </w:rPr>
            </w:pPr>
          </w:p>
        </w:tc>
        <w:tc>
          <w:tcPr>
            <w:tcW w:w="0" w:type="auto"/>
            <w:shd w:val="clear" w:color="auto" w:fill="auto"/>
          </w:tcPr>
          <w:p w14:paraId="1D024E2D" w14:textId="77777777" w:rsidR="004421F6" w:rsidRDefault="004421F6">
            <w:pPr>
              <w:rPr>
                <w:rFonts w:ascii="宋体"/>
              </w:rPr>
            </w:pPr>
          </w:p>
        </w:tc>
      </w:tr>
      <w:tr w:rsidR="004421F6" w14:paraId="1D024E3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2F" w14:textId="77777777" w:rsidR="004421F6" w:rsidRDefault="00F15622">
            <w:pPr>
              <w:textAlignment w:val="bottom"/>
            </w:pPr>
            <w:r>
              <w:rPr>
                <w:rFonts w:ascii="sans-serif" w:eastAsia="sans-serif" w:hAnsi="sans-serif" w:cs="sans-serif"/>
                <w:b/>
                <w:bCs/>
                <w:color w:val="000000"/>
                <w:sz w:val="18"/>
                <w:szCs w:val="18"/>
              </w:rPr>
              <w:t>ITEM 4.</w:t>
            </w:r>
          </w:p>
        </w:tc>
        <w:tc>
          <w:tcPr>
            <w:tcW w:w="0" w:type="auto"/>
            <w:gridSpan w:val="3"/>
            <w:tcBorders>
              <w:top w:val="single" w:sz="8" w:space="0" w:color="808080"/>
              <w:bottom w:val="single" w:sz="8" w:space="0" w:color="808080"/>
            </w:tcBorders>
            <w:shd w:val="clear" w:color="auto" w:fill="auto"/>
            <w:tcMar>
              <w:top w:w="40" w:type="dxa"/>
              <w:left w:w="20" w:type="dxa"/>
              <w:bottom w:w="40" w:type="dxa"/>
              <w:right w:w="20" w:type="dxa"/>
            </w:tcMar>
            <w:vAlign w:val="bottom"/>
          </w:tcPr>
          <w:p w14:paraId="1D024E30" w14:textId="77777777" w:rsidR="004421F6" w:rsidRDefault="00F15622">
            <w:pPr>
              <w:textAlignment w:val="bottom"/>
            </w:pPr>
            <w:hyperlink r:id="rId29" w:anchor="i3e524f2e23844e81ba9d33a05ac3917c_148" w:history="1">
              <w:r>
                <w:rPr>
                  <w:rStyle w:val="a5"/>
                  <w:rFonts w:ascii="sans-serif" w:eastAsia="sans-serif" w:hAnsi="sans-serif" w:cs="sans-serif"/>
                  <w:color w:val="000000"/>
                  <w:sz w:val="16"/>
                  <w:szCs w:val="16"/>
                  <w:u w:val="none"/>
                </w:rPr>
                <w:t>Controls and Procedures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31" w14:textId="77777777" w:rsidR="004421F6" w:rsidRDefault="00F15622">
            <w:pPr>
              <w:textAlignment w:val="bottom"/>
            </w:pPr>
            <w:hyperlink r:id="rId30" w:anchor="i3e524f2e23844e81ba9d33a05ac3917c_148" w:history="1">
              <w:r>
                <w:rPr>
                  <w:rStyle w:val="a5"/>
                  <w:rFonts w:ascii="sans-serif" w:eastAsia="sans-serif" w:hAnsi="sans-serif" w:cs="sans-serif"/>
                  <w:color w:val="000000"/>
                  <w:sz w:val="16"/>
                  <w:szCs w:val="16"/>
                  <w:u w:val="none"/>
                </w:rPr>
                <w:t>37</w:t>
              </w:r>
            </w:hyperlink>
          </w:p>
        </w:tc>
        <w:tc>
          <w:tcPr>
            <w:tcW w:w="0" w:type="auto"/>
            <w:shd w:val="clear" w:color="auto" w:fill="auto"/>
          </w:tcPr>
          <w:p w14:paraId="1D024E32" w14:textId="77777777" w:rsidR="004421F6" w:rsidRDefault="004421F6">
            <w:pPr>
              <w:rPr>
                <w:rFonts w:ascii="宋体"/>
              </w:rPr>
            </w:pPr>
          </w:p>
        </w:tc>
        <w:tc>
          <w:tcPr>
            <w:tcW w:w="0" w:type="auto"/>
            <w:shd w:val="clear" w:color="auto" w:fill="auto"/>
          </w:tcPr>
          <w:p w14:paraId="1D024E33" w14:textId="77777777" w:rsidR="004421F6" w:rsidRDefault="004421F6">
            <w:pPr>
              <w:rPr>
                <w:rFonts w:ascii="宋体"/>
              </w:rPr>
            </w:pPr>
          </w:p>
        </w:tc>
        <w:tc>
          <w:tcPr>
            <w:tcW w:w="0" w:type="auto"/>
            <w:shd w:val="clear" w:color="auto" w:fill="auto"/>
          </w:tcPr>
          <w:p w14:paraId="1D024E34" w14:textId="77777777" w:rsidR="004421F6" w:rsidRDefault="004421F6">
            <w:pPr>
              <w:rPr>
                <w:rFonts w:ascii="宋体"/>
              </w:rPr>
            </w:pPr>
          </w:p>
        </w:tc>
      </w:tr>
      <w:tr w:rsidR="004421F6" w14:paraId="1D024E39" w14:textId="77777777">
        <w:tc>
          <w:tcPr>
            <w:tcW w:w="0" w:type="auto"/>
            <w:gridSpan w:val="6"/>
            <w:tcBorders>
              <w:top w:val="single" w:sz="8" w:space="0" w:color="808080"/>
            </w:tcBorders>
            <w:shd w:val="clear" w:color="auto" w:fill="auto"/>
            <w:tcMar>
              <w:top w:w="40" w:type="dxa"/>
              <w:left w:w="20" w:type="dxa"/>
              <w:bottom w:w="40" w:type="dxa"/>
              <w:right w:w="20" w:type="dxa"/>
            </w:tcMar>
            <w:vAlign w:val="bottom"/>
          </w:tcPr>
          <w:p w14:paraId="1D024E36" w14:textId="77777777" w:rsidR="004421F6" w:rsidRDefault="00F15622">
            <w:pPr>
              <w:spacing w:before="120" w:after="120"/>
              <w:textAlignment w:val="bottom"/>
            </w:pPr>
            <w:hyperlink r:id="rId31" w:anchor="i3e524f2e23844e81ba9d33a05ac3917c_154" w:history="1">
              <w:r>
                <w:rPr>
                  <w:rStyle w:val="a5"/>
                  <w:rFonts w:ascii="sans-serif" w:eastAsia="sans-serif" w:hAnsi="sans-serif" w:cs="sans-serif"/>
                  <w:color w:val="E87722"/>
                  <w:u w:val="none"/>
                </w:rPr>
                <w:t>PART II</w:t>
              </w:r>
            </w:hyperlink>
            <w:r>
              <w:rPr>
                <w:rFonts w:ascii="sans-serif" w:eastAsia="sans-serif" w:hAnsi="sans-serif" w:cs="sans-serif"/>
                <w:color w:val="E87722"/>
              </w:rPr>
              <w:t xml:space="preserve"> - OTHER INFORMATION</w:t>
            </w:r>
          </w:p>
        </w:tc>
        <w:tc>
          <w:tcPr>
            <w:tcW w:w="0" w:type="auto"/>
            <w:gridSpan w:val="3"/>
            <w:shd w:val="clear" w:color="auto" w:fill="auto"/>
          </w:tcPr>
          <w:p w14:paraId="1D024E37" w14:textId="77777777" w:rsidR="004421F6" w:rsidRDefault="004421F6">
            <w:pPr>
              <w:rPr>
                <w:rFonts w:ascii="宋体"/>
                <w:vanish/>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38" w14:textId="77777777" w:rsidR="004421F6" w:rsidRDefault="00F15622">
            <w:pPr>
              <w:spacing w:before="120" w:after="120"/>
              <w:textAlignment w:val="bottom"/>
            </w:pPr>
            <w:hyperlink r:id="rId32" w:anchor="i3e524f2e23844e81ba9d33a05ac3917c_154" w:history="1">
              <w:r>
                <w:rPr>
                  <w:rStyle w:val="a5"/>
                  <w:rFonts w:ascii="sans-serif" w:eastAsia="sans-serif" w:hAnsi="sans-serif" w:cs="sans-serif"/>
                  <w:color w:val="E87722"/>
                  <w:u w:val="none"/>
                </w:rPr>
                <w:t>39</w:t>
              </w:r>
            </w:hyperlink>
          </w:p>
        </w:tc>
      </w:tr>
      <w:tr w:rsidR="004421F6" w14:paraId="1D024E4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E3A" w14:textId="77777777" w:rsidR="004421F6" w:rsidRDefault="00F15622">
            <w:pPr>
              <w:textAlignment w:val="bottom"/>
            </w:pPr>
            <w:r>
              <w:rPr>
                <w:rFonts w:ascii="sans-serif" w:eastAsia="sans-serif" w:hAnsi="sans-serif" w:cs="sans-serif"/>
                <w:b/>
                <w:bCs/>
                <w:color w:val="000000"/>
                <w:sz w:val="18"/>
                <w:szCs w:val="18"/>
              </w:rPr>
              <w:t>ITEM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E3B" w14:textId="77777777" w:rsidR="004421F6" w:rsidRDefault="00F15622">
            <w:pPr>
              <w:textAlignment w:val="bottom"/>
            </w:pPr>
            <w:hyperlink r:id="rId33" w:anchor="i3e524f2e23844e81ba9d33a05ac3917c_157" w:history="1">
              <w:r>
                <w:rPr>
                  <w:rStyle w:val="a5"/>
                  <w:rFonts w:ascii="sans-serif" w:eastAsia="sans-serif" w:hAnsi="sans-serif" w:cs="sans-serif"/>
                  <w:color w:val="000000"/>
                  <w:sz w:val="16"/>
                  <w:szCs w:val="16"/>
                  <w:u w:val="none"/>
                </w:rPr>
                <w:t>Legal Proceedings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E3C" w14:textId="77777777" w:rsidR="004421F6" w:rsidRDefault="00F15622">
            <w:pPr>
              <w:textAlignment w:val="bottom"/>
            </w:pPr>
            <w:hyperlink r:id="rId34" w:anchor="i3e524f2e23844e81ba9d33a05ac3917c_157" w:history="1">
              <w:r>
                <w:rPr>
                  <w:rStyle w:val="a5"/>
                  <w:rFonts w:ascii="sans-serif" w:eastAsia="sans-serif" w:hAnsi="sans-serif" w:cs="sans-serif"/>
                  <w:color w:val="000000"/>
                  <w:sz w:val="16"/>
                  <w:szCs w:val="16"/>
                  <w:u w:val="none"/>
                </w:rPr>
                <w:t>39</w:t>
              </w:r>
            </w:hyperlink>
          </w:p>
        </w:tc>
        <w:tc>
          <w:tcPr>
            <w:tcW w:w="0" w:type="auto"/>
            <w:shd w:val="clear" w:color="auto" w:fill="auto"/>
          </w:tcPr>
          <w:p w14:paraId="1D024E3D" w14:textId="77777777" w:rsidR="004421F6" w:rsidRDefault="004421F6">
            <w:pPr>
              <w:rPr>
                <w:rFonts w:ascii="宋体"/>
              </w:rPr>
            </w:pPr>
          </w:p>
        </w:tc>
        <w:tc>
          <w:tcPr>
            <w:tcW w:w="0" w:type="auto"/>
            <w:shd w:val="clear" w:color="auto" w:fill="auto"/>
          </w:tcPr>
          <w:p w14:paraId="1D024E3E" w14:textId="77777777" w:rsidR="004421F6" w:rsidRDefault="004421F6">
            <w:pPr>
              <w:rPr>
                <w:rFonts w:ascii="宋体"/>
              </w:rPr>
            </w:pPr>
          </w:p>
        </w:tc>
        <w:tc>
          <w:tcPr>
            <w:tcW w:w="0" w:type="auto"/>
            <w:shd w:val="clear" w:color="auto" w:fill="auto"/>
          </w:tcPr>
          <w:p w14:paraId="1D024E3F" w14:textId="77777777" w:rsidR="004421F6" w:rsidRDefault="004421F6">
            <w:pPr>
              <w:rPr>
                <w:rFonts w:ascii="宋体"/>
              </w:rPr>
            </w:pPr>
          </w:p>
        </w:tc>
      </w:tr>
      <w:tr w:rsidR="004421F6" w14:paraId="1D024E4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41" w14:textId="77777777" w:rsidR="004421F6" w:rsidRDefault="00F15622">
            <w:pPr>
              <w:textAlignment w:val="bottom"/>
            </w:pPr>
            <w:r>
              <w:rPr>
                <w:rFonts w:ascii="sans-serif" w:eastAsia="sans-serif" w:hAnsi="sans-serif" w:cs="sans-serif"/>
                <w:b/>
                <w:bCs/>
                <w:color w:val="000000"/>
                <w:sz w:val="18"/>
                <w:szCs w:val="18"/>
              </w:rPr>
              <w:t>ITEM 1A.</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42" w14:textId="77777777" w:rsidR="004421F6" w:rsidRDefault="00F15622">
            <w:pPr>
              <w:textAlignment w:val="bottom"/>
            </w:pPr>
            <w:hyperlink r:id="rId35" w:anchor="i3e524f2e23844e81ba9d33a05ac3917c_160" w:history="1">
              <w:r>
                <w:rPr>
                  <w:rStyle w:val="a5"/>
                  <w:rFonts w:ascii="sans-serif" w:eastAsia="sans-serif" w:hAnsi="sans-serif" w:cs="sans-serif"/>
                  <w:color w:val="000000"/>
                  <w:sz w:val="16"/>
                  <w:szCs w:val="16"/>
                  <w:u w:val="none"/>
                </w:rPr>
                <w:t>Risk Factors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43" w14:textId="77777777" w:rsidR="004421F6" w:rsidRDefault="00F15622">
            <w:pPr>
              <w:textAlignment w:val="bottom"/>
            </w:pPr>
            <w:hyperlink r:id="rId36" w:anchor="i3e524f2e23844e81ba9d33a05ac3917c_160" w:history="1">
              <w:r>
                <w:rPr>
                  <w:rStyle w:val="a5"/>
                  <w:rFonts w:ascii="sans-serif" w:eastAsia="sans-serif" w:hAnsi="sans-serif" w:cs="sans-serif"/>
                  <w:color w:val="000000"/>
                  <w:sz w:val="16"/>
                  <w:szCs w:val="16"/>
                  <w:u w:val="none"/>
                </w:rPr>
                <w:t>39</w:t>
              </w:r>
            </w:hyperlink>
          </w:p>
        </w:tc>
        <w:tc>
          <w:tcPr>
            <w:tcW w:w="0" w:type="auto"/>
            <w:shd w:val="clear" w:color="auto" w:fill="auto"/>
          </w:tcPr>
          <w:p w14:paraId="1D024E44" w14:textId="77777777" w:rsidR="004421F6" w:rsidRDefault="004421F6">
            <w:pPr>
              <w:rPr>
                <w:rFonts w:ascii="宋体"/>
              </w:rPr>
            </w:pPr>
          </w:p>
        </w:tc>
        <w:tc>
          <w:tcPr>
            <w:tcW w:w="0" w:type="auto"/>
            <w:shd w:val="clear" w:color="auto" w:fill="auto"/>
          </w:tcPr>
          <w:p w14:paraId="1D024E45" w14:textId="77777777" w:rsidR="004421F6" w:rsidRDefault="004421F6">
            <w:pPr>
              <w:rPr>
                <w:rFonts w:ascii="宋体"/>
              </w:rPr>
            </w:pPr>
          </w:p>
        </w:tc>
        <w:tc>
          <w:tcPr>
            <w:tcW w:w="0" w:type="auto"/>
            <w:shd w:val="clear" w:color="auto" w:fill="auto"/>
          </w:tcPr>
          <w:p w14:paraId="1D024E46" w14:textId="77777777" w:rsidR="004421F6" w:rsidRDefault="004421F6">
            <w:pPr>
              <w:rPr>
                <w:rFonts w:ascii="宋体"/>
              </w:rPr>
            </w:pPr>
          </w:p>
        </w:tc>
      </w:tr>
      <w:tr w:rsidR="004421F6" w14:paraId="1D024E4E"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48" w14:textId="77777777" w:rsidR="004421F6" w:rsidRDefault="00F15622">
            <w:pPr>
              <w:textAlignment w:val="bottom"/>
            </w:pPr>
            <w:r>
              <w:rPr>
                <w:rFonts w:ascii="sans-serif" w:eastAsia="sans-serif" w:hAnsi="sans-serif" w:cs="sans-serif"/>
                <w:b/>
                <w:bCs/>
                <w:color w:val="000000"/>
                <w:sz w:val="18"/>
                <w:szCs w:val="18"/>
              </w:rPr>
              <w:t>ITEM 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49" w14:textId="77777777" w:rsidR="004421F6" w:rsidRDefault="00F15622">
            <w:pPr>
              <w:textAlignment w:val="bottom"/>
            </w:pPr>
            <w:hyperlink r:id="rId37" w:anchor="i3e524f2e23844e81ba9d33a05ac3917c_163" w:history="1">
              <w:r>
                <w:rPr>
                  <w:rStyle w:val="a5"/>
                  <w:rFonts w:ascii="sans-serif" w:eastAsia="sans-serif" w:hAnsi="sans-serif" w:cs="sans-serif"/>
                  <w:color w:val="000000"/>
                  <w:sz w:val="16"/>
                  <w:szCs w:val="16"/>
                  <w:u w:val="none"/>
                </w:rPr>
                <w:t>Unregistered Sales of Equity Securities and Use of Proceeds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4A" w14:textId="77777777" w:rsidR="004421F6" w:rsidRDefault="00F15622">
            <w:pPr>
              <w:textAlignment w:val="bottom"/>
            </w:pPr>
            <w:hyperlink r:id="rId38" w:anchor="i3e524f2e23844e81ba9d33a05ac3917c_163" w:history="1">
              <w:r>
                <w:rPr>
                  <w:rStyle w:val="a5"/>
                  <w:rFonts w:ascii="sans-serif" w:eastAsia="sans-serif" w:hAnsi="sans-serif" w:cs="sans-serif"/>
                  <w:color w:val="000000"/>
                  <w:sz w:val="16"/>
                  <w:szCs w:val="16"/>
                  <w:u w:val="none"/>
                </w:rPr>
                <w:t>40</w:t>
              </w:r>
            </w:hyperlink>
          </w:p>
        </w:tc>
        <w:tc>
          <w:tcPr>
            <w:tcW w:w="0" w:type="auto"/>
            <w:shd w:val="clear" w:color="auto" w:fill="auto"/>
          </w:tcPr>
          <w:p w14:paraId="1D024E4B" w14:textId="77777777" w:rsidR="004421F6" w:rsidRDefault="004421F6">
            <w:pPr>
              <w:rPr>
                <w:rFonts w:ascii="宋体"/>
              </w:rPr>
            </w:pPr>
          </w:p>
        </w:tc>
        <w:tc>
          <w:tcPr>
            <w:tcW w:w="0" w:type="auto"/>
            <w:shd w:val="clear" w:color="auto" w:fill="auto"/>
          </w:tcPr>
          <w:p w14:paraId="1D024E4C" w14:textId="77777777" w:rsidR="004421F6" w:rsidRDefault="004421F6">
            <w:pPr>
              <w:rPr>
                <w:rFonts w:ascii="宋体"/>
              </w:rPr>
            </w:pPr>
          </w:p>
        </w:tc>
        <w:tc>
          <w:tcPr>
            <w:tcW w:w="0" w:type="auto"/>
            <w:shd w:val="clear" w:color="auto" w:fill="auto"/>
          </w:tcPr>
          <w:p w14:paraId="1D024E4D" w14:textId="77777777" w:rsidR="004421F6" w:rsidRDefault="004421F6">
            <w:pPr>
              <w:rPr>
                <w:rFonts w:ascii="宋体"/>
              </w:rPr>
            </w:pPr>
          </w:p>
        </w:tc>
      </w:tr>
      <w:tr w:rsidR="004421F6" w14:paraId="1D024E5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4F" w14:textId="77777777" w:rsidR="004421F6" w:rsidRDefault="00F15622">
            <w:pPr>
              <w:textAlignment w:val="bottom"/>
            </w:pPr>
            <w:r>
              <w:rPr>
                <w:rFonts w:ascii="sans-serif" w:eastAsia="sans-serif" w:hAnsi="sans-serif" w:cs="sans-serif"/>
                <w:b/>
                <w:bCs/>
                <w:color w:val="000000"/>
                <w:sz w:val="18"/>
                <w:szCs w:val="18"/>
              </w:rPr>
              <w:t>ITEM 6.</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50" w14:textId="77777777" w:rsidR="004421F6" w:rsidRDefault="00F15622">
            <w:pPr>
              <w:textAlignment w:val="bottom"/>
            </w:pPr>
            <w:hyperlink r:id="rId39" w:anchor="i3e524f2e23844e81ba9d33a05ac3917c_169" w:history="1">
              <w:r>
                <w:rPr>
                  <w:rStyle w:val="a5"/>
                  <w:rFonts w:ascii="sans-serif" w:eastAsia="sans-serif" w:hAnsi="sans-serif" w:cs="sans-serif"/>
                  <w:color w:val="000000"/>
                  <w:sz w:val="16"/>
                  <w:szCs w:val="16"/>
                  <w:u w:val="none"/>
                </w:rPr>
                <w:t>Exhibits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51" w14:textId="77777777" w:rsidR="004421F6" w:rsidRDefault="00F15622">
            <w:pPr>
              <w:textAlignment w:val="bottom"/>
            </w:pPr>
            <w:hyperlink r:id="rId40" w:anchor="i3e524f2e23844e81ba9d33a05ac3917c_169" w:history="1">
              <w:r>
                <w:rPr>
                  <w:rStyle w:val="a5"/>
                  <w:rFonts w:ascii="sans-serif" w:eastAsia="sans-serif" w:hAnsi="sans-serif" w:cs="sans-serif"/>
                  <w:color w:val="000000"/>
                  <w:sz w:val="16"/>
                  <w:szCs w:val="16"/>
                  <w:u w:val="none"/>
                </w:rPr>
                <w:t>41</w:t>
              </w:r>
            </w:hyperlink>
          </w:p>
        </w:tc>
        <w:tc>
          <w:tcPr>
            <w:tcW w:w="0" w:type="auto"/>
            <w:shd w:val="clear" w:color="auto" w:fill="auto"/>
          </w:tcPr>
          <w:p w14:paraId="1D024E52" w14:textId="77777777" w:rsidR="004421F6" w:rsidRDefault="004421F6">
            <w:pPr>
              <w:rPr>
                <w:rFonts w:ascii="宋体"/>
              </w:rPr>
            </w:pPr>
          </w:p>
        </w:tc>
        <w:tc>
          <w:tcPr>
            <w:tcW w:w="0" w:type="auto"/>
            <w:shd w:val="clear" w:color="auto" w:fill="auto"/>
          </w:tcPr>
          <w:p w14:paraId="1D024E53" w14:textId="77777777" w:rsidR="004421F6" w:rsidRDefault="004421F6">
            <w:pPr>
              <w:rPr>
                <w:rFonts w:ascii="宋体"/>
              </w:rPr>
            </w:pPr>
          </w:p>
        </w:tc>
        <w:tc>
          <w:tcPr>
            <w:tcW w:w="0" w:type="auto"/>
            <w:shd w:val="clear" w:color="auto" w:fill="auto"/>
          </w:tcPr>
          <w:p w14:paraId="1D024E54" w14:textId="77777777" w:rsidR="004421F6" w:rsidRDefault="004421F6">
            <w:pPr>
              <w:rPr>
                <w:rFonts w:ascii="宋体"/>
              </w:rPr>
            </w:pPr>
          </w:p>
        </w:tc>
      </w:tr>
      <w:tr w:rsidR="004421F6" w14:paraId="1D024E5C" w14:textId="77777777">
        <w:tc>
          <w:tcPr>
            <w:tcW w:w="0" w:type="auto"/>
            <w:gridSpan w:val="3"/>
            <w:tcBorders>
              <w:top w:val="single" w:sz="8" w:space="0" w:color="808080"/>
              <w:bottom w:val="single" w:sz="8" w:space="0" w:color="808080"/>
            </w:tcBorders>
            <w:shd w:val="clear" w:color="auto" w:fill="auto"/>
            <w:tcMar>
              <w:left w:w="20" w:type="dxa"/>
              <w:right w:w="20" w:type="dxa"/>
            </w:tcMar>
            <w:vAlign w:val="bottom"/>
          </w:tcPr>
          <w:p w14:paraId="1D024E56" w14:textId="77777777" w:rsidR="004421F6" w:rsidRDefault="004421F6">
            <w:pPr>
              <w:rPr>
                <w:rFonts w:ascii="宋体"/>
              </w:rPr>
            </w:pPr>
          </w:p>
        </w:tc>
        <w:tc>
          <w:tcPr>
            <w:tcW w:w="0" w:type="auto"/>
            <w:gridSpan w:val="3"/>
            <w:tcBorders>
              <w:top w:val="single" w:sz="8" w:space="0" w:color="808080"/>
              <w:bottom w:val="single" w:sz="8" w:space="0" w:color="808080"/>
            </w:tcBorders>
            <w:shd w:val="clear" w:color="auto" w:fill="auto"/>
            <w:tcMar>
              <w:top w:w="40" w:type="dxa"/>
              <w:left w:w="20" w:type="dxa"/>
              <w:bottom w:w="40" w:type="dxa"/>
              <w:right w:w="20" w:type="dxa"/>
            </w:tcMar>
            <w:vAlign w:val="bottom"/>
          </w:tcPr>
          <w:p w14:paraId="1D024E57" w14:textId="77777777" w:rsidR="004421F6" w:rsidRDefault="00F15622">
            <w:pPr>
              <w:textAlignment w:val="bottom"/>
            </w:pPr>
            <w:hyperlink r:id="rId41" w:anchor="i3e524f2e23844e81ba9d33a05ac3917c_172" w:history="1">
              <w:r>
                <w:rPr>
                  <w:rStyle w:val="a5"/>
                  <w:rFonts w:ascii="sans-serif" w:eastAsia="sans-serif" w:hAnsi="sans-serif" w:cs="sans-serif"/>
                  <w:color w:val="000000"/>
                  <w:sz w:val="16"/>
                  <w:szCs w:val="16"/>
                  <w:u w:val="none"/>
                </w:rPr>
                <w:t>Signatures</w:t>
              </w:r>
            </w:hyperlink>
          </w:p>
        </w:tc>
        <w:tc>
          <w:tcPr>
            <w:tcW w:w="0" w:type="auto"/>
            <w:gridSpan w:val="3"/>
            <w:tcBorders>
              <w:top w:val="single" w:sz="8" w:space="0" w:color="808080"/>
              <w:bottom w:val="single" w:sz="8" w:space="0" w:color="808080"/>
            </w:tcBorders>
            <w:shd w:val="clear" w:color="auto" w:fill="auto"/>
            <w:tcMar>
              <w:top w:w="40" w:type="dxa"/>
              <w:left w:w="20" w:type="dxa"/>
              <w:bottom w:w="40" w:type="dxa"/>
              <w:right w:w="20" w:type="dxa"/>
            </w:tcMar>
            <w:vAlign w:val="bottom"/>
          </w:tcPr>
          <w:p w14:paraId="1D024E58" w14:textId="77777777" w:rsidR="004421F6" w:rsidRDefault="00F15622">
            <w:pPr>
              <w:textAlignment w:val="bottom"/>
            </w:pPr>
            <w:hyperlink r:id="rId42" w:anchor="i3e524f2e23844e81ba9d33a05ac3917c_172" w:history="1">
              <w:r>
                <w:rPr>
                  <w:rStyle w:val="a5"/>
                  <w:rFonts w:ascii="sans-serif" w:eastAsia="sans-serif" w:hAnsi="sans-serif" w:cs="sans-serif"/>
                  <w:color w:val="000000"/>
                  <w:sz w:val="16"/>
                  <w:szCs w:val="16"/>
                  <w:u w:val="none"/>
                </w:rPr>
                <w:t>42</w:t>
              </w:r>
            </w:hyperlink>
          </w:p>
        </w:tc>
        <w:tc>
          <w:tcPr>
            <w:tcW w:w="0" w:type="auto"/>
            <w:shd w:val="clear" w:color="auto" w:fill="auto"/>
          </w:tcPr>
          <w:p w14:paraId="1D024E59" w14:textId="77777777" w:rsidR="004421F6" w:rsidRDefault="004421F6">
            <w:pPr>
              <w:rPr>
                <w:rFonts w:ascii="宋体"/>
              </w:rPr>
            </w:pPr>
          </w:p>
        </w:tc>
        <w:tc>
          <w:tcPr>
            <w:tcW w:w="0" w:type="auto"/>
            <w:shd w:val="clear" w:color="auto" w:fill="auto"/>
          </w:tcPr>
          <w:p w14:paraId="1D024E5A" w14:textId="77777777" w:rsidR="004421F6" w:rsidRDefault="004421F6">
            <w:pPr>
              <w:rPr>
                <w:rFonts w:ascii="宋体"/>
              </w:rPr>
            </w:pPr>
          </w:p>
        </w:tc>
        <w:tc>
          <w:tcPr>
            <w:tcW w:w="0" w:type="auto"/>
            <w:shd w:val="clear" w:color="auto" w:fill="auto"/>
          </w:tcPr>
          <w:p w14:paraId="1D024E5B" w14:textId="77777777" w:rsidR="004421F6" w:rsidRDefault="004421F6">
            <w:pPr>
              <w:rPr>
                <w:rFonts w:ascii="宋体"/>
              </w:rPr>
            </w:pPr>
          </w:p>
        </w:tc>
      </w:tr>
    </w:tbl>
    <w:p w14:paraId="1D024E5D" w14:textId="77777777" w:rsidR="004421F6" w:rsidRDefault="004421F6">
      <w:pPr>
        <w:spacing w:before="120" w:after="120"/>
      </w:pPr>
    </w:p>
    <w:p w14:paraId="1D024E5E" w14:textId="77777777" w:rsidR="004421F6" w:rsidRDefault="00F15622">
      <w:r>
        <w:pict w14:anchorId="1D02727B">
          <v:rect id="_x0000_i1026" style="width:415.3pt;height:1.5pt" o:hralign="center" o:hrstd="t" o:hr="t" fillcolor="#a0a0a0" stroked="f"/>
        </w:pict>
      </w:r>
    </w:p>
    <w:p w14:paraId="1D024E5F" w14:textId="77777777" w:rsidR="004421F6" w:rsidRDefault="004421F6"/>
    <w:p w14:paraId="1D024E60" w14:textId="77777777" w:rsidR="004421F6" w:rsidRDefault="00F15622">
      <w:hyperlink r:id="rId43" w:anchor="i3e524f2e23844e81ba9d33a05ac3917c_7" w:history="1">
        <w:r>
          <w:rPr>
            <w:rStyle w:val="a5"/>
            <w:rFonts w:ascii="sans-serif" w:eastAsia="sans-serif" w:hAnsi="sans-serif" w:cs="sans-serif"/>
            <w:sz w:val="17"/>
            <w:szCs w:val="17"/>
          </w:rPr>
          <w:t>Table of Contents</w:t>
        </w:r>
      </w:hyperlink>
    </w:p>
    <w:p w14:paraId="1D024E61" w14:textId="77777777" w:rsidR="004421F6" w:rsidRDefault="004421F6"/>
    <w:p w14:paraId="1D024E62" w14:textId="77777777" w:rsidR="004421F6" w:rsidRDefault="00F15622">
      <w:r>
        <w:rPr>
          <w:rFonts w:ascii="sans-serif" w:eastAsia="sans-serif" w:hAnsi="sans-serif" w:cs="sans-serif"/>
          <w:color w:val="E87722"/>
          <w:sz w:val="68"/>
          <w:szCs w:val="68"/>
        </w:rPr>
        <w:t xml:space="preserve">PART I - </w:t>
      </w:r>
      <w:r>
        <w:rPr>
          <w:rFonts w:ascii="sans-serif" w:eastAsia="sans-serif" w:hAnsi="sans-serif" w:cs="sans-serif"/>
          <w:color w:val="E87722"/>
          <w:sz w:val="68"/>
          <w:szCs w:val="68"/>
        </w:rPr>
        <w:t>FINANCIAL INFORMATION</w:t>
      </w:r>
    </w:p>
    <w:p w14:paraId="1D024E63" w14:textId="77777777" w:rsidR="004421F6" w:rsidRDefault="00F15622">
      <w:pPr>
        <w:spacing w:before="120" w:after="300"/>
      </w:pPr>
      <w:r>
        <w:rPr>
          <w:rFonts w:ascii="sans-serif" w:eastAsia="sans-serif" w:hAnsi="sans-serif" w:cs="sans-serif"/>
          <w:color w:val="000000"/>
          <w:sz w:val="44"/>
          <w:szCs w:val="44"/>
        </w:rPr>
        <w:t>ITEM 1. FINANCIAL STATEMENTS</w:t>
      </w:r>
    </w:p>
    <w:p w14:paraId="1D024E64" w14:textId="77777777" w:rsidR="004421F6" w:rsidRDefault="00F15622">
      <w:pPr>
        <w:spacing w:before="300"/>
      </w:pPr>
      <w:r>
        <w:rPr>
          <w:rFonts w:ascii="sans-serif" w:eastAsia="sans-serif" w:hAnsi="sans-serif" w:cs="sans-serif"/>
          <w:b/>
          <w:bCs/>
          <w:color w:val="E87722"/>
          <w:sz w:val="36"/>
          <w:szCs w:val="36"/>
        </w:rPr>
        <w:t>NIKE, INC.</w:t>
      </w:r>
    </w:p>
    <w:p w14:paraId="1D024E65" w14:textId="77777777" w:rsidR="004421F6" w:rsidRDefault="00F15622">
      <w:pPr>
        <w:spacing w:before="120" w:after="120"/>
      </w:pPr>
      <w:r>
        <w:rPr>
          <w:rFonts w:ascii="sans-serif" w:eastAsia="sans-serif" w:hAnsi="sans-serif" w:cs="sans-serif"/>
          <w:b/>
          <w:bCs/>
          <w:color w:val="000000"/>
          <w:sz w:val="28"/>
          <w:szCs w:val="28"/>
        </w:rPr>
        <w:t>UNAUDITED CONDENSED 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39"/>
        <w:gridCol w:w="5673"/>
        <w:gridCol w:w="38"/>
        <w:gridCol w:w="130"/>
        <w:gridCol w:w="1032"/>
        <w:gridCol w:w="41"/>
        <w:gridCol w:w="130"/>
        <w:gridCol w:w="1032"/>
        <w:gridCol w:w="41"/>
        <w:gridCol w:w="36"/>
        <w:gridCol w:w="36"/>
        <w:gridCol w:w="36"/>
        <w:gridCol w:w="36"/>
        <w:gridCol w:w="36"/>
      </w:tblGrid>
      <w:tr w:rsidR="004421F6" w14:paraId="1D024E71" w14:textId="77777777">
        <w:trPr>
          <w:gridAfter w:val="3"/>
        </w:trPr>
        <w:tc>
          <w:tcPr>
            <w:tcW w:w="50" w:type="pct"/>
            <w:shd w:val="clear" w:color="auto" w:fill="auto"/>
          </w:tcPr>
          <w:p w14:paraId="1D024E66" w14:textId="77777777" w:rsidR="004421F6" w:rsidRDefault="004421F6">
            <w:pPr>
              <w:rPr>
                <w:rFonts w:ascii="宋体"/>
              </w:rPr>
            </w:pPr>
          </w:p>
        </w:tc>
        <w:tc>
          <w:tcPr>
            <w:tcW w:w="3509" w:type="pct"/>
            <w:shd w:val="clear" w:color="auto" w:fill="auto"/>
          </w:tcPr>
          <w:p w14:paraId="1D024E67" w14:textId="77777777" w:rsidR="004421F6" w:rsidRDefault="004421F6">
            <w:pPr>
              <w:rPr>
                <w:rFonts w:ascii="宋体"/>
              </w:rPr>
            </w:pPr>
          </w:p>
        </w:tc>
        <w:tc>
          <w:tcPr>
            <w:tcW w:w="5" w:type="pct"/>
            <w:shd w:val="clear" w:color="auto" w:fill="auto"/>
          </w:tcPr>
          <w:p w14:paraId="1D024E68" w14:textId="77777777" w:rsidR="004421F6" w:rsidRDefault="004421F6">
            <w:pPr>
              <w:rPr>
                <w:rFonts w:ascii="宋体"/>
              </w:rPr>
            </w:pPr>
          </w:p>
        </w:tc>
        <w:tc>
          <w:tcPr>
            <w:tcW w:w="50" w:type="pct"/>
            <w:shd w:val="clear" w:color="auto" w:fill="auto"/>
          </w:tcPr>
          <w:p w14:paraId="1D024E69" w14:textId="77777777" w:rsidR="004421F6" w:rsidRDefault="004421F6">
            <w:pPr>
              <w:rPr>
                <w:rFonts w:ascii="宋体"/>
              </w:rPr>
            </w:pPr>
          </w:p>
        </w:tc>
        <w:tc>
          <w:tcPr>
            <w:tcW w:w="662" w:type="pct"/>
            <w:shd w:val="clear" w:color="auto" w:fill="auto"/>
          </w:tcPr>
          <w:p w14:paraId="1D024E6A" w14:textId="77777777" w:rsidR="004421F6" w:rsidRDefault="004421F6">
            <w:pPr>
              <w:rPr>
                <w:rFonts w:ascii="宋体"/>
              </w:rPr>
            </w:pPr>
          </w:p>
        </w:tc>
        <w:tc>
          <w:tcPr>
            <w:tcW w:w="5" w:type="pct"/>
            <w:shd w:val="clear" w:color="auto" w:fill="auto"/>
          </w:tcPr>
          <w:p w14:paraId="1D024E6B" w14:textId="77777777" w:rsidR="004421F6" w:rsidRDefault="004421F6">
            <w:pPr>
              <w:rPr>
                <w:rFonts w:ascii="宋体"/>
              </w:rPr>
            </w:pPr>
          </w:p>
        </w:tc>
        <w:tc>
          <w:tcPr>
            <w:tcW w:w="50" w:type="pct"/>
            <w:shd w:val="clear" w:color="auto" w:fill="auto"/>
          </w:tcPr>
          <w:p w14:paraId="1D024E6C" w14:textId="77777777" w:rsidR="004421F6" w:rsidRDefault="004421F6">
            <w:pPr>
              <w:rPr>
                <w:rFonts w:ascii="宋体"/>
              </w:rPr>
            </w:pPr>
          </w:p>
        </w:tc>
        <w:tc>
          <w:tcPr>
            <w:tcW w:w="662" w:type="pct"/>
            <w:shd w:val="clear" w:color="auto" w:fill="auto"/>
          </w:tcPr>
          <w:p w14:paraId="1D024E6D" w14:textId="77777777" w:rsidR="004421F6" w:rsidRDefault="004421F6">
            <w:pPr>
              <w:rPr>
                <w:rFonts w:ascii="宋体"/>
              </w:rPr>
            </w:pPr>
          </w:p>
        </w:tc>
        <w:tc>
          <w:tcPr>
            <w:tcW w:w="5" w:type="pct"/>
            <w:shd w:val="clear" w:color="auto" w:fill="auto"/>
          </w:tcPr>
          <w:p w14:paraId="1D024E6E" w14:textId="77777777" w:rsidR="004421F6" w:rsidRDefault="004421F6">
            <w:pPr>
              <w:rPr>
                <w:rFonts w:ascii="宋体"/>
              </w:rPr>
            </w:pPr>
          </w:p>
        </w:tc>
        <w:tc>
          <w:tcPr>
            <w:tcW w:w="0" w:type="auto"/>
            <w:shd w:val="clear" w:color="auto" w:fill="auto"/>
          </w:tcPr>
          <w:p w14:paraId="1D024E6F" w14:textId="77777777" w:rsidR="004421F6" w:rsidRDefault="004421F6">
            <w:pPr>
              <w:rPr>
                <w:rFonts w:ascii="宋体"/>
                <w:vanish/>
              </w:rPr>
            </w:pPr>
          </w:p>
        </w:tc>
        <w:tc>
          <w:tcPr>
            <w:tcW w:w="0" w:type="auto"/>
            <w:shd w:val="clear" w:color="auto" w:fill="auto"/>
          </w:tcPr>
          <w:p w14:paraId="1D024E70" w14:textId="77777777" w:rsidR="004421F6" w:rsidRDefault="004421F6">
            <w:pPr>
              <w:rPr>
                <w:rFonts w:ascii="宋体"/>
                <w:vanish/>
              </w:rPr>
            </w:pPr>
          </w:p>
        </w:tc>
      </w:tr>
      <w:tr w:rsidR="004421F6" w14:paraId="1D024E77" w14:textId="77777777">
        <w:tc>
          <w:tcPr>
            <w:tcW w:w="0" w:type="auto"/>
            <w:gridSpan w:val="3"/>
            <w:shd w:val="clear" w:color="auto" w:fill="auto"/>
            <w:tcMar>
              <w:left w:w="20" w:type="dxa"/>
              <w:right w:w="20" w:type="dxa"/>
            </w:tcMar>
            <w:vAlign w:val="bottom"/>
          </w:tcPr>
          <w:p w14:paraId="1D024E72" w14:textId="77777777" w:rsidR="004421F6" w:rsidRDefault="004421F6">
            <w:pPr>
              <w:rPr>
                <w:rFonts w:ascii="宋体"/>
              </w:rPr>
            </w:pPr>
          </w:p>
        </w:tc>
        <w:tc>
          <w:tcPr>
            <w:tcW w:w="0" w:type="auto"/>
            <w:gridSpan w:val="6"/>
            <w:shd w:val="clear" w:color="auto" w:fill="auto"/>
            <w:tcMar>
              <w:top w:w="40" w:type="dxa"/>
              <w:left w:w="20" w:type="dxa"/>
              <w:bottom w:w="40" w:type="dxa"/>
              <w:right w:w="20" w:type="dxa"/>
            </w:tcMar>
            <w:vAlign w:val="bottom"/>
          </w:tcPr>
          <w:p w14:paraId="1D024E73"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tcPr>
          <w:p w14:paraId="1D024E74" w14:textId="77777777" w:rsidR="004421F6" w:rsidRDefault="004421F6">
            <w:pPr>
              <w:rPr>
                <w:rFonts w:ascii="宋体"/>
                <w:vanish/>
              </w:rPr>
            </w:pPr>
          </w:p>
        </w:tc>
        <w:tc>
          <w:tcPr>
            <w:tcW w:w="0" w:type="auto"/>
            <w:shd w:val="clear" w:color="auto" w:fill="auto"/>
          </w:tcPr>
          <w:p w14:paraId="1D024E75" w14:textId="77777777" w:rsidR="004421F6" w:rsidRDefault="004421F6">
            <w:pPr>
              <w:rPr>
                <w:rFonts w:ascii="宋体"/>
                <w:vanish/>
              </w:rPr>
            </w:pPr>
          </w:p>
        </w:tc>
        <w:tc>
          <w:tcPr>
            <w:tcW w:w="0" w:type="auto"/>
            <w:gridSpan w:val="3"/>
            <w:shd w:val="clear" w:color="auto" w:fill="auto"/>
          </w:tcPr>
          <w:p w14:paraId="1D024E76" w14:textId="77777777" w:rsidR="004421F6" w:rsidRDefault="004421F6">
            <w:pPr>
              <w:rPr>
                <w:rFonts w:ascii="宋体"/>
                <w:vanish/>
              </w:rPr>
            </w:pPr>
          </w:p>
        </w:tc>
      </w:tr>
      <w:tr w:rsidR="004421F6" w14:paraId="1D024E80" w14:textId="77777777">
        <w:tc>
          <w:tcPr>
            <w:tcW w:w="0" w:type="auto"/>
            <w:gridSpan w:val="3"/>
            <w:shd w:val="clear" w:color="auto" w:fill="auto"/>
            <w:tcMar>
              <w:top w:w="40" w:type="dxa"/>
              <w:left w:w="20" w:type="dxa"/>
              <w:bottom w:w="40" w:type="dxa"/>
              <w:right w:w="20" w:type="dxa"/>
            </w:tcMar>
            <w:vAlign w:val="bottom"/>
          </w:tcPr>
          <w:p w14:paraId="1D024E78" w14:textId="77777777" w:rsidR="004421F6" w:rsidRDefault="00F15622">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E79"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E7A"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shd w:val="clear" w:color="auto" w:fill="auto"/>
          </w:tcPr>
          <w:p w14:paraId="1D024E7B" w14:textId="77777777" w:rsidR="004421F6" w:rsidRDefault="004421F6">
            <w:pPr>
              <w:rPr>
                <w:rFonts w:ascii="宋体"/>
                <w:vanish/>
              </w:rPr>
            </w:pPr>
          </w:p>
        </w:tc>
        <w:tc>
          <w:tcPr>
            <w:tcW w:w="0" w:type="auto"/>
            <w:shd w:val="clear" w:color="auto" w:fill="auto"/>
          </w:tcPr>
          <w:p w14:paraId="1D024E7C" w14:textId="77777777" w:rsidR="004421F6" w:rsidRDefault="004421F6">
            <w:pPr>
              <w:rPr>
                <w:rFonts w:ascii="宋体"/>
                <w:vanish/>
              </w:rPr>
            </w:pPr>
          </w:p>
        </w:tc>
        <w:tc>
          <w:tcPr>
            <w:tcW w:w="0" w:type="auto"/>
            <w:shd w:val="clear" w:color="auto" w:fill="auto"/>
          </w:tcPr>
          <w:p w14:paraId="1D024E7D" w14:textId="77777777" w:rsidR="004421F6" w:rsidRDefault="004421F6">
            <w:pPr>
              <w:rPr>
                <w:rFonts w:ascii="宋体"/>
              </w:rPr>
            </w:pPr>
          </w:p>
        </w:tc>
        <w:tc>
          <w:tcPr>
            <w:tcW w:w="0" w:type="auto"/>
            <w:shd w:val="clear" w:color="auto" w:fill="auto"/>
          </w:tcPr>
          <w:p w14:paraId="1D024E7E" w14:textId="77777777" w:rsidR="004421F6" w:rsidRDefault="004421F6">
            <w:pPr>
              <w:rPr>
                <w:rFonts w:ascii="宋体"/>
              </w:rPr>
            </w:pPr>
          </w:p>
        </w:tc>
        <w:tc>
          <w:tcPr>
            <w:tcW w:w="0" w:type="auto"/>
            <w:shd w:val="clear" w:color="auto" w:fill="auto"/>
          </w:tcPr>
          <w:p w14:paraId="1D024E7F" w14:textId="77777777" w:rsidR="004421F6" w:rsidRDefault="004421F6">
            <w:pPr>
              <w:rPr>
                <w:rFonts w:ascii="宋体"/>
              </w:rPr>
            </w:pPr>
          </w:p>
        </w:tc>
      </w:tr>
      <w:tr w:rsidR="004421F6" w14:paraId="1D024E8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E81" w14:textId="77777777" w:rsidR="004421F6" w:rsidRDefault="00F15622">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tcMar>
            <w:vAlign w:val="bottom"/>
          </w:tcPr>
          <w:p w14:paraId="1D024E82"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4E83" w14:textId="77777777" w:rsidR="004421F6" w:rsidRDefault="00F15622">
            <w:pPr>
              <w:jc w:val="right"/>
              <w:textAlignment w:val="bottom"/>
            </w:pPr>
            <w:r>
              <w:rPr>
                <w:rFonts w:ascii="Arial" w:eastAsia="宋体" w:hAnsi="Arial" w:cs="Arial"/>
                <w:color w:val="000000"/>
                <w:sz w:val="17"/>
                <w:szCs w:val="17"/>
              </w:rPr>
              <w:t>10,594 </w:t>
            </w:r>
          </w:p>
        </w:tc>
        <w:tc>
          <w:tcPr>
            <w:tcW w:w="0" w:type="auto"/>
            <w:tcBorders>
              <w:top w:val="single" w:sz="8" w:space="0" w:color="E87722"/>
            </w:tcBorders>
            <w:shd w:val="clear" w:color="auto" w:fill="FFF1E7"/>
            <w:tcMar>
              <w:top w:w="40" w:type="dxa"/>
              <w:bottom w:w="40" w:type="dxa"/>
              <w:right w:w="20" w:type="dxa"/>
            </w:tcMar>
            <w:vAlign w:val="bottom"/>
          </w:tcPr>
          <w:p w14:paraId="1D024E84"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4E85"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4E86" w14:textId="77777777" w:rsidR="004421F6" w:rsidRDefault="00F15622">
            <w:pPr>
              <w:jc w:val="right"/>
              <w:textAlignment w:val="bottom"/>
            </w:pPr>
            <w:r>
              <w:rPr>
                <w:rFonts w:ascii="Arial" w:eastAsia="宋体" w:hAnsi="Arial" w:cs="Arial"/>
                <w:color w:val="000000"/>
                <w:sz w:val="17"/>
                <w:szCs w:val="17"/>
              </w:rPr>
              <w:t>10,660 </w:t>
            </w:r>
          </w:p>
        </w:tc>
        <w:tc>
          <w:tcPr>
            <w:tcW w:w="0" w:type="auto"/>
            <w:tcBorders>
              <w:top w:val="single" w:sz="8" w:space="0" w:color="E87722"/>
            </w:tcBorders>
            <w:shd w:val="clear" w:color="auto" w:fill="auto"/>
            <w:tcMar>
              <w:top w:w="40" w:type="dxa"/>
              <w:bottom w:w="40" w:type="dxa"/>
              <w:right w:w="20" w:type="dxa"/>
            </w:tcMar>
            <w:vAlign w:val="bottom"/>
          </w:tcPr>
          <w:p w14:paraId="1D024E87" w14:textId="77777777" w:rsidR="004421F6" w:rsidRDefault="004421F6">
            <w:pPr>
              <w:jc w:val="right"/>
              <w:rPr>
                <w:rFonts w:ascii="宋体"/>
              </w:rPr>
            </w:pPr>
          </w:p>
        </w:tc>
        <w:tc>
          <w:tcPr>
            <w:tcW w:w="0" w:type="auto"/>
            <w:shd w:val="clear" w:color="auto" w:fill="auto"/>
          </w:tcPr>
          <w:p w14:paraId="1D024E88" w14:textId="77777777" w:rsidR="004421F6" w:rsidRDefault="004421F6">
            <w:pPr>
              <w:rPr>
                <w:rFonts w:ascii="宋体"/>
                <w:vanish/>
              </w:rPr>
            </w:pPr>
          </w:p>
        </w:tc>
        <w:tc>
          <w:tcPr>
            <w:tcW w:w="0" w:type="auto"/>
            <w:shd w:val="clear" w:color="auto" w:fill="auto"/>
          </w:tcPr>
          <w:p w14:paraId="1D024E89" w14:textId="77777777" w:rsidR="004421F6" w:rsidRDefault="004421F6">
            <w:pPr>
              <w:rPr>
                <w:rFonts w:ascii="宋体"/>
                <w:vanish/>
              </w:rPr>
            </w:pPr>
          </w:p>
        </w:tc>
        <w:tc>
          <w:tcPr>
            <w:tcW w:w="0" w:type="auto"/>
            <w:shd w:val="clear" w:color="auto" w:fill="auto"/>
          </w:tcPr>
          <w:p w14:paraId="1D024E8A" w14:textId="77777777" w:rsidR="004421F6" w:rsidRDefault="004421F6">
            <w:pPr>
              <w:rPr>
                <w:rFonts w:ascii="宋体"/>
              </w:rPr>
            </w:pPr>
          </w:p>
        </w:tc>
        <w:tc>
          <w:tcPr>
            <w:tcW w:w="0" w:type="auto"/>
            <w:shd w:val="clear" w:color="auto" w:fill="auto"/>
          </w:tcPr>
          <w:p w14:paraId="1D024E8B" w14:textId="77777777" w:rsidR="004421F6" w:rsidRDefault="004421F6">
            <w:pPr>
              <w:rPr>
                <w:rFonts w:ascii="宋体"/>
              </w:rPr>
            </w:pPr>
          </w:p>
        </w:tc>
        <w:tc>
          <w:tcPr>
            <w:tcW w:w="0" w:type="auto"/>
            <w:shd w:val="clear" w:color="auto" w:fill="auto"/>
          </w:tcPr>
          <w:p w14:paraId="1D024E8C" w14:textId="77777777" w:rsidR="004421F6" w:rsidRDefault="004421F6">
            <w:pPr>
              <w:rPr>
                <w:rFonts w:ascii="宋体"/>
              </w:rPr>
            </w:pPr>
          </w:p>
        </w:tc>
      </w:tr>
      <w:tr w:rsidR="004421F6" w14:paraId="1D024E9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8E" w14:textId="77777777" w:rsidR="004421F6" w:rsidRDefault="00F15622">
            <w:pPr>
              <w:textAlignment w:val="bottom"/>
            </w:pPr>
            <w:r>
              <w:rPr>
                <w:rFonts w:ascii="Arial" w:eastAsia="宋体" w:hAnsi="Arial" w:cs="Arial"/>
                <w:color w:val="000000"/>
                <w:sz w:val="17"/>
                <w:szCs w:val="17"/>
              </w:rPr>
              <w:t>Cost of sales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4E8F" w14:textId="77777777" w:rsidR="004421F6" w:rsidRDefault="00F15622">
            <w:pPr>
              <w:jc w:val="right"/>
              <w:textAlignment w:val="bottom"/>
            </w:pPr>
            <w:r>
              <w:rPr>
                <w:rFonts w:ascii="Arial" w:eastAsia="宋体" w:hAnsi="Arial" w:cs="Arial"/>
                <w:color w:val="000000"/>
                <w:sz w:val="17"/>
                <w:szCs w:val="17"/>
              </w:rPr>
              <w:t>5,853 </w:t>
            </w:r>
          </w:p>
        </w:tc>
        <w:tc>
          <w:tcPr>
            <w:tcW w:w="0" w:type="auto"/>
            <w:tcBorders>
              <w:top w:val="single" w:sz="8" w:space="0" w:color="808080"/>
            </w:tcBorders>
            <w:shd w:val="clear" w:color="auto" w:fill="FFF1E7"/>
            <w:tcMar>
              <w:top w:w="40" w:type="dxa"/>
              <w:bottom w:w="40" w:type="dxa"/>
              <w:right w:w="20" w:type="dxa"/>
            </w:tcMar>
            <w:vAlign w:val="bottom"/>
          </w:tcPr>
          <w:p w14:paraId="1D024E90"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4E91" w14:textId="77777777" w:rsidR="004421F6" w:rsidRDefault="00F15622">
            <w:pPr>
              <w:jc w:val="right"/>
              <w:textAlignment w:val="bottom"/>
            </w:pPr>
            <w:r>
              <w:rPr>
                <w:rFonts w:ascii="Arial" w:eastAsia="宋体" w:hAnsi="Arial" w:cs="Arial"/>
                <w:color w:val="000000"/>
                <w:sz w:val="17"/>
                <w:szCs w:val="17"/>
              </w:rPr>
              <w:t>5,789 </w:t>
            </w:r>
          </w:p>
        </w:tc>
        <w:tc>
          <w:tcPr>
            <w:tcW w:w="0" w:type="auto"/>
            <w:tcBorders>
              <w:top w:val="single" w:sz="8" w:space="0" w:color="808080"/>
            </w:tcBorders>
            <w:shd w:val="clear" w:color="auto" w:fill="auto"/>
            <w:tcMar>
              <w:top w:w="40" w:type="dxa"/>
              <w:bottom w:w="40" w:type="dxa"/>
              <w:right w:w="20" w:type="dxa"/>
            </w:tcMar>
            <w:vAlign w:val="bottom"/>
          </w:tcPr>
          <w:p w14:paraId="1D024E92" w14:textId="77777777" w:rsidR="004421F6" w:rsidRDefault="004421F6">
            <w:pPr>
              <w:jc w:val="right"/>
              <w:rPr>
                <w:rFonts w:ascii="宋体"/>
              </w:rPr>
            </w:pPr>
          </w:p>
        </w:tc>
        <w:tc>
          <w:tcPr>
            <w:tcW w:w="0" w:type="auto"/>
            <w:shd w:val="clear" w:color="auto" w:fill="auto"/>
          </w:tcPr>
          <w:p w14:paraId="1D024E93" w14:textId="77777777" w:rsidR="004421F6" w:rsidRDefault="004421F6">
            <w:pPr>
              <w:rPr>
                <w:rFonts w:ascii="宋体"/>
                <w:vanish/>
              </w:rPr>
            </w:pPr>
          </w:p>
        </w:tc>
        <w:tc>
          <w:tcPr>
            <w:tcW w:w="0" w:type="auto"/>
            <w:shd w:val="clear" w:color="auto" w:fill="auto"/>
          </w:tcPr>
          <w:p w14:paraId="1D024E94" w14:textId="77777777" w:rsidR="004421F6" w:rsidRDefault="004421F6">
            <w:pPr>
              <w:rPr>
                <w:rFonts w:ascii="宋体"/>
                <w:vanish/>
              </w:rPr>
            </w:pPr>
          </w:p>
        </w:tc>
        <w:tc>
          <w:tcPr>
            <w:tcW w:w="0" w:type="auto"/>
            <w:shd w:val="clear" w:color="auto" w:fill="auto"/>
          </w:tcPr>
          <w:p w14:paraId="1D024E95" w14:textId="77777777" w:rsidR="004421F6" w:rsidRDefault="004421F6">
            <w:pPr>
              <w:rPr>
                <w:rFonts w:ascii="宋体"/>
              </w:rPr>
            </w:pPr>
          </w:p>
        </w:tc>
        <w:tc>
          <w:tcPr>
            <w:tcW w:w="0" w:type="auto"/>
            <w:shd w:val="clear" w:color="auto" w:fill="auto"/>
          </w:tcPr>
          <w:p w14:paraId="1D024E96" w14:textId="77777777" w:rsidR="004421F6" w:rsidRDefault="004421F6">
            <w:pPr>
              <w:rPr>
                <w:rFonts w:ascii="宋体"/>
              </w:rPr>
            </w:pPr>
          </w:p>
        </w:tc>
        <w:tc>
          <w:tcPr>
            <w:tcW w:w="0" w:type="auto"/>
            <w:shd w:val="clear" w:color="auto" w:fill="auto"/>
          </w:tcPr>
          <w:p w14:paraId="1D024E97" w14:textId="77777777" w:rsidR="004421F6" w:rsidRDefault="004421F6">
            <w:pPr>
              <w:rPr>
                <w:rFonts w:ascii="宋体"/>
              </w:rPr>
            </w:pPr>
          </w:p>
        </w:tc>
      </w:tr>
      <w:tr w:rsidR="004421F6" w14:paraId="1D024EA3" w14:textId="77777777">
        <w:tc>
          <w:tcPr>
            <w:tcW w:w="0" w:type="auto"/>
            <w:gridSpan w:val="3"/>
            <w:tcBorders>
              <w:top w:val="single" w:sz="8" w:space="0" w:color="E87722"/>
            </w:tcBorders>
            <w:shd w:val="clear" w:color="auto" w:fill="auto"/>
            <w:tcMar>
              <w:top w:w="40" w:type="dxa"/>
              <w:left w:w="135" w:type="dxa"/>
              <w:bottom w:w="40" w:type="dxa"/>
              <w:right w:w="20" w:type="dxa"/>
            </w:tcMar>
            <w:vAlign w:val="bottom"/>
          </w:tcPr>
          <w:p w14:paraId="1D024E99" w14:textId="77777777" w:rsidR="004421F6" w:rsidRDefault="00F15622">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4E9A" w14:textId="77777777" w:rsidR="004421F6" w:rsidRDefault="00F15622">
            <w:pPr>
              <w:jc w:val="right"/>
              <w:textAlignment w:val="bottom"/>
            </w:pPr>
            <w:r>
              <w:rPr>
                <w:rFonts w:ascii="Arial" w:eastAsia="宋体" w:hAnsi="Arial" w:cs="Arial"/>
                <w:color w:val="000000"/>
                <w:sz w:val="17"/>
                <w:szCs w:val="17"/>
              </w:rPr>
              <w:t>4,741 </w:t>
            </w:r>
          </w:p>
        </w:tc>
        <w:tc>
          <w:tcPr>
            <w:tcW w:w="0" w:type="auto"/>
            <w:tcBorders>
              <w:top w:val="single" w:sz="8" w:space="0" w:color="E87722"/>
            </w:tcBorders>
            <w:shd w:val="clear" w:color="auto" w:fill="FFF1E7"/>
            <w:tcMar>
              <w:top w:w="40" w:type="dxa"/>
              <w:bottom w:w="40" w:type="dxa"/>
              <w:right w:w="20" w:type="dxa"/>
            </w:tcMar>
            <w:vAlign w:val="bottom"/>
          </w:tcPr>
          <w:p w14:paraId="1D024E9B"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4E9C" w14:textId="77777777" w:rsidR="004421F6" w:rsidRDefault="00F15622">
            <w:pPr>
              <w:jc w:val="right"/>
              <w:textAlignment w:val="bottom"/>
            </w:pPr>
            <w:r>
              <w:rPr>
                <w:rFonts w:ascii="Arial" w:eastAsia="宋体" w:hAnsi="Arial" w:cs="Arial"/>
                <w:color w:val="000000"/>
                <w:sz w:val="17"/>
                <w:szCs w:val="17"/>
              </w:rPr>
              <w:t>4,871 </w:t>
            </w:r>
          </w:p>
        </w:tc>
        <w:tc>
          <w:tcPr>
            <w:tcW w:w="0" w:type="auto"/>
            <w:tcBorders>
              <w:top w:val="single" w:sz="8" w:space="0" w:color="E87722"/>
            </w:tcBorders>
            <w:shd w:val="clear" w:color="auto" w:fill="auto"/>
            <w:tcMar>
              <w:top w:w="40" w:type="dxa"/>
              <w:bottom w:w="40" w:type="dxa"/>
              <w:right w:w="20" w:type="dxa"/>
            </w:tcMar>
            <w:vAlign w:val="bottom"/>
          </w:tcPr>
          <w:p w14:paraId="1D024E9D" w14:textId="77777777" w:rsidR="004421F6" w:rsidRDefault="004421F6">
            <w:pPr>
              <w:jc w:val="right"/>
              <w:rPr>
                <w:rFonts w:ascii="宋体"/>
              </w:rPr>
            </w:pPr>
          </w:p>
        </w:tc>
        <w:tc>
          <w:tcPr>
            <w:tcW w:w="0" w:type="auto"/>
            <w:shd w:val="clear" w:color="auto" w:fill="auto"/>
          </w:tcPr>
          <w:p w14:paraId="1D024E9E" w14:textId="77777777" w:rsidR="004421F6" w:rsidRDefault="004421F6">
            <w:pPr>
              <w:rPr>
                <w:rFonts w:ascii="宋体"/>
                <w:vanish/>
              </w:rPr>
            </w:pPr>
          </w:p>
        </w:tc>
        <w:tc>
          <w:tcPr>
            <w:tcW w:w="0" w:type="auto"/>
            <w:shd w:val="clear" w:color="auto" w:fill="auto"/>
          </w:tcPr>
          <w:p w14:paraId="1D024E9F" w14:textId="77777777" w:rsidR="004421F6" w:rsidRDefault="004421F6">
            <w:pPr>
              <w:rPr>
                <w:rFonts w:ascii="宋体"/>
                <w:vanish/>
              </w:rPr>
            </w:pPr>
          </w:p>
        </w:tc>
        <w:tc>
          <w:tcPr>
            <w:tcW w:w="0" w:type="auto"/>
            <w:shd w:val="clear" w:color="auto" w:fill="auto"/>
          </w:tcPr>
          <w:p w14:paraId="1D024EA0" w14:textId="77777777" w:rsidR="004421F6" w:rsidRDefault="004421F6">
            <w:pPr>
              <w:rPr>
                <w:rFonts w:ascii="宋体"/>
              </w:rPr>
            </w:pPr>
          </w:p>
        </w:tc>
        <w:tc>
          <w:tcPr>
            <w:tcW w:w="0" w:type="auto"/>
            <w:shd w:val="clear" w:color="auto" w:fill="auto"/>
          </w:tcPr>
          <w:p w14:paraId="1D024EA1" w14:textId="77777777" w:rsidR="004421F6" w:rsidRDefault="004421F6">
            <w:pPr>
              <w:rPr>
                <w:rFonts w:ascii="宋体"/>
              </w:rPr>
            </w:pPr>
          </w:p>
        </w:tc>
        <w:tc>
          <w:tcPr>
            <w:tcW w:w="0" w:type="auto"/>
            <w:shd w:val="clear" w:color="auto" w:fill="auto"/>
          </w:tcPr>
          <w:p w14:paraId="1D024EA2" w14:textId="77777777" w:rsidR="004421F6" w:rsidRDefault="004421F6">
            <w:pPr>
              <w:rPr>
                <w:rFonts w:ascii="宋体"/>
              </w:rPr>
            </w:pPr>
          </w:p>
        </w:tc>
      </w:tr>
      <w:tr w:rsidR="004421F6" w14:paraId="1D024EAE"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A4" w14:textId="77777777" w:rsidR="004421F6" w:rsidRDefault="00F15622">
            <w:pPr>
              <w:textAlignment w:val="bottom"/>
            </w:pPr>
            <w:r>
              <w:rPr>
                <w:rFonts w:ascii="Arial" w:eastAsia="宋体" w:hAnsi="Arial" w:cs="Arial"/>
                <w:color w:val="000000"/>
                <w:sz w:val="17"/>
                <w:szCs w:val="17"/>
              </w:rPr>
              <w:t>Demand creation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4EA5" w14:textId="77777777" w:rsidR="004421F6" w:rsidRDefault="00F15622">
            <w:pPr>
              <w:jc w:val="right"/>
              <w:textAlignment w:val="bottom"/>
            </w:pPr>
            <w:r>
              <w:rPr>
                <w:rFonts w:ascii="Arial" w:eastAsia="宋体" w:hAnsi="Arial" w:cs="Arial"/>
                <w:color w:val="000000"/>
                <w:sz w:val="17"/>
                <w:szCs w:val="17"/>
              </w:rPr>
              <w:t>677 </w:t>
            </w:r>
          </w:p>
        </w:tc>
        <w:tc>
          <w:tcPr>
            <w:tcW w:w="0" w:type="auto"/>
            <w:tcBorders>
              <w:top w:val="single" w:sz="8" w:space="0" w:color="808080"/>
            </w:tcBorders>
            <w:shd w:val="clear" w:color="auto" w:fill="FFF1E7"/>
            <w:tcMar>
              <w:top w:w="40" w:type="dxa"/>
              <w:bottom w:w="40" w:type="dxa"/>
              <w:right w:w="20" w:type="dxa"/>
            </w:tcMar>
            <w:vAlign w:val="bottom"/>
          </w:tcPr>
          <w:p w14:paraId="1D024EA6"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4EA7" w14:textId="77777777" w:rsidR="004421F6" w:rsidRDefault="00F15622">
            <w:pPr>
              <w:jc w:val="right"/>
              <w:textAlignment w:val="bottom"/>
            </w:pPr>
            <w:r>
              <w:rPr>
                <w:rFonts w:ascii="Arial" w:eastAsia="宋体" w:hAnsi="Arial" w:cs="Arial"/>
                <w:color w:val="000000"/>
                <w:sz w:val="17"/>
                <w:szCs w:val="17"/>
              </w:rPr>
              <w:t>1,018 </w:t>
            </w:r>
          </w:p>
        </w:tc>
        <w:tc>
          <w:tcPr>
            <w:tcW w:w="0" w:type="auto"/>
            <w:tcBorders>
              <w:top w:val="single" w:sz="8" w:space="0" w:color="808080"/>
            </w:tcBorders>
            <w:shd w:val="clear" w:color="auto" w:fill="auto"/>
            <w:tcMar>
              <w:top w:w="40" w:type="dxa"/>
              <w:bottom w:w="40" w:type="dxa"/>
              <w:right w:w="20" w:type="dxa"/>
            </w:tcMar>
            <w:vAlign w:val="bottom"/>
          </w:tcPr>
          <w:p w14:paraId="1D024EA8" w14:textId="77777777" w:rsidR="004421F6" w:rsidRDefault="004421F6">
            <w:pPr>
              <w:jc w:val="right"/>
              <w:rPr>
                <w:rFonts w:ascii="宋体"/>
              </w:rPr>
            </w:pPr>
          </w:p>
        </w:tc>
        <w:tc>
          <w:tcPr>
            <w:tcW w:w="0" w:type="auto"/>
            <w:shd w:val="clear" w:color="auto" w:fill="auto"/>
          </w:tcPr>
          <w:p w14:paraId="1D024EA9" w14:textId="77777777" w:rsidR="004421F6" w:rsidRDefault="004421F6">
            <w:pPr>
              <w:rPr>
                <w:rFonts w:ascii="宋体"/>
                <w:vanish/>
              </w:rPr>
            </w:pPr>
          </w:p>
        </w:tc>
        <w:tc>
          <w:tcPr>
            <w:tcW w:w="0" w:type="auto"/>
            <w:shd w:val="clear" w:color="auto" w:fill="auto"/>
          </w:tcPr>
          <w:p w14:paraId="1D024EAA" w14:textId="77777777" w:rsidR="004421F6" w:rsidRDefault="004421F6">
            <w:pPr>
              <w:rPr>
                <w:rFonts w:ascii="宋体"/>
                <w:vanish/>
              </w:rPr>
            </w:pPr>
          </w:p>
        </w:tc>
        <w:tc>
          <w:tcPr>
            <w:tcW w:w="0" w:type="auto"/>
            <w:shd w:val="clear" w:color="auto" w:fill="auto"/>
          </w:tcPr>
          <w:p w14:paraId="1D024EAB" w14:textId="77777777" w:rsidR="004421F6" w:rsidRDefault="004421F6">
            <w:pPr>
              <w:rPr>
                <w:rFonts w:ascii="宋体"/>
              </w:rPr>
            </w:pPr>
          </w:p>
        </w:tc>
        <w:tc>
          <w:tcPr>
            <w:tcW w:w="0" w:type="auto"/>
            <w:shd w:val="clear" w:color="auto" w:fill="auto"/>
          </w:tcPr>
          <w:p w14:paraId="1D024EAC" w14:textId="77777777" w:rsidR="004421F6" w:rsidRDefault="004421F6">
            <w:pPr>
              <w:rPr>
                <w:rFonts w:ascii="宋体"/>
              </w:rPr>
            </w:pPr>
          </w:p>
        </w:tc>
        <w:tc>
          <w:tcPr>
            <w:tcW w:w="0" w:type="auto"/>
            <w:shd w:val="clear" w:color="auto" w:fill="auto"/>
          </w:tcPr>
          <w:p w14:paraId="1D024EAD" w14:textId="77777777" w:rsidR="004421F6" w:rsidRDefault="004421F6">
            <w:pPr>
              <w:rPr>
                <w:rFonts w:ascii="宋体"/>
              </w:rPr>
            </w:pPr>
          </w:p>
        </w:tc>
      </w:tr>
      <w:tr w:rsidR="004421F6" w14:paraId="1D024EB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AF" w14:textId="77777777" w:rsidR="004421F6" w:rsidRDefault="00F15622">
            <w:pPr>
              <w:textAlignment w:val="bottom"/>
            </w:pPr>
            <w:r>
              <w:rPr>
                <w:rFonts w:ascii="Arial" w:eastAsia="宋体" w:hAnsi="Arial" w:cs="Arial"/>
                <w:color w:val="000000"/>
                <w:sz w:val="17"/>
                <w:szCs w:val="17"/>
              </w:rPr>
              <w:t>Operating overhead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4EB0" w14:textId="77777777" w:rsidR="004421F6" w:rsidRDefault="00F15622">
            <w:pPr>
              <w:jc w:val="right"/>
              <w:textAlignment w:val="bottom"/>
            </w:pPr>
            <w:r>
              <w:rPr>
                <w:rFonts w:ascii="Arial" w:eastAsia="宋体" w:hAnsi="Arial" w:cs="Arial"/>
                <w:color w:val="000000"/>
                <w:sz w:val="17"/>
                <w:szCs w:val="17"/>
              </w:rPr>
              <w:t>2,298 </w:t>
            </w:r>
          </w:p>
        </w:tc>
        <w:tc>
          <w:tcPr>
            <w:tcW w:w="0" w:type="auto"/>
            <w:tcBorders>
              <w:top w:val="single" w:sz="8" w:space="0" w:color="808080"/>
            </w:tcBorders>
            <w:shd w:val="clear" w:color="auto" w:fill="FFF1E7"/>
            <w:tcMar>
              <w:top w:w="40" w:type="dxa"/>
              <w:bottom w:w="40" w:type="dxa"/>
              <w:right w:w="20" w:type="dxa"/>
            </w:tcMar>
            <w:vAlign w:val="bottom"/>
          </w:tcPr>
          <w:p w14:paraId="1D024EB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4EB2" w14:textId="77777777" w:rsidR="004421F6" w:rsidRDefault="00F15622">
            <w:pPr>
              <w:jc w:val="right"/>
              <w:textAlignment w:val="bottom"/>
            </w:pPr>
            <w:r>
              <w:rPr>
                <w:rFonts w:ascii="Arial" w:eastAsia="宋体" w:hAnsi="Arial" w:cs="Arial"/>
                <w:color w:val="000000"/>
                <w:sz w:val="17"/>
                <w:szCs w:val="17"/>
              </w:rPr>
              <w:t>2,310 </w:t>
            </w:r>
          </w:p>
        </w:tc>
        <w:tc>
          <w:tcPr>
            <w:tcW w:w="0" w:type="auto"/>
            <w:tcBorders>
              <w:top w:val="single" w:sz="8" w:space="0" w:color="808080"/>
            </w:tcBorders>
            <w:shd w:val="clear" w:color="auto" w:fill="auto"/>
            <w:tcMar>
              <w:top w:w="40" w:type="dxa"/>
              <w:bottom w:w="40" w:type="dxa"/>
              <w:right w:w="20" w:type="dxa"/>
            </w:tcMar>
            <w:vAlign w:val="bottom"/>
          </w:tcPr>
          <w:p w14:paraId="1D024EB3" w14:textId="77777777" w:rsidR="004421F6" w:rsidRDefault="004421F6">
            <w:pPr>
              <w:jc w:val="right"/>
              <w:rPr>
                <w:rFonts w:ascii="宋体"/>
              </w:rPr>
            </w:pPr>
          </w:p>
        </w:tc>
        <w:tc>
          <w:tcPr>
            <w:tcW w:w="0" w:type="auto"/>
            <w:shd w:val="clear" w:color="auto" w:fill="auto"/>
          </w:tcPr>
          <w:p w14:paraId="1D024EB4" w14:textId="77777777" w:rsidR="004421F6" w:rsidRDefault="004421F6">
            <w:pPr>
              <w:rPr>
                <w:rFonts w:ascii="宋体"/>
                <w:vanish/>
              </w:rPr>
            </w:pPr>
          </w:p>
        </w:tc>
        <w:tc>
          <w:tcPr>
            <w:tcW w:w="0" w:type="auto"/>
            <w:shd w:val="clear" w:color="auto" w:fill="auto"/>
          </w:tcPr>
          <w:p w14:paraId="1D024EB5" w14:textId="77777777" w:rsidR="004421F6" w:rsidRDefault="004421F6">
            <w:pPr>
              <w:rPr>
                <w:rFonts w:ascii="宋体"/>
                <w:vanish/>
              </w:rPr>
            </w:pPr>
          </w:p>
        </w:tc>
        <w:tc>
          <w:tcPr>
            <w:tcW w:w="0" w:type="auto"/>
            <w:shd w:val="clear" w:color="auto" w:fill="auto"/>
          </w:tcPr>
          <w:p w14:paraId="1D024EB6" w14:textId="77777777" w:rsidR="004421F6" w:rsidRDefault="004421F6">
            <w:pPr>
              <w:rPr>
                <w:rFonts w:ascii="宋体"/>
              </w:rPr>
            </w:pPr>
          </w:p>
        </w:tc>
        <w:tc>
          <w:tcPr>
            <w:tcW w:w="0" w:type="auto"/>
            <w:shd w:val="clear" w:color="auto" w:fill="auto"/>
          </w:tcPr>
          <w:p w14:paraId="1D024EB7" w14:textId="77777777" w:rsidR="004421F6" w:rsidRDefault="004421F6">
            <w:pPr>
              <w:rPr>
                <w:rFonts w:ascii="宋体"/>
              </w:rPr>
            </w:pPr>
          </w:p>
        </w:tc>
        <w:tc>
          <w:tcPr>
            <w:tcW w:w="0" w:type="auto"/>
            <w:shd w:val="clear" w:color="auto" w:fill="auto"/>
          </w:tcPr>
          <w:p w14:paraId="1D024EB8" w14:textId="77777777" w:rsidR="004421F6" w:rsidRDefault="004421F6">
            <w:pPr>
              <w:rPr>
                <w:rFonts w:ascii="宋体"/>
              </w:rPr>
            </w:pPr>
          </w:p>
        </w:tc>
      </w:tr>
      <w:tr w:rsidR="004421F6" w14:paraId="1D024EC4" w14:textId="77777777">
        <w:tc>
          <w:tcPr>
            <w:tcW w:w="0" w:type="auto"/>
            <w:gridSpan w:val="3"/>
            <w:tcBorders>
              <w:top w:val="single" w:sz="8" w:space="0" w:color="E87722"/>
            </w:tcBorders>
            <w:shd w:val="clear" w:color="auto" w:fill="auto"/>
            <w:tcMar>
              <w:top w:w="40" w:type="dxa"/>
              <w:left w:w="135" w:type="dxa"/>
              <w:bottom w:w="40" w:type="dxa"/>
              <w:right w:w="20" w:type="dxa"/>
            </w:tcMar>
            <w:vAlign w:val="bottom"/>
          </w:tcPr>
          <w:p w14:paraId="1D024EBA" w14:textId="77777777" w:rsidR="004421F6" w:rsidRDefault="00F15622">
            <w:pPr>
              <w:textAlignment w:val="bottom"/>
            </w:pPr>
            <w:r>
              <w:rPr>
                <w:rFonts w:ascii="Arial" w:eastAsia="宋体" w:hAnsi="Arial" w:cs="Arial"/>
                <w:color w:val="000000"/>
                <w:sz w:val="17"/>
                <w:szCs w:val="17"/>
              </w:rPr>
              <w:t>Total 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4EBB" w14:textId="77777777" w:rsidR="004421F6" w:rsidRDefault="00F15622">
            <w:pPr>
              <w:jc w:val="right"/>
              <w:textAlignment w:val="bottom"/>
            </w:pPr>
            <w:r>
              <w:rPr>
                <w:rFonts w:ascii="Arial" w:eastAsia="宋体" w:hAnsi="Arial" w:cs="Arial"/>
                <w:color w:val="000000"/>
                <w:sz w:val="17"/>
                <w:szCs w:val="17"/>
              </w:rPr>
              <w:t>2,975 </w:t>
            </w:r>
          </w:p>
        </w:tc>
        <w:tc>
          <w:tcPr>
            <w:tcW w:w="0" w:type="auto"/>
            <w:tcBorders>
              <w:top w:val="single" w:sz="8" w:space="0" w:color="E87722"/>
            </w:tcBorders>
            <w:shd w:val="clear" w:color="auto" w:fill="FFF1E7"/>
            <w:tcMar>
              <w:top w:w="40" w:type="dxa"/>
              <w:bottom w:w="40" w:type="dxa"/>
              <w:right w:w="20" w:type="dxa"/>
            </w:tcMar>
            <w:vAlign w:val="bottom"/>
          </w:tcPr>
          <w:p w14:paraId="1D024EBC"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4EBD" w14:textId="77777777" w:rsidR="004421F6" w:rsidRDefault="00F15622">
            <w:pPr>
              <w:jc w:val="right"/>
              <w:textAlignment w:val="bottom"/>
            </w:pPr>
            <w:r>
              <w:rPr>
                <w:rFonts w:ascii="Arial" w:eastAsia="宋体" w:hAnsi="Arial" w:cs="Arial"/>
                <w:color w:val="000000"/>
                <w:sz w:val="17"/>
                <w:szCs w:val="17"/>
              </w:rPr>
              <w:t>3,328 </w:t>
            </w:r>
          </w:p>
        </w:tc>
        <w:tc>
          <w:tcPr>
            <w:tcW w:w="0" w:type="auto"/>
            <w:tcBorders>
              <w:top w:val="single" w:sz="8" w:space="0" w:color="E87722"/>
            </w:tcBorders>
            <w:shd w:val="clear" w:color="auto" w:fill="auto"/>
            <w:tcMar>
              <w:top w:w="40" w:type="dxa"/>
              <w:bottom w:w="40" w:type="dxa"/>
              <w:right w:w="20" w:type="dxa"/>
            </w:tcMar>
            <w:vAlign w:val="bottom"/>
          </w:tcPr>
          <w:p w14:paraId="1D024EBE" w14:textId="77777777" w:rsidR="004421F6" w:rsidRDefault="004421F6">
            <w:pPr>
              <w:jc w:val="right"/>
              <w:rPr>
                <w:rFonts w:ascii="宋体"/>
              </w:rPr>
            </w:pPr>
          </w:p>
        </w:tc>
        <w:tc>
          <w:tcPr>
            <w:tcW w:w="0" w:type="auto"/>
            <w:shd w:val="clear" w:color="auto" w:fill="auto"/>
          </w:tcPr>
          <w:p w14:paraId="1D024EBF" w14:textId="77777777" w:rsidR="004421F6" w:rsidRDefault="004421F6">
            <w:pPr>
              <w:rPr>
                <w:rFonts w:ascii="宋体"/>
                <w:vanish/>
              </w:rPr>
            </w:pPr>
          </w:p>
        </w:tc>
        <w:tc>
          <w:tcPr>
            <w:tcW w:w="0" w:type="auto"/>
            <w:shd w:val="clear" w:color="auto" w:fill="auto"/>
          </w:tcPr>
          <w:p w14:paraId="1D024EC0" w14:textId="77777777" w:rsidR="004421F6" w:rsidRDefault="004421F6">
            <w:pPr>
              <w:rPr>
                <w:rFonts w:ascii="宋体"/>
                <w:vanish/>
              </w:rPr>
            </w:pPr>
          </w:p>
        </w:tc>
        <w:tc>
          <w:tcPr>
            <w:tcW w:w="0" w:type="auto"/>
            <w:shd w:val="clear" w:color="auto" w:fill="auto"/>
          </w:tcPr>
          <w:p w14:paraId="1D024EC1" w14:textId="77777777" w:rsidR="004421F6" w:rsidRDefault="004421F6">
            <w:pPr>
              <w:rPr>
                <w:rFonts w:ascii="宋体"/>
              </w:rPr>
            </w:pPr>
          </w:p>
        </w:tc>
        <w:tc>
          <w:tcPr>
            <w:tcW w:w="0" w:type="auto"/>
            <w:shd w:val="clear" w:color="auto" w:fill="auto"/>
          </w:tcPr>
          <w:p w14:paraId="1D024EC2" w14:textId="77777777" w:rsidR="004421F6" w:rsidRDefault="004421F6">
            <w:pPr>
              <w:rPr>
                <w:rFonts w:ascii="宋体"/>
              </w:rPr>
            </w:pPr>
          </w:p>
        </w:tc>
        <w:tc>
          <w:tcPr>
            <w:tcW w:w="0" w:type="auto"/>
            <w:shd w:val="clear" w:color="auto" w:fill="auto"/>
          </w:tcPr>
          <w:p w14:paraId="1D024EC3" w14:textId="77777777" w:rsidR="004421F6" w:rsidRDefault="004421F6">
            <w:pPr>
              <w:rPr>
                <w:rFonts w:ascii="宋体"/>
              </w:rPr>
            </w:pPr>
          </w:p>
        </w:tc>
      </w:tr>
      <w:tr w:rsidR="004421F6" w14:paraId="1D024ECF"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C5" w14:textId="77777777" w:rsidR="004421F6" w:rsidRDefault="00F15622">
            <w:pPr>
              <w:textAlignment w:val="bottom"/>
            </w:pPr>
            <w:r>
              <w:rPr>
                <w:rFonts w:ascii="Arial" w:eastAsia="宋体" w:hAnsi="Arial" w:cs="Arial"/>
                <w:color w:val="000000"/>
                <w:sz w:val="17"/>
                <w:szCs w:val="17"/>
              </w:rPr>
              <w:t xml:space="preserve">Interest expense </w:t>
            </w:r>
            <w:r>
              <w:rPr>
                <w:rFonts w:ascii="Arial" w:eastAsia="宋体" w:hAnsi="Arial" w:cs="Arial"/>
                <w:color w:val="000000"/>
                <w:sz w:val="17"/>
                <w:szCs w:val="17"/>
              </w:rPr>
              <w:t>(income),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4EC6" w14:textId="77777777" w:rsidR="004421F6" w:rsidRDefault="00F15622">
            <w:pPr>
              <w:jc w:val="right"/>
              <w:textAlignment w:val="bottom"/>
            </w:pPr>
            <w:r>
              <w:rPr>
                <w:rFonts w:ascii="Arial" w:eastAsia="宋体" w:hAnsi="Arial" w:cs="Arial"/>
                <w:color w:val="000000"/>
                <w:sz w:val="17"/>
                <w:szCs w:val="17"/>
              </w:rPr>
              <w:t>65 </w:t>
            </w:r>
          </w:p>
        </w:tc>
        <w:tc>
          <w:tcPr>
            <w:tcW w:w="0" w:type="auto"/>
            <w:tcBorders>
              <w:top w:val="single" w:sz="8" w:space="0" w:color="808080"/>
            </w:tcBorders>
            <w:shd w:val="clear" w:color="auto" w:fill="FFF1E7"/>
            <w:tcMar>
              <w:top w:w="40" w:type="dxa"/>
              <w:bottom w:w="40" w:type="dxa"/>
              <w:right w:w="20" w:type="dxa"/>
            </w:tcMar>
            <w:vAlign w:val="bottom"/>
          </w:tcPr>
          <w:p w14:paraId="1D024EC7"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4EC8" w14:textId="77777777" w:rsidR="004421F6" w:rsidRDefault="00F15622">
            <w:pPr>
              <w:jc w:val="right"/>
              <w:textAlignment w:val="bottom"/>
            </w:pPr>
            <w:r>
              <w:rPr>
                <w:rFonts w:ascii="Arial" w:eastAsia="宋体" w:hAnsi="Arial" w:cs="Arial"/>
                <w:color w:val="000000"/>
                <w:sz w:val="17"/>
                <w:szCs w:val="17"/>
              </w:rPr>
              <w:t>15 </w:t>
            </w:r>
          </w:p>
        </w:tc>
        <w:tc>
          <w:tcPr>
            <w:tcW w:w="0" w:type="auto"/>
            <w:tcBorders>
              <w:top w:val="single" w:sz="8" w:space="0" w:color="808080"/>
            </w:tcBorders>
            <w:shd w:val="clear" w:color="auto" w:fill="auto"/>
            <w:tcMar>
              <w:top w:w="40" w:type="dxa"/>
              <w:bottom w:w="40" w:type="dxa"/>
              <w:right w:w="20" w:type="dxa"/>
            </w:tcMar>
            <w:vAlign w:val="bottom"/>
          </w:tcPr>
          <w:p w14:paraId="1D024EC9" w14:textId="77777777" w:rsidR="004421F6" w:rsidRDefault="004421F6">
            <w:pPr>
              <w:jc w:val="right"/>
              <w:rPr>
                <w:rFonts w:ascii="宋体"/>
              </w:rPr>
            </w:pPr>
          </w:p>
        </w:tc>
        <w:tc>
          <w:tcPr>
            <w:tcW w:w="0" w:type="auto"/>
            <w:shd w:val="clear" w:color="auto" w:fill="auto"/>
          </w:tcPr>
          <w:p w14:paraId="1D024ECA" w14:textId="77777777" w:rsidR="004421F6" w:rsidRDefault="004421F6">
            <w:pPr>
              <w:rPr>
                <w:rFonts w:ascii="宋体"/>
                <w:vanish/>
              </w:rPr>
            </w:pPr>
          </w:p>
        </w:tc>
        <w:tc>
          <w:tcPr>
            <w:tcW w:w="0" w:type="auto"/>
            <w:shd w:val="clear" w:color="auto" w:fill="auto"/>
          </w:tcPr>
          <w:p w14:paraId="1D024ECB" w14:textId="77777777" w:rsidR="004421F6" w:rsidRDefault="004421F6">
            <w:pPr>
              <w:rPr>
                <w:rFonts w:ascii="宋体"/>
                <w:vanish/>
              </w:rPr>
            </w:pPr>
          </w:p>
        </w:tc>
        <w:tc>
          <w:tcPr>
            <w:tcW w:w="0" w:type="auto"/>
            <w:shd w:val="clear" w:color="auto" w:fill="auto"/>
          </w:tcPr>
          <w:p w14:paraId="1D024ECC" w14:textId="77777777" w:rsidR="004421F6" w:rsidRDefault="004421F6">
            <w:pPr>
              <w:rPr>
                <w:rFonts w:ascii="宋体"/>
              </w:rPr>
            </w:pPr>
          </w:p>
        </w:tc>
        <w:tc>
          <w:tcPr>
            <w:tcW w:w="0" w:type="auto"/>
            <w:shd w:val="clear" w:color="auto" w:fill="auto"/>
          </w:tcPr>
          <w:p w14:paraId="1D024ECD" w14:textId="77777777" w:rsidR="004421F6" w:rsidRDefault="004421F6">
            <w:pPr>
              <w:rPr>
                <w:rFonts w:ascii="宋体"/>
              </w:rPr>
            </w:pPr>
          </w:p>
        </w:tc>
        <w:tc>
          <w:tcPr>
            <w:tcW w:w="0" w:type="auto"/>
            <w:shd w:val="clear" w:color="auto" w:fill="auto"/>
          </w:tcPr>
          <w:p w14:paraId="1D024ECE" w14:textId="77777777" w:rsidR="004421F6" w:rsidRDefault="004421F6">
            <w:pPr>
              <w:rPr>
                <w:rFonts w:ascii="宋体"/>
              </w:rPr>
            </w:pPr>
          </w:p>
        </w:tc>
      </w:tr>
      <w:tr w:rsidR="004421F6" w14:paraId="1D024EDA"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D0" w14:textId="77777777" w:rsidR="004421F6" w:rsidRDefault="00F15622">
            <w:pPr>
              <w:textAlignment w:val="bottom"/>
            </w:pPr>
            <w:r>
              <w:rPr>
                <w:rFonts w:ascii="Arial" w:eastAsia="宋体" w:hAnsi="Arial" w:cs="Arial"/>
                <w:color w:val="000000"/>
                <w:sz w:val="17"/>
                <w:szCs w:val="17"/>
              </w:rPr>
              <w:t>Other (income) expense,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4ED1" w14:textId="77777777" w:rsidR="004421F6" w:rsidRDefault="00F15622">
            <w:pPr>
              <w:jc w:val="right"/>
              <w:textAlignment w:val="bottom"/>
            </w:pPr>
            <w:r>
              <w:rPr>
                <w:rFonts w:ascii="Arial" w:eastAsia="宋体" w:hAnsi="Arial" w:cs="Arial"/>
                <w:color w:val="000000"/>
                <w:sz w:val="17"/>
                <w:szCs w:val="17"/>
              </w:rPr>
              <w:t>(14)</w:t>
            </w:r>
          </w:p>
        </w:tc>
        <w:tc>
          <w:tcPr>
            <w:tcW w:w="0" w:type="auto"/>
            <w:tcBorders>
              <w:top w:val="single" w:sz="8" w:space="0" w:color="808080"/>
            </w:tcBorders>
            <w:shd w:val="clear" w:color="auto" w:fill="FFF1E7"/>
            <w:tcMar>
              <w:top w:w="40" w:type="dxa"/>
              <w:bottom w:w="40" w:type="dxa"/>
              <w:right w:w="20" w:type="dxa"/>
            </w:tcMar>
            <w:vAlign w:val="bottom"/>
          </w:tcPr>
          <w:p w14:paraId="1D024ED2"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4ED3" w14:textId="77777777" w:rsidR="004421F6" w:rsidRDefault="00F15622">
            <w:pPr>
              <w:jc w:val="right"/>
              <w:textAlignment w:val="bottom"/>
            </w:pPr>
            <w:r>
              <w:rPr>
                <w:rFonts w:ascii="Arial" w:eastAsia="宋体" w:hAnsi="Arial" w:cs="Arial"/>
                <w:color w:val="000000"/>
                <w:sz w:val="17"/>
                <w:szCs w:val="17"/>
              </w:rPr>
              <w:t>(33)</w:t>
            </w:r>
          </w:p>
        </w:tc>
        <w:tc>
          <w:tcPr>
            <w:tcW w:w="0" w:type="auto"/>
            <w:tcBorders>
              <w:top w:val="single" w:sz="8" w:space="0" w:color="808080"/>
            </w:tcBorders>
            <w:shd w:val="clear" w:color="auto" w:fill="auto"/>
            <w:tcMar>
              <w:top w:w="40" w:type="dxa"/>
              <w:bottom w:w="40" w:type="dxa"/>
              <w:right w:w="20" w:type="dxa"/>
            </w:tcMar>
            <w:vAlign w:val="bottom"/>
          </w:tcPr>
          <w:p w14:paraId="1D024ED4" w14:textId="77777777" w:rsidR="004421F6" w:rsidRDefault="004421F6">
            <w:pPr>
              <w:jc w:val="right"/>
              <w:rPr>
                <w:rFonts w:ascii="宋体"/>
              </w:rPr>
            </w:pPr>
          </w:p>
        </w:tc>
        <w:tc>
          <w:tcPr>
            <w:tcW w:w="0" w:type="auto"/>
            <w:shd w:val="clear" w:color="auto" w:fill="auto"/>
          </w:tcPr>
          <w:p w14:paraId="1D024ED5" w14:textId="77777777" w:rsidR="004421F6" w:rsidRDefault="004421F6">
            <w:pPr>
              <w:rPr>
                <w:rFonts w:ascii="宋体"/>
                <w:vanish/>
              </w:rPr>
            </w:pPr>
          </w:p>
        </w:tc>
        <w:tc>
          <w:tcPr>
            <w:tcW w:w="0" w:type="auto"/>
            <w:shd w:val="clear" w:color="auto" w:fill="auto"/>
          </w:tcPr>
          <w:p w14:paraId="1D024ED6" w14:textId="77777777" w:rsidR="004421F6" w:rsidRDefault="004421F6">
            <w:pPr>
              <w:rPr>
                <w:rFonts w:ascii="宋体"/>
                <w:vanish/>
              </w:rPr>
            </w:pPr>
          </w:p>
        </w:tc>
        <w:tc>
          <w:tcPr>
            <w:tcW w:w="0" w:type="auto"/>
            <w:shd w:val="clear" w:color="auto" w:fill="auto"/>
          </w:tcPr>
          <w:p w14:paraId="1D024ED7" w14:textId="77777777" w:rsidR="004421F6" w:rsidRDefault="004421F6">
            <w:pPr>
              <w:rPr>
                <w:rFonts w:ascii="宋体"/>
              </w:rPr>
            </w:pPr>
          </w:p>
        </w:tc>
        <w:tc>
          <w:tcPr>
            <w:tcW w:w="0" w:type="auto"/>
            <w:shd w:val="clear" w:color="auto" w:fill="auto"/>
          </w:tcPr>
          <w:p w14:paraId="1D024ED8" w14:textId="77777777" w:rsidR="004421F6" w:rsidRDefault="004421F6">
            <w:pPr>
              <w:rPr>
                <w:rFonts w:ascii="宋体"/>
              </w:rPr>
            </w:pPr>
          </w:p>
        </w:tc>
        <w:tc>
          <w:tcPr>
            <w:tcW w:w="0" w:type="auto"/>
            <w:shd w:val="clear" w:color="auto" w:fill="auto"/>
          </w:tcPr>
          <w:p w14:paraId="1D024ED9" w14:textId="77777777" w:rsidR="004421F6" w:rsidRDefault="004421F6">
            <w:pPr>
              <w:rPr>
                <w:rFonts w:ascii="宋体"/>
              </w:rPr>
            </w:pPr>
          </w:p>
        </w:tc>
      </w:tr>
      <w:tr w:rsidR="004421F6" w14:paraId="1D024EE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EDB" w14:textId="77777777" w:rsidR="004421F6" w:rsidRDefault="00F15622">
            <w:pPr>
              <w:textAlignment w:val="bottom"/>
            </w:pPr>
            <w:r>
              <w:rPr>
                <w:rFonts w:ascii="Arial" w:eastAsia="宋体" w:hAnsi="Arial" w:cs="Arial"/>
                <w:color w:val="000000"/>
                <w:sz w:val="17"/>
                <w:szCs w:val="17"/>
              </w:rPr>
              <w:t>Income before income taxes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4EDC" w14:textId="77777777" w:rsidR="004421F6" w:rsidRDefault="00F15622">
            <w:pPr>
              <w:jc w:val="right"/>
              <w:textAlignment w:val="bottom"/>
            </w:pPr>
            <w:r>
              <w:rPr>
                <w:rFonts w:ascii="Arial" w:eastAsia="宋体" w:hAnsi="Arial" w:cs="Arial"/>
                <w:color w:val="000000"/>
                <w:sz w:val="17"/>
                <w:szCs w:val="17"/>
              </w:rPr>
              <w:t>1,715 </w:t>
            </w:r>
          </w:p>
        </w:tc>
        <w:tc>
          <w:tcPr>
            <w:tcW w:w="0" w:type="auto"/>
            <w:tcBorders>
              <w:top w:val="single" w:sz="8" w:space="0" w:color="E87722"/>
            </w:tcBorders>
            <w:shd w:val="clear" w:color="auto" w:fill="FFF1E7"/>
            <w:tcMar>
              <w:top w:w="40" w:type="dxa"/>
              <w:bottom w:w="40" w:type="dxa"/>
              <w:right w:w="20" w:type="dxa"/>
            </w:tcMar>
            <w:vAlign w:val="bottom"/>
          </w:tcPr>
          <w:p w14:paraId="1D024EDD"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4EDE" w14:textId="77777777" w:rsidR="004421F6" w:rsidRDefault="00F15622">
            <w:pPr>
              <w:jc w:val="right"/>
              <w:textAlignment w:val="bottom"/>
            </w:pPr>
            <w:r>
              <w:rPr>
                <w:rFonts w:ascii="Arial" w:eastAsia="宋体" w:hAnsi="Arial" w:cs="Arial"/>
                <w:color w:val="000000"/>
                <w:sz w:val="17"/>
                <w:szCs w:val="17"/>
              </w:rPr>
              <w:t>1,561 </w:t>
            </w:r>
          </w:p>
        </w:tc>
        <w:tc>
          <w:tcPr>
            <w:tcW w:w="0" w:type="auto"/>
            <w:tcBorders>
              <w:top w:val="single" w:sz="8" w:space="0" w:color="E87722"/>
            </w:tcBorders>
            <w:shd w:val="clear" w:color="auto" w:fill="auto"/>
            <w:tcMar>
              <w:top w:w="40" w:type="dxa"/>
              <w:bottom w:w="40" w:type="dxa"/>
              <w:right w:w="20" w:type="dxa"/>
            </w:tcMar>
            <w:vAlign w:val="bottom"/>
          </w:tcPr>
          <w:p w14:paraId="1D024EDF" w14:textId="77777777" w:rsidR="004421F6" w:rsidRDefault="004421F6">
            <w:pPr>
              <w:jc w:val="right"/>
              <w:rPr>
                <w:rFonts w:ascii="宋体"/>
              </w:rPr>
            </w:pPr>
          </w:p>
        </w:tc>
        <w:tc>
          <w:tcPr>
            <w:tcW w:w="0" w:type="auto"/>
            <w:shd w:val="clear" w:color="auto" w:fill="auto"/>
          </w:tcPr>
          <w:p w14:paraId="1D024EE0" w14:textId="77777777" w:rsidR="004421F6" w:rsidRDefault="004421F6">
            <w:pPr>
              <w:rPr>
                <w:rFonts w:ascii="宋体"/>
                <w:vanish/>
              </w:rPr>
            </w:pPr>
          </w:p>
        </w:tc>
        <w:tc>
          <w:tcPr>
            <w:tcW w:w="0" w:type="auto"/>
            <w:shd w:val="clear" w:color="auto" w:fill="auto"/>
          </w:tcPr>
          <w:p w14:paraId="1D024EE1" w14:textId="77777777" w:rsidR="004421F6" w:rsidRDefault="004421F6">
            <w:pPr>
              <w:rPr>
                <w:rFonts w:ascii="宋体"/>
                <w:vanish/>
              </w:rPr>
            </w:pPr>
          </w:p>
        </w:tc>
        <w:tc>
          <w:tcPr>
            <w:tcW w:w="0" w:type="auto"/>
            <w:shd w:val="clear" w:color="auto" w:fill="auto"/>
          </w:tcPr>
          <w:p w14:paraId="1D024EE2" w14:textId="77777777" w:rsidR="004421F6" w:rsidRDefault="004421F6">
            <w:pPr>
              <w:rPr>
                <w:rFonts w:ascii="宋体"/>
              </w:rPr>
            </w:pPr>
          </w:p>
        </w:tc>
        <w:tc>
          <w:tcPr>
            <w:tcW w:w="0" w:type="auto"/>
            <w:shd w:val="clear" w:color="auto" w:fill="auto"/>
          </w:tcPr>
          <w:p w14:paraId="1D024EE3" w14:textId="77777777" w:rsidR="004421F6" w:rsidRDefault="004421F6">
            <w:pPr>
              <w:rPr>
                <w:rFonts w:ascii="宋体"/>
              </w:rPr>
            </w:pPr>
          </w:p>
        </w:tc>
        <w:tc>
          <w:tcPr>
            <w:tcW w:w="0" w:type="auto"/>
            <w:shd w:val="clear" w:color="auto" w:fill="auto"/>
          </w:tcPr>
          <w:p w14:paraId="1D024EE4" w14:textId="77777777" w:rsidR="004421F6" w:rsidRDefault="004421F6">
            <w:pPr>
              <w:rPr>
                <w:rFonts w:ascii="宋体"/>
              </w:rPr>
            </w:pPr>
          </w:p>
        </w:tc>
      </w:tr>
      <w:tr w:rsidR="004421F6" w14:paraId="1D024EF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EE6" w14:textId="77777777" w:rsidR="004421F6" w:rsidRDefault="00F15622">
            <w:pPr>
              <w:textAlignment w:val="bottom"/>
            </w:pPr>
            <w:r>
              <w:rPr>
                <w:rFonts w:ascii="Arial" w:eastAsia="宋体" w:hAnsi="Arial" w:cs="Arial"/>
                <w:color w:val="000000"/>
                <w:sz w:val="17"/>
                <w:szCs w:val="17"/>
              </w:rPr>
              <w:t>Income tax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4EE7" w14:textId="77777777" w:rsidR="004421F6" w:rsidRDefault="00F15622">
            <w:pPr>
              <w:jc w:val="right"/>
              <w:textAlignment w:val="bottom"/>
            </w:pPr>
            <w:r>
              <w:rPr>
                <w:rFonts w:ascii="Arial" w:eastAsia="宋体" w:hAnsi="Arial" w:cs="Arial"/>
                <w:color w:val="000000"/>
                <w:sz w:val="17"/>
                <w:szCs w:val="17"/>
              </w:rPr>
              <w:t>197 </w:t>
            </w:r>
          </w:p>
        </w:tc>
        <w:tc>
          <w:tcPr>
            <w:tcW w:w="0" w:type="auto"/>
            <w:tcBorders>
              <w:top w:val="single" w:sz="8" w:space="0" w:color="808080"/>
            </w:tcBorders>
            <w:shd w:val="clear" w:color="auto" w:fill="FFF1E7"/>
            <w:tcMar>
              <w:top w:w="40" w:type="dxa"/>
              <w:bottom w:w="40" w:type="dxa"/>
              <w:right w:w="20" w:type="dxa"/>
            </w:tcMar>
            <w:vAlign w:val="bottom"/>
          </w:tcPr>
          <w:p w14:paraId="1D024EE8"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4EE9" w14:textId="77777777" w:rsidR="004421F6" w:rsidRDefault="00F15622">
            <w:pPr>
              <w:jc w:val="right"/>
              <w:textAlignment w:val="bottom"/>
            </w:pPr>
            <w:r>
              <w:rPr>
                <w:rFonts w:ascii="Arial" w:eastAsia="宋体" w:hAnsi="Arial" w:cs="Arial"/>
                <w:color w:val="000000"/>
                <w:sz w:val="17"/>
                <w:szCs w:val="17"/>
              </w:rPr>
              <w:t>194 </w:t>
            </w:r>
          </w:p>
        </w:tc>
        <w:tc>
          <w:tcPr>
            <w:tcW w:w="0" w:type="auto"/>
            <w:tcBorders>
              <w:top w:val="single" w:sz="8" w:space="0" w:color="808080"/>
            </w:tcBorders>
            <w:shd w:val="clear" w:color="auto" w:fill="auto"/>
            <w:tcMar>
              <w:top w:w="40" w:type="dxa"/>
              <w:bottom w:w="40" w:type="dxa"/>
              <w:right w:w="20" w:type="dxa"/>
            </w:tcMar>
            <w:vAlign w:val="bottom"/>
          </w:tcPr>
          <w:p w14:paraId="1D024EEA" w14:textId="77777777" w:rsidR="004421F6" w:rsidRDefault="004421F6">
            <w:pPr>
              <w:jc w:val="right"/>
              <w:rPr>
                <w:rFonts w:ascii="宋体"/>
              </w:rPr>
            </w:pPr>
          </w:p>
        </w:tc>
        <w:tc>
          <w:tcPr>
            <w:tcW w:w="0" w:type="auto"/>
            <w:shd w:val="clear" w:color="auto" w:fill="auto"/>
          </w:tcPr>
          <w:p w14:paraId="1D024EEB" w14:textId="77777777" w:rsidR="004421F6" w:rsidRDefault="004421F6">
            <w:pPr>
              <w:rPr>
                <w:rFonts w:ascii="宋体"/>
                <w:vanish/>
              </w:rPr>
            </w:pPr>
          </w:p>
        </w:tc>
        <w:tc>
          <w:tcPr>
            <w:tcW w:w="0" w:type="auto"/>
            <w:shd w:val="clear" w:color="auto" w:fill="auto"/>
          </w:tcPr>
          <w:p w14:paraId="1D024EEC" w14:textId="77777777" w:rsidR="004421F6" w:rsidRDefault="004421F6">
            <w:pPr>
              <w:rPr>
                <w:rFonts w:ascii="宋体"/>
                <w:vanish/>
              </w:rPr>
            </w:pPr>
          </w:p>
        </w:tc>
        <w:tc>
          <w:tcPr>
            <w:tcW w:w="0" w:type="auto"/>
            <w:shd w:val="clear" w:color="auto" w:fill="auto"/>
          </w:tcPr>
          <w:p w14:paraId="1D024EED" w14:textId="77777777" w:rsidR="004421F6" w:rsidRDefault="004421F6">
            <w:pPr>
              <w:rPr>
                <w:rFonts w:ascii="宋体"/>
              </w:rPr>
            </w:pPr>
          </w:p>
        </w:tc>
        <w:tc>
          <w:tcPr>
            <w:tcW w:w="0" w:type="auto"/>
            <w:shd w:val="clear" w:color="auto" w:fill="auto"/>
          </w:tcPr>
          <w:p w14:paraId="1D024EEE" w14:textId="77777777" w:rsidR="004421F6" w:rsidRDefault="004421F6">
            <w:pPr>
              <w:rPr>
                <w:rFonts w:ascii="宋体"/>
              </w:rPr>
            </w:pPr>
          </w:p>
        </w:tc>
        <w:tc>
          <w:tcPr>
            <w:tcW w:w="0" w:type="auto"/>
            <w:shd w:val="clear" w:color="auto" w:fill="auto"/>
          </w:tcPr>
          <w:p w14:paraId="1D024EEF" w14:textId="77777777" w:rsidR="004421F6" w:rsidRDefault="004421F6">
            <w:pPr>
              <w:rPr>
                <w:rFonts w:ascii="宋体"/>
              </w:rPr>
            </w:pPr>
          </w:p>
        </w:tc>
      </w:tr>
      <w:tr w:rsidR="004421F6" w14:paraId="1D024EF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EF1" w14:textId="77777777" w:rsidR="004421F6" w:rsidRDefault="00F15622">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tcMar>
            <w:vAlign w:val="bottom"/>
          </w:tcPr>
          <w:p w14:paraId="1D024EF2"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4EF3" w14:textId="77777777" w:rsidR="004421F6" w:rsidRDefault="00F15622">
            <w:pPr>
              <w:jc w:val="right"/>
              <w:textAlignment w:val="bottom"/>
            </w:pPr>
            <w:r>
              <w:rPr>
                <w:rFonts w:ascii="Arial" w:eastAsia="宋体" w:hAnsi="Arial" w:cs="Arial"/>
                <w:b/>
                <w:bCs/>
                <w:color w:val="000000"/>
                <w:sz w:val="17"/>
                <w:szCs w:val="17"/>
              </w:rPr>
              <w:t>1,518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4EF4"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4EF5"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4EF6" w14:textId="77777777" w:rsidR="004421F6" w:rsidRDefault="00F15622">
            <w:pPr>
              <w:jc w:val="right"/>
              <w:textAlignment w:val="bottom"/>
            </w:pPr>
            <w:r>
              <w:rPr>
                <w:rFonts w:ascii="Arial" w:eastAsia="宋体" w:hAnsi="Arial" w:cs="Arial"/>
                <w:b/>
                <w:bCs/>
                <w:color w:val="000000"/>
                <w:sz w:val="17"/>
                <w:szCs w:val="17"/>
              </w:rPr>
              <w:t>1,367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4EF7" w14:textId="77777777" w:rsidR="004421F6" w:rsidRDefault="004421F6">
            <w:pPr>
              <w:jc w:val="right"/>
              <w:rPr>
                <w:rFonts w:ascii="宋体"/>
              </w:rPr>
            </w:pPr>
          </w:p>
        </w:tc>
        <w:tc>
          <w:tcPr>
            <w:tcW w:w="0" w:type="auto"/>
            <w:shd w:val="clear" w:color="auto" w:fill="auto"/>
          </w:tcPr>
          <w:p w14:paraId="1D024EF8" w14:textId="77777777" w:rsidR="004421F6" w:rsidRDefault="004421F6">
            <w:pPr>
              <w:rPr>
                <w:rFonts w:ascii="宋体"/>
                <w:vanish/>
              </w:rPr>
            </w:pPr>
          </w:p>
        </w:tc>
        <w:tc>
          <w:tcPr>
            <w:tcW w:w="0" w:type="auto"/>
            <w:shd w:val="clear" w:color="auto" w:fill="auto"/>
          </w:tcPr>
          <w:p w14:paraId="1D024EF9" w14:textId="77777777" w:rsidR="004421F6" w:rsidRDefault="004421F6">
            <w:pPr>
              <w:rPr>
                <w:rFonts w:ascii="宋体"/>
                <w:vanish/>
              </w:rPr>
            </w:pPr>
          </w:p>
        </w:tc>
        <w:tc>
          <w:tcPr>
            <w:tcW w:w="0" w:type="auto"/>
            <w:shd w:val="clear" w:color="auto" w:fill="auto"/>
          </w:tcPr>
          <w:p w14:paraId="1D024EFA" w14:textId="77777777" w:rsidR="004421F6" w:rsidRDefault="004421F6">
            <w:pPr>
              <w:rPr>
                <w:rFonts w:ascii="宋体"/>
              </w:rPr>
            </w:pPr>
          </w:p>
        </w:tc>
        <w:tc>
          <w:tcPr>
            <w:tcW w:w="0" w:type="auto"/>
            <w:shd w:val="clear" w:color="auto" w:fill="auto"/>
          </w:tcPr>
          <w:p w14:paraId="1D024EFB" w14:textId="77777777" w:rsidR="004421F6" w:rsidRDefault="004421F6">
            <w:pPr>
              <w:rPr>
                <w:rFonts w:ascii="宋体"/>
              </w:rPr>
            </w:pPr>
          </w:p>
        </w:tc>
        <w:tc>
          <w:tcPr>
            <w:tcW w:w="0" w:type="auto"/>
            <w:shd w:val="clear" w:color="auto" w:fill="auto"/>
          </w:tcPr>
          <w:p w14:paraId="1D024EFC" w14:textId="77777777" w:rsidR="004421F6" w:rsidRDefault="004421F6">
            <w:pPr>
              <w:rPr>
                <w:rFonts w:ascii="宋体"/>
              </w:rPr>
            </w:pPr>
          </w:p>
        </w:tc>
      </w:tr>
      <w:tr w:rsidR="004421F6" w14:paraId="1D024F0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EFE" w14:textId="77777777" w:rsidR="004421F6" w:rsidRDefault="00F15622">
            <w:pPr>
              <w:textAlignment w:val="bottom"/>
            </w:pPr>
            <w:r>
              <w:rPr>
                <w:rFonts w:ascii="Arial" w:eastAsia="宋体" w:hAnsi="Arial" w:cs="Arial"/>
                <w:color w:val="000000"/>
                <w:sz w:val="17"/>
                <w:szCs w:val="17"/>
              </w:rPr>
              <w:t>Earnings per common share:</w:t>
            </w:r>
          </w:p>
        </w:tc>
        <w:tc>
          <w:tcPr>
            <w:tcW w:w="0" w:type="auto"/>
            <w:gridSpan w:val="3"/>
            <w:tcBorders>
              <w:top w:val="single" w:sz="8" w:space="0" w:color="E87722"/>
            </w:tcBorders>
            <w:shd w:val="clear" w:color="auto" w:fill="FFF1E7"/>
            <w:tcMar>
              <w:left w:w="20" w:type="dxa"/>
              <w:right w:w="20" w:type="dxa"/>
            </w:tcMar>
            <w:vAlign w:val="bottom"/>
          </w:tcPr>
          <w:p w14:paraId="1D024EFF"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4F00" w14:textId="77777777" w:rsidR="004421F6" w:rsidRDefault="004421F6">
            <w:pPr>
              <w:rPr>
                <w:rFonts w:ascii="宋体"/>
              </w:rPr>
            </w:pPr>
          </w:p>
        </w:tc>
        <w:tc>
          <w:tcPr>
            <w:tcW w:w="0" w:type="auto"/>
            <w:shd w:val="clear" w:color="auto" w:fill="auto"/>
          </w:tcPr>
          <w:p w14:paraId="1D024F01" w14:textId="77777777" w:rsidR="004421F6" w:rsidRDefault="004421F6">
            <w:pPr>
              <w:rPr>
                <w:rFonts w:ascii="宋体"/>
                <w:vanish/>
              </w:rPr>
            </w:pPr>
          </w:p>
        </w:tc>
        <w:tc>
          <w:tcPr>
            <w:tcW w:w="0" w:type="auto"/>
            <w:shd w:val="clear" w:color="auto" w:fill="auto"/>
          </w:tcPr>
          <w:p w14:paraId="1D024F02" w14:textId="77777777" w:rsidR="004421F6" w:rsidRDefault="004421F6">
            <w:pPr>
              <w:rPr>
                <w:rFonts w:ascii="宋体"/>
                <w:vanish/>
              </w:rPr>
            </w:pPr>
          </w:p>
        </w:tc>
        <w:tc>
          <w:tcPr>
            <w:tcW w:w="0" w:type="auto"/>
            <w:shd w:val="clear" w:color="auto" w:fill="auto"/>
          </w:tcPr>
          <w:p w14:paraId="1D024F03" w14:textId="77777777" w:rsidR="004421F6" w:rsidRDefault="004421F6">
            <w:pPr>
              <w:rPr>
                <w:rFonts w:ascii="宋体"/>
              </w:rPr>
            </w:pPr>
          </w:p>
        </w:tc>
        <w:tc>
          <w:tcPr>
            <w:tcW w:w="0" w:type="auto"/>
            <w:shd w:val="clear" w:color="auto" w:fill="auto"/>
          </w:tcPr>
          <w:p w14:paraId="1D024F04" w14:textId="77777777" w:rsidR="004421F6" w:rsidRDefault="004421F6">
            <w:pPr>
              <w:rPr>
                <w:rFonts w:ascii="宋体"/>
              </w:rPr>
            </w:pPr>
          </w:p>
        </w:tc>
        <w:tc>
          <w:tcPr>
            <w:tcW w:w="0" w:type="auto"/>
            <w:shd w:val="clear" w:color="auto" w:fill="auto"/>
          </w:tcPr>
          <w:p w14:paraId="1D024F05" w14:textId="77777777" w:rsidR="004421F6" w:rsidRDefault="004421F6">
            <w:pPr>
              <w:rPr>
                <w:rFonts w:ascii="宋体"/>
              </w:rPr>
            </w:pPr>
          </w:p>
        </w:tc>
      </w:tr>
      <w:tr w:rsidR="004421F6" w14:paraId="1D024F13"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4F07" w14:textId="77777777" w:rsidR="004421F6" w:rsidRDefault="00F15622">
            <w:pPr>
              <w:textAlignment w:val="bottom"/>
            </w:pPr>
            <w:r>
              <w:rPr>
                <w:rFonts w:ascii="Arial" w:eastAsia="宋体" w:hAnsi="Arial" w:cs="Arial"/>
                <w:color w:val="000000"/>
                <w:sz w:val="17"/>
                <w:szCs w:val="17"/>
              </w:rPr>
              <w:t>Basic</w:t>
            </w:r>
          </w:p>
        </w:tc>
        <w:tc>
          <w:tcPr>
            <w:tcW w:w="0" w:type="auto"/>
            <w:tcBorders>
              <w:top w:val="single" w:sz="8" w:space="0" w:color="808080"/>
            </w:tcBorders>
            <w:shd w:val="clear" w:color="auto" w:fill="FFF1E7"/>
            <w:tcMar>
              <w:top w:w="40" w:type="dxa"/>
              <w:left w:w="20" w:type="dxa"/>
              <w:bottom w:w="40" w:type="dxa"/>
            </w:tcMar>
            <w:vAlign w:val="bottom"/>
          </w:tcPr>
          <w:p w14:paraId="1D024F08"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4F09" w14:textId="77777777" w:rsidR="004421F6" w:rsidRDefault="00F15622">
            <w:pPr>
              <w:jc w:val="right"/>
              <w:textAlignment w:val="bottom"/>
            </w:pPr>
            <w:r>
              <w:rPr>
                <w:rFonts w:ascii="Arial" w:eastAsia="宋体" w:hAnsi="Arial" w:cs="Arial"/>
                <w:color w:val="000000"/>
                <w:sz w:val="17"/>
                <w:szCs w:val="17"/>
              </w:rPr>
              <w:t>0.97 </w:t>
            </w:r>
          </w:p>
        </w:tc>
        <w:tc>
          <w:tcPr>
            <w:tcW w:w="0" w:type="auto"/>
            <w:tcBorders>
              <w:top w:val="single" w:sz="8" w:space="0" w:color="808080"/>
            </w:tcBorders>
            <w:shd w:val="clear" w:color="auto" w:fill="FFF1E7"/>
            <w:tcMar>
              <w:top w:w="40" w:type="dxa"/>
              <w:bottom w:w="40" w:type="dxa"/>
              <w:right w:w="20" w:type="dxa"/>
            </w:tcMar>
            <w:vAlign w:val="bottom"/>
          </w:tcPr>
          <w:p w14:paraId="1D024F0A"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4F0B"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4F0C" w14:textId="77777777" w:rsidR="004421F6" w:rsidRDefault="00F15622">
            <w:pPr>
              <w:jc w:val="right"/>
              <w:textAlignment w:val="bottom"/>
            </w:pPr>
            <w:r>
              <w:rPr>
                <w:rFonts w:ascii="Arial" w:eastAsia="宋体" w:hAnsi="Arial" w:cs="Arial"/>
                <w:color w:val="000000"/>
                <w:sz w:val="17"/>
                <w:szCs w:val="17"/>
              </w:rPr>
              <w:t>0.87 </w:t>
            </w:r>
          </w:p>
        </w:tc>
        <w:tc>
          <w:tcPr>
            <w:tcW w:w="0" w:type="auto"/>
            <w:tcBorders>
              <w:top w:val="single" w:sz="8" w:space="0" w:color="808080"/>
            </w:tcBorders>
            <w:shd w:val="clear" w:color="auto" w:fill="auto"/>
            <w:tcMar>
              <w:top w:w="40" w:type="dxa"/>
              <w:bottom w:w="40" w:type="dxa"/>
              <w:right w:w="20" w:type="dxa"/>
            </w:tcMar>
            <w:vAlign w:val="bottom"/>
          </w:tcPr>
          <w:p w14:paraId="1D024F0D" w14:textId="77777777" w:rsidR="004421F6" w:rsidRDefault="004421F6">
            <w:pPr>
              <w:jc w:val="right"/>
              <w:rPr>
                <w:rFonts w:ascii="宋体"/>
              </w:rPr>
            </w:pPr>
          </w:p>
        </w:tc>
        <w:tc>
          <w:tcPr>
            <w:tcW w:w="0" w:type="auto"/>
            <w:shd w:val="clear" w:color="auto" w:fill="auto"/>
          </w:tcPr>
          <w:p w14:paraId="1D024F0E" w14:textId="77777777" w:rsidR="004421F6" w:rsidRDefault="004421F6">
            <w:pPr>
              <w:rPr>
                <w:rFonts w:ascii="宋体"/>
                <w:vanish/>
              </w:rPr>
            </w:pPr>
          </w:p>
        </w:tc>
        <w:tc>
          <w:tcPr>
            <w:tcW w:w="0" w:type="auto"/>
            <w:shd w:val="clear" w:color="auto" w:fill="auto"/>
          </w:tcPr>
          <w:p w14:paraId="1D024F0F" w14:textId="77777777" w:rsidR="004421F6" w:rsidRDefault="004421F6">
            <w:pPr>
              <w:rPr>
                <w:rFonts w:ascii="宋体"/>
                <w:vanish/>
              </w:rPr>
            </w:pPr>
          </w:p>
        </w:tc>
        <w:tc>
          <w:tcPr>
            <w:tcW w:w="0" w:type="auto"/>
            <w:shd w:val="clear" w:color="auto" w:fill="auto"/>
          </w:tcPr>
          <w:p w14:paraId="1D024F10" w14:textId="77777777" w:rsidR="004421F6" w:rsidRDefault="004421F6">
            <w:pPr>
              <w:rPr>
                <w:rFonts w:ascii="宋体"/>
              </w:rPr>
            </w:pPr>
          </w:p>
        </w:tc>
        <w:tc>
          <w:tcPr>
            <w:tcW w:w="0" w:type="auto"/>
            <w:shd w:val="clear" w:color="auto" w:fill="auto"/>
          </w:tcPr>
          <w:p w14:paraId="1D024F11" w14:textId="77777777" w:rsidR="004421F6" w:rsidRDefault="004421F6">
            <w:pPr>
              <w:rPr>
                <w:rFonts w:ascii="宋体"/>
              </w:rPr>
            </w:pPr>
          </w:p>
        </w:tc>
        <w:tc>
          <w:tcPr>
            <w:tcW w:w="0" w:type="auto"/>
            <w:shd w:val="clear" w:color="auto" w:fill="auto"/>
          </w:tcPr>
          <w:p w14:paraId="1D024F12" w14:textId="77777777" w:rsidR="004421F6" w:rsidRDefault="004421F6">
            <w:pPr>
              <w:rPr>
                <w:rFonts w:ascii="宋体"/>
              </w:rPr>
            </w:pPr>
          </w:p>
        </w:tc>
      </w:tr>
      <w:tr w:rsidR="004421F6" w14:paraId="1D024F20"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4F14" w14:textId="77777777" w:rsidR="004421F6" w:rsidRDefault="00F15622">
            <w:pPr>
              <w:textAlignment w:val="bottom"/>
            </w:pPr>
            <w:r>
              <w:rPr>
                <w:rFonts w:ascii="Arial" w:eastAsia="宋体" w:hAnsi="Arial" w:cs="Arial"/>
                <w:color w:val="000000"/>
                <w:sz w:val="17"/>
                <w:szCs w:val="17"/>
              </w:rPr>
              <w:t>Diluted</w:t>
            </w:r>
          </w:p>
        </w:tc>
        <w:tc>
          <w:tcPr>
            <w:tcW w:w="0" w:type="auto"/>
            <w:tcBorders>
              <w:top w:val="single" w:sz="8" w:space="0" w:color="808080"/>
            </w:tcBorders>
            <w:shd w:val="clear" w:color="auto" w:fill="FFF1E7"/>
            <w:tcMar>
              <w:top w:w="40" w:type="dxa"/>
              <w:left w:w="20" w:type="dxa"/>
              <w:bottom w:w="40" w:type="dxa"/>
            </w:tcMar>
            <w:vAlign w:val="bottom"/>
          </w:tcPr>
          <w:p w14:paraId="1D024F15"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4F16" w14:textId="77777777" w:rsidR="004421F6" w:rsidRDefault="00F15622">
            <w:pPr>
              <w:jc w:val="right"/>
              <w:textAlignment w:val="bottom"/>
            </w:pPr>
            <w:r>
              <w:rPr>
                <w:rFonts w:ascii="Arial" w:eastAsia="宋体" w:hAnsi="Arial" w:cs="Arial"/>
                <w:color w:val="000000"/>
                <w:sz w:val="17"/>
                <w:szCs w:val="17"/>
              </w:rPr>
              <w:t>0.95 </w:t>
            </w:r>
          </w:p>
        </w:tc>
        <w:tc>
          <w:tcPr>
            <w:tcW w:w="0" w:type="auto"/>
            <w:tcBorders>
              <w:top w:val="single" w:sz="8" w:space="0" w:color="808080"/>
            </w:tcBorders>
            <w:shd w:val="clear" w:color="auto" w:fill="FFF1E7"/>
            <w:tcMar>
              <w:top w:w="40" w:type="dxa"/>
              <w:bottom w:w="40" w:type="dxa"/>
              <w:right w:w="20" w:type="dxa"/>
            </w:tcMar>
            <w:vAlign w:val="bottom"/>
          </w:tcPr>
          <w:p w14:paraId="1D024F17"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4F18"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4F19" w14:textId="77777777" w:rsidR="004421F6" w:rsidRDefault="00F15622">
            <w:pPr>
              <w:jc w:val="right"/>
              <w:textAlignment w:val="bottom"/>
            </w:pPr>
            <w:r>
              <w:rPr>
                <w:rFonts w:ascii="Arial" w:eastAsia="宋体" w:hAnsi="Arial" w:cs="Arial"/>
                <w:color w:val="000000"/>
                <w:sz w:val="17"/>
                <w:szCs w:val="17"/>
              </w:rPr>
              <w:t>0.86 </w:t>
            </w:r>
          </w:p>
        </w:tc>
        <w:tc>
          <w:tcPr>
            <w:tcW w:w="0" w:type="auto"/>
            <w:tcBorders>
              <w:top w:val="single" w:sz="8" w:space="0" w:color="808080"/>
            </w:tcBorders>
            <w:shd w:val="clear" w:color="auto" w:fill="auto"/>
            <w:tcMar>
              <w:top w:w="40" w:type="dxa"/>
              <w:bottom w:w="40" w:type="dxa"/>
              <w:right w:w="20" w:type="dxa"/>
            </w:tcMar>
            <w:vAlign w:val="bottom"/>
          </w:tcPr>
          <w:p w14:paraId="1D024F1A" w14:textId="77777777" w:rsidR="004421F6" w:rsidRDefault="004421F6">
            <w:pPr>
              <w:jc w:val="right"/>
              <w:rPr>
                <w:rFonts w:ascii="宋体"/>
              </w:rPr>
            </w:pPr>
          </w:p>
        </w:tc>
        <w:tc>
          <w:tcPr>
            <w:tcW w:w="0" w:type="auto"/>
            <w:shd w:val="clear" w:color="auto" w:fill="auto"/>
          </w:tcPr>
          <w:p w14:paraId="1D024F1B" w14:textId="77777777" w:rsidR="004421F6" w:rsidRDefault="004421F6">
            <w:pPr>
              <w:rPr>
                <w:rFonts w:ascii="宋体"/>
                <w:vanish/>
              </w:rPr>
            </w:pPr>
          </w:p>
        </w:tc>
        <w:tc>
          <w:tcPr>
            <w:tcW w:w="0" w:type="auto"/>
            <w:shd w:val="clear" w:color="auto" w:fill="auto"/>
          </w:tcPr>
          <w:p w14:paraId="1D024F1C" w14:textId="77777777" w:rsidR="004421F6" w:rsidRDefault="004421F6">
            <w:pPr>
              <w:rPr>
                <w:rFonts w:ascii="宋体"/>
                <w:vanish/>
              </w:rPr>
            </w:pPr>
          </w:p>
        </w:tc>
        <w:tc>
          <w:tcPr>
            <w:tcW w:w="0" w:type="auto"/>
            <w:shd w:val="clear" w:color="auto" w:fill="auto"/>
          </w:tcPr>
          <w:p w14:paraId="1D024F1D" w14:textId="77777777" w:rsidR="004421F6" w:rsidRDefault="004421F6">
            <w:pPr>
              <w:rPr>
                <w:rFonts w:ascii="宋体"/>
              </w:rPr>
            </w:pPr>
          </w:p>
        </w:tc>
        <w:tc>
          <w:tcPr>
            <w:tcW w:w="0" w:type="auto"/>
            <w:shd w:val="clear" w:color="auto" w:fill="auto"/>
          </w:tcPr>
          <w:p w14:paraId="1D024F1E" w14:textId="77777777" w:rsidR="004421F6" w:rsidRDefault="004421F6">
            <w:pPr>
              <w:rPr>
                <w:rFonts w:ascii="宋体"/>
              </w:rPr>
            </w:pPr>
          </w:p>
        </w:tc>
        <w:tc>
          <w:tcPr>
            <w:tcW w:w="0" w:type="auto"/>
            <w:shd w:val="clear" w:color="auto" w:fill="auto"/>
          </w:tcPr>
          <w:p w14:paraId="1D024F1F" w14:textId="77777777" w:rsidR="004421F6" w:rsidRDefault="004421F6">
            <w:pPr>
              <w:rPr>
                <w:rFonts w:ascii="宋体"/>
              </w:rPr>
            </w:pPr>
          </w:p>
        </w:tc>
      </w:tr>
      <w:tr w:rsidR="004421F6" w14:paraId="1D024F2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F21" w14:textId="77777777" w:rsidR="004421F6" w:rsidRDefault="00F15622">
            <w:pPr>
              <w:textAlignment w:val="bottom"/>
            </w:pPr>
            <w:r>
              <w:rPr>
                <w:rFonts w:ascii="Arial" w:eastAsia="宋体" w:hAnsi="Arial" w:cs="Arial"/>
                <w:color w:val="000000"/>
                <w:sz w:val="17"/>
                <w:szCs w:val="17"/>
              </w:rPr>
              <w:t>Weighted average common shares outstanding:</w:t>
            </w:r>
          </w:p>
        </w:tc>
        <w:tc>
          <w:tcPr>
            <w:tcW w:w="0" w:type="auto"/>
            <w:gridSpan w:val="3"/>
            <w:tcBorders>
              <w:top w:val="single" w:sz="8" w:space="0" w:color="808080"/>
            </w:tcBorders>
            <w:shd w:val="clear" w:color="auto" w:fill="FFF1E7"/>
            <w:tcMar>
              <w:left w:w="20" w:type="dxa"/>
              <w:right w:w="20" w:type="dxa"/>
            </w:tcMar>
            <w:vAlign w:val="bottom"/>
          </w:tcPr>
          <w:p w14:paraId="1D024F22"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4F23" w14:textId="77777777" w:rsidR="004421F6" w:rsidRDefault="004421F6">
            <w:pPr>
              <w:rPr>
                <w:rFonts w:ascii="宋体"/>
              </w:rPr>
            </w:pPr>
          </w:p>
        </w:tc>
        <w:tc>
          <w:tcPr>
            <w:tcW w:w="0" w:type="auto"/>
            <w:shd w:val="clear" w:color="auto" w:fill="auto"/>
          </w:tcPr>
          <w:p w14:paraId="1D024F24" w14:textId="77777777" w:rsidR="004421F6" w:rsidRDefault="004421F6">
            <w:pPr>
              <w:rPr>
                <w:rFonts w:ascii="宋体"/>
                <w:vanish/>
              </w:rPr>
            </w:pPr>
          </w:p>
        </w:tc>
        <w:tc>
          <w:tcPr>
            <w:tcW w:w="0" w:type="auto"/>
            <w:shd w:val="clear" w:color="auto" w:fill="auto"/>
          </w:tcPr>
          <w:p w14:paraId="1D024F25" w14:textId="77777777" w:rsidR="004421F6" w:rsidRDefault="004421F6">
            <w:pPr>
              <w:rPr>
                <w:rFonts w:ascii="宋体"/>
                <w:vanish/>
              </w:rPr>
            </w:pPr>
          </w:p>
        </w:tc>
        <w:tc>
          <w:tcPr>
            <w:tcW w:w="0" w:type="auto"/>
            <w:shd w:val="clear" w:color="auto" w:fill="auto"/>
          </w:tcPr>
          <w:p w14:paraId="1D024F26" w14:textId="77777777" w:rsidR="004421F6" w:rsidRDefault="004421F6">
            <w:pPr>
              <w:rPr>
                <w:rFonts w:ascii="宋体"/>
              </w:rPr>
            </w:pPr>
          </w:p>
        </w:tc>
        <w:tc>
          <w:tcPr>
            <w:tcW w:w="0" w:type="auto"/>
            <w:shd w:val="clear" w:color="auto" w:fill="auto"/>
          </w:tcPr>
          <w:p w14:paraId="1D024F27" w14:textId="77777777" w:rsidR="004421F6" w:rsidRDefault="004421F6">
            <w:pPr>
              <w:rPr>
                <w:rFonts w:ascii="宋体"/>
              </w:rPr>
            </w:pPr>
          </w:p>
        </w:tc>
        <w:tc>
          <w:tcPr>
            <w:tcW w:w="0" w:type="auto"/>
            <w:shd w:val="clear" w:color="auto" w:fill="auto"/>
          </w:tcPr>
          <w:p w14:paraId="1D024F28" w14:textId="77777777" w:rsidR="004421F6" w:rsidRDefault="004421F6">
            <w:pPr>
              <w:rPr>
                <w:rFonts w:ascii="宋体"/>
              </w:rPr>
            </w:pPr>
          </w:p>
        </w:tc>
      </w:tr>
      <w:tr w:rsidR="004421F6" w14:paraId="1D024F34"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4F2A" w14:textId="77777777" w:rsidR="004421F6" w:rsidRDefault="00F15622">
            <w:pPr>
              <w:textAlignment w:val="bottom"/>
            </w:pPr>
            <w:r>
              <w:rPr>
                <w:rFonts w:ascii="Arial" w:eastAsia="宋体" w:hAnsi="Arial" w:cs="Arial"/>
                <w:color w:val="000000"/>
                <w:sz w:val="17"/>
                <w:szCs w:val="17"/>
              </w:rPr>
              <w:t>Basic</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4F2B" w14:textId="77777777" w:rsidR="004421F6" w:rsidRDefault="00F15622">
            <w:pPr>
              <w:jc w:val="right"/>
              <w:textAlignment w:val="bottom"/>
            </w:pPr>
            <w:r>
              <w:rPr>
                <w:rFonts w:ascii="Arial" w:eastAsia="宋体" w:hAnsi="Arial" w:cs="Arial"/>
                <w:color w:val="000000"/>
                <w:sz w:val="17"/>
                <w:szCs w:val="17"/>
              </w:rPr>
              <w:t>1,561.8 </w:t>
            </w:r>
          </w:p>
        </w:tc>
        <w:tc>
          <w:tcPr>
            <w:tcW w:w="0" w:type="auto"/>
            <w:tcBorders>
              <w:top w:val="single" w:sz="8" w:space="0" w:color="808080"/>
            </w:tcBorders>
            <w:shd w:val="clear" w:color="auto" w:fill="FFF1E7"/>
            <w:tcMar>
              <w:top w:w="40" w:type="dxa"/>
              <w:bottom w:w="40" w:type="dxa"/>
              <w:right w:w="20" w:type="dxa"/>
            </w:tcMar>
            <w:vAlign w:val="bottom"/>
          </w:tcPr>
          <w:p w14:paraId="1D024F2C"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4F2D" w14:textId="77777777" w:rsidR="004421F6" w:rsidRDefault="00F15622">
            <w:pPr>
              <w:jc w:val="right"/>
              <w:textAlignment w:val="bottom"/>
            </w:pPr>
            <w:r>
              <w:rPr>
                <w:rFonts w:ascii="Arial" w:eastAsia="宋体" w:hAnsi="Arial" w:cs="Arial"/>
                <w:color w:val="000000"/>
                <w:sz w:val="17"/>
                <w:szCs w:val="17"/>
              </w:rPr>
              <w:t>1,562.4 </w:t>
            </w:r>
          </w:p>
        </w:tc>
        <w:tc>
          <w:tcPr>
            <w:tcW w:w="0" w:type="auto"/>
            <w:tcBorders>
              <w:top w:val="single" w:sz="8" w:space="0" w:color="808080"/>
            </w:tcBorders>
            <w:shd w:val="clear" w:color="auto" w:fill="auto"/>
            <w:tcMar>
              <w:top w:w="40" w:type="dxa"/>
              <w:bottom w:w="40" w:type="dxa"/>
              <w:right w:w="20" w:type="dxa"/>
            </w:tcMar>
            <w:vAlign w:val="bottom"/>
          </w:tcPr>
          <w:p w14:paraId="1D024F2E" w14:textId="77777777" w:rsidR="004421F6" w:rsidRDefault="004421F6">
            <w:pPr>
              <w:jc w:val="right"/>
              <w:rPr>
                <w:rFonts w:ascii="宋体"/>
              </w:rPr>
            </w:pPr>
          </w:p>
        </w:tc>
        <w:tc>
          <w:tcPr>
            <w:tcW w:w="0" w:type="auto"/>
            <w:shd w:val="clear" w:color="auto" w:fill="auto"/>
          </w:tcPr>
          <w:p w14:paraId="1D024F2F" w14:textId="77777777" w:rsidR="004421F6" w:rsidRDefault="004421F6">
            <w:pPr>
              <w:rPr>
                <w:rFonts w:ascii="宋体"/>
                <w:vanish/>
              </w:rPr>
            </w:pPr>
          </w:p>
        </w:tc>
        <w:tc>
          <w:tcPr>
            <w:tcW w:w="0" w:type="auto"/>
            <w:shd w:val="clear" w:color="auto" w:fill="auto"/>
          </w:tcPr>
          <w:p w14:paraId="1D024F30" w14:textId="77777777" w:rsidR="004421F6" w:rsidRDefault="004421F6">
            <w:pPr>
              <w:rPr>
                <w:rFonts w:ascii="宋体"/>
                <w:vanish/>
              </w:rPr>
            </w:pPr>
          </w:p>
        </w:tc>
        <w:tc>
          <w:tcPr>
            <w:tcW w:w="0" w:type="auto"/>
            <w:shd w:val="clear" w:color="auto" w:fill="auto"/>
          </w:tcPr>
          <w:p w14:paraId="1D024F31" w14:textId="77777777" w:rsidR="004421F6" w:rsidRDefault="004421F6">
            <w:pPr>
              <w:rPr>
                <w:rFonts w:ascii="宋体"/>
              </w:rPr>
            </w:pPr>
          </w:p>
        </w:tc>
        <w:tc>
          <w:tcPr>
            <w:tcW w:w="0" w:type="auto"/>
            <w:shd w:val="clear" w:color="auto" w:fill="auto"/>
          </w:tcPr>
          <w:p w14:paraId="1D024F32" w14:textId="77777777" w:rsidR="004421F6" w:rsidRDefault="004421F6">
            <w:pPr>
              <w:rPr>
                <w:rFonts w:ascii="宋体"/>
              </w:rPr>
            </w:pPr>
          </w:p>
        </w:tc>
        <w:tc>
          <w:tcPr>
            <w:tcW w:w="0" w:type="auto"/>
            <w:shd w:val="clear" w:color="auto" w:fill="auto"/>
          </w:tcPr>
          <w:p w14:paraId="1D024F33" w14:textId="77777777" w:rsidR="004421F6" w:rsidRDefault="004421F6">
            <w:pPr>
              <w:rPr>
                <w:rFonts w:ascii="宋体"/>
              </w:rPr>
            </w:pPr>
          </w:p>
        </w:tc>
      </w:tr>
      <w:tr w:rsidR="004421F6" w14:paraId="1D024F3F" w14:textId="77777777">
        <w:tc>
          <w:tcPr>
            <w:tcW w:w="0" w:type="auto"/>
            <w:gridSpan w:val="3"/>
            <w:tcBorders>
              <w:top w:val="single" w:sz="8" w:space="0" w:color="808080"/>
              <w:bottom w:val="single" w:sz="8" w:space="0" w:color="E87722"/>
            </w:tcBorders>
            <w:shd w:val="clear" w:color="auto" w:fill="auto"/>
            <w:tcMar>
              <w:top w:w="40" w:type="dxa"/>
              <w:left w:w="135" w:type="dxa"/>
              <w:bottom w:w="40" w:type="dxa"/>
              <w:right w:w="20" w:type="dxa"/>
            </w:tcMar>
            <w:vAlign w:val="bottom"/>
          </w:tcPr>
          <w:p w14:paraId="1D024F35" w14:textId="77777777" w:rsidR="004421F6" w:rsidRDefault="00F15622">
            <w:pPr>
              <w:textAlignment w:val="bottom"/>
            </w:pPr>
            <w:r>
              <w:rPr>
                <w:rFonts w:ascii="Arial" w:eastAsia="宋体" w:hAnsi="Arial" w:cs="Arial"/>
                <w:color w:val="000000"/>
                <w:sz w:val="17"/>
                <w:szCs w:val="17"/>
              </w:rPr>
              <w:t>Diluted</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1D024F36" w14:textId="77777777" w:rsidR="004421F6" w:rsidRDefault="00F15622">
            <w:pPr>
              <w:jc w:val="right"/>
              <w:textAlignment w:val="bottom"/>
            </w:pPr>
            <w:r>
              <w:rPr>
                <w:rFonts w:ascii="Arial" w:eastAsia="宋体" w:hAnsi="Arial" w:cs="Arial"/>
                <w:color w:val="000000"/>
                <w:sz w:val="17"/>
                <w:szCs w:val="17"/>
              </w:rPr>
              <w:t>1,593.3 </w:t>
            </w:r>
          </w:p>
        </w:tc>
        <w:tc>
          <w:tcPr>
            <w:tcW w:w="0" w:type="auto"/>
            <w:tcBorders>
              <w:top w:val="single" w:sz="8" w:space="0" w:color="808080"/>
              <w:bottom w:val="single" w:sz="8" w:space="0" w:color="E87722"/>
            </w:tcBorders>
            <w:shd w:val="clear" w:color="auto" w:fill="FFF1E7"/>
            <w:tcMar>
              <w:top w:w="40" w:type="dxa"/>
              <w:bottom w:w="40" w:type="dxa"/>
              <w:right w:w="20" w:type="dxa"/>
            </w:tcMar>
            <w:vAlign w:val="bottom"/>
          </w:tcPr>
          <w:p w14:paraId="1D024F37" w14:textId="77777777" w:rsidR="004421F6" w:rsidRDefault="004421F6">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1D024F38" w14:textId="77777777" w:rsidR="004421F6" w:rsidRDefault="00F15622">
            <w:pPr>
              <w:jc w:val="right"/>
              <w:textAlignment w:val="bottom"/>
            </w:pPr>
            <w:r>
              <w:rPr>
                <w:rFonts w:ascii="Arial" w:eastAsia="宋体" w:hAnsi="Arial" w:cs="Arial"/>
                <w:color w:val="000000"/>
                <w:sz w:val="17"/>
                <w:szCs w:val="17"/>
              </w:rPr>
              <w:t>1,597.5 </w:t>
            </w:r>
          </w:p>
        </w:tc>
        <w:tc>
          <w:tcPr>
            <w:tcW w:w="0" w:type="auto"/>
            <w:tcBorders>
              <w:top w:val="single" w:sz="8" w:space="0" w:color="808080"/>
              <w:bottom w:val="single" w:sz="8" w:space="0" w:color="E87722"/>
            </w:tcBorders>
            <w:shd w:val="clear" w:color="auto" w:fill="auto"/>
            <w:tcMar>
              <w:top w:w="40" w:type="dxa"/>
              <w:bottom w:w="40" w:type="dxa"/>
              <w:right w:w="20" w:type="dxa"/>
            </w:tcMar>
            <w:vAlign w:val="bottom"/>
          </w:tcPr>
          <w:p w14:paraId="1D024F39" w14:textId="77777777" w:rsidR="004421F6" w:rsidRDefault="004421F6">
            <w:pPr>
              <w:jc w:val="right"/>
              <w:rPr>
                <w:rFonts w:ascii="宋体"/>
              </w:rPr>
            </w:pPr>
          </w:p>
        </w:tc>
        <w:tc>
          <w:tcPr>
            <w:tcW w:w="0" w:type="auto"/>
            <w:shd w:val="clear" w:color="auto" w:fill="auto"/>
          </w:tcPr>
          <w:p w14:paraId="1D024F3A" w14:textId="77777777" w:rsidR="004421F6" w:rsidRDefault="004421F6">
            <w:pPr>
              <w:rPr>
                <w:rFonts w:ascii="宋体"/>
                <w:vanish/>
              </w:rPr>
            </w:pPr>
          </w:p>
        </w:tc>
        <w:tc>
          <w:tcPr>
            <w:tcW w:w="0" w:type="auto"/>
            <w:shd w:val="clear" w:color="auto" w:fill="auto"/>
          </w:tcPr>
          <w:p w14:paraId="1D024F3B" w14:textId="77777777" w:rsidR="004421F6" w:rsidRDefault="004421F6">
            <w:pPr>
              <w:rPr>
                <w:rFonts w:ascii="宋体"/>
                <w:vanish/>
              </w:rPr>
            </w:pPr>
          </w:p>
        </w:tc>
        <w:tc>
          <w:tcPr>
            <w:tcW w:w="0" w:type="auto"/>
            <w:shd w:val="clear" w:color="auto" w:fill="auto"/>
          </w:tcPr>
          <w:p w14:paraId="1D024F3C" w14:textId="77777777" w:rsidR="004421F6" w:rsidRDefault="004421F6">
            <w:pPr>
              <w:rPr>
                <w:rFonts w:ascii="宋体"/>
              </w:rPr>
            </w:pPr>
          </w:p>
        </w:tc>
        <w:tc>
          <w:tcPr>
            <w:tcW w:w="0" w:type="auto"/>
            <w:shd w:val="clear" w:color="auto" w:fill="auto"/>
          </w:tcPr>
          <w:p w14:paraId="1D024F3D" w14:textId="77777777" w:rsidR="004421F6" w:rsidRDefault="004421F6">
            <w:pPr>
              <w:rPr>
                <w:rFonts w:ascii="宋体"/>
              </w:rPr>
            </w:pPr>
          </w:p>
        </w:tc>
        <w:tc>
          <w:tcPr>
            <w:tcW w:w="0" w:type="auto"/>
            <w:shd w:val="clear" w:color="auto" w:fill="auto"/>
          </w:tcPr>
          <w:p w14:paraId="1D024F3E" w14:textId="77777777" w:rsidR="004421F6" w:rsidRDefault="004421F6">
            <w:pPr>
              <w:rPr>
                <w:rFonts w:ascii="宋体"/>
              </w:rPr>
            </w:pPr>
          </w:p>
        </w:tc>
      </w:tr>
    </w:tbl>
    <w:p w14:paraId="1D024F40" w14:textId="77777777" w:rsidR="004421F6" w:rsidRDefault="00F15622">
      <w:pPr>
        <w:spacing w:before="120" w:after="120"/>
      </w:pPr>
      <w:r>
        <w:rPr>
          <w:rFonts w:ascii="Arial" w:eastAsia="宋体" w:hAnsi="Arial" w:cs="Arial"/>
          <w:i/>
          <w:iCs/>
          <w:color w:val="000000"/>
          <w:sz w:val="17"/>
          <w:szCs w:val="17"/>
        </w:rPr>
        <w:t xml:space="preserve">The accompanying Notes to the Unaudited Condensed Consolidated Financial Statements are an </w:t>
      </w:r>
      <w:r>
        <w:rPr>
          <w:rFonts w:ascii="Arial" w:eastAsia="宋体" w:hAnsi="Arial" w:cs="Arial"/>
          <w:i/>
          <w:iCs/>
          <w:color w:val="000000"/>
          <w:sz w:val="17"/>
          <w:szCs w:val="17"/>
        </w:rPr>
        <w:t>integral part of this statement.</w:t>
      </w:r>
    </w:p>
    <w:p w14:paraId="1D024F41" w14:textId="77777777" w:rsidR="004421F6" w:rsidRDefault="00F15622">
      <w:pPr>
        <w:spacing w:before="120" w:after="120"/>
        <w:jc w:val="right"/>
      </w:pPr>
      <w:r>
        <w:rPr>
          <w:rFonts w:ascii="Arial" w:eastAsia="宋体" w:hAnsi="Arial" w:cs="Arial"/>
          <w:color w:val="E87722"/>
          <w:sz w:val="17"/>
          <w:szCs w:val="17"/>
        </w:rPr>
        <w:t>1</w:t>
      </w:r>
    </w:p>
    <w:p w14:paraId="1D024F42" w14:textId="77777777" w:rsidR="004421F6" w:rsidRDefault="00F15622">
      <w:r>
        <w:pict w14:anchorId="1D02727C">
          <v:rect id="_x0000_i1027" style="width:415.3pt;height:1.5pt" o:hralign="center" o:hrstd="t" o:hr="t" fillcolor="#a0a0a0" stroked="f"/>
        </w:pict>
      </w:r>
    </w:p>
    <w:p w14:paraId="1D024F43" w14:textId="77777777" w:rsidR="004421F6" w:rsidRDefault="004421F6"/>
    <w:p w14:paraId="1D024F44" w14:textId="77777777" w:rsidR="004421F6" w:rsidRDefault="00F15622">
      <w:hyperlink r:id="rId44" w:anchor="i3e524f2e23844e81ba9d33a05ac3917c_7" w:history="1">
        <w:r>
          <w:rPr>
            <w:rStyle w:val="a5"/>
            <w:rFonts w:ascii="sans-serif" w:eastAsia="sans-serif" w:hAnsi="sans-serif" w:cs="sans-serif"/>
            <w:sz w:val="17"/>
            <w:szCs w:val="17"/>
          </w:rPr>
          <w:t>Table of Contents</w:t>
        </w:r>
      </w:hyperlink>
    </w:p>
    <w:p w14:paraId="1D024F45" w14:textId="77777777" w:rsidR="004421F6" w:rsidRDefault="004421F6"/>
    <w:p w14:paraId="1D024F46" w14:textId="77777777" w:rsidR="004421F6" w:rsidRDefault="00F15622">
      <w:pPr>
        <w:spacing w:before="300"/>
      </w:pPr>
      <w:r>
        <w:rPr>
          <w:rFonts w:ascii="sans-serif" w:eastAsia="sans-serif" w:hAnsi="sans-serif" w:cs="sans-serif"/>
          <w:b/>
          <w:bCs/>
          <w:color w:val="E87722"/>
          <w:sz w:val="36"/>
          <w:szCs w:val="36"/>
        </w:rPr>
        <w:t>NIKE, INC.</w:t>
      </w:r>
    </w:p>
    <w:p w14:paraId="1D024F47" w14:textId="77777777" w:rsidR="004421F6" w:rsidRDefault="00F15622">
      <w:pPr>
        <w:spacing w:before="120" w:after="120"/>
      </w:pPr>
      <w:r>
        <w:rPr>
          <w:rFonts w:ascii="sans-serif" w:eastAsia="sans-serif" w:hAnsi="sans-serif" w:cs="sans-serif"/>
          <w:b/>
          <w:bCs/>
          <w:color w:val="000000"/>
          <w:sz w:val="28"/>
          <w:szCs w:val="28"/>
        </w:rPr>
        <w:t xml:space="preserve">UNAUDITED CONDENSED </w:t>
      </w:r>
      <w:r>
        <w:rPr>
          <w:rFonts w:ascii="sans-serif" w:eastAsia="sans-serif" w:hAnsi="sans-serif" w:cs="sans-serif"/>
          <w:b/>
          <w:bCs/>
          <w:color w:val="000000"/>
          <w:sz w:val="28"/>
          <w:szCs w:val="28"/>
        </w:rPr>
        <w:t>CONSOLIDATED STATEMENTS OF COMPREHENSIVE INCOME</w:t>
      </w:r>
    </w:p>
    <w:tbl>
      <w:tblPr>
        <w:tblW w:w="5000" w:type="pct"/>
        <w:tblCellMar>
          <w:top w:w="15" w:type="dxa"/>
          <w:left w:w="15" w:type="dxa"/>
          <w:bottom w:w="15" w:type="dxa"/>
          <w:right w:w="15" w:type="dxa"/>
        </w:tblCellMar>
        <w:tblLook w:val="04A0" w:firstRow="1" w:lastRow="0" w:firstColumn="1" w:lastColumn="0" w:noHBand="0" w:noVBand="1"/>
      </w:tblPr>
      <w:tblGrid>
        <w:gridCol w:w="39"/>
        <w:gridCol w:w="5673"/>
        <w:gridCol w:w="38"/>
        <w:gridCol w:w="130"/>
        <w:gridCol w:w="1032"/>
        <w:gridCol w:w="41"/>
        <w:gridCol w:w="130"/>
        <w:gridCol w:w="1032"/>
        <w:gridCol w:w="41"/>
        <w:gridCol w:w="36"/>
        <w:gridCol w:w="36"/>
        <w:gridCol w:w="36"/>
        <w:gridCol w:w="36"/>
        <w:gridCol w:w="36"/>
      </w:tblGrid>
      <w:tr w:rsidR="004421F6" w14:paraId="1D024F53" w14:textId="77777777">
        <w:trPr>
          <w:gridAfter w:val="3"/>
        </w:trPr>
        <w:tc>
          <w:tcPr>
            <w:tcW w:w="50" w:type="pct"/>
            <w:shd w:val="clear" w:color="auto" w:fill="auto"/>
          </w:tcPr>
          <w:p w14:paraId="1D024F48" w14:textId="77777777" w:rsidR="004421F6" w:rsidRDefault="004421F6">
            <w:pPr>
              <w:rPr>
                <w:rFonts w:ascii="宋体"/>
              </w:rPr>
            </w:pPr>
          </w:p>
        </w:tc>
        <w:tc>
          <w:tcPr>
            <w:tcW w:w="3509" w:type="pct"/>
            <w:shd w:val="clear" w:color="auto" w:fill="auto"/>
          </w:tcPr>
          <w:p w14:paraId="1D024F49" w14:textId="77777777" w:rsidR="004421F6" w:rsidRDefault="004421F6">
            <w:pPr>
              <w:rPr>
                <w:rFonts w:ascii="宋体"/>
              </w:rPr>
            </w:pPr>
          </w:p>
        </w:tc>
        <w:tc>
          <w:tcPr>
            <w:tcW w:w="5" w:type="pct"/>
            <w:shd w:val="clear" w:color="auto" w:fill="auto"/>
          </w:tcPr>
          <w:p w14:paraId="1D024F4A" w14:textId="77777777" w:rsidR="004421F6" w:rsidRDefault="004421F6">
            <w:pPr>
              <w:rPr>
                <w:rFonts w:ascii="宋体"/>
              </w:rPr>
            </w:pPr>
          </w:p>
        </w:tc>
        <w:tc>
          <w:tcPr>
            <w:tcW w:w="50" w:type="pct"/>
            <w:shd w:val="clear" w:color="auto" w:fill="auto"/>
          </w:tcPr>
          <w:p w14:paraId="1D024F4B" w14:textId="77777777" w:rsidR="004421F6" w:rsidRDefault="004421F6">
            <w:pPr>
              <w:rPr>
                <w:rFonts w:ascii="宋体"/>
              </w:rPr>
            </w:pPr>
          </w:p>
        </w:tc>
        <w:tc>
          <w:tcPr>
            <w:tcW w:w="662" w:type="pct"/>
            <w:shd w:val="clear" w:color="auto" w:fill="auto"/>
          </w:tcPr>
          <w:p w14:paraId="1D024F4C" w14:textId="77777777" w:rsidR="004421F6" w:rsidRDefault="004421F6">
            <w:pPr>
              <w:rPr>
                <w:rFonts w:ascii="宋体"/>
              </w:rPr>
            </w:pPr>
          </w:p>
        </w:tc>
        <w:tc>
          <w:tcPr>
            <w:tcW w:w="5" w:type="pct"/>
            <w:shd w:val="clear" w:color="auto" w:fill="auto"/>
          </w:tcPr>
          <w:p w14:paraId="1D024F4D" w14:textId="77777777" w:rsidR="004421F6" w:rsidRDefault="004421F6">
            <w:pPr>
              <w:rPr>
                <w:rFonts w:ascii="宋体"/>
              </w:rPr>
            </w:pPr>
          </w:p>
        </w:tc>
        <w:tc>
          <w:tcPr>
            <w:tcW w:w="50" w:type="pct"/>
            <w:shd w:val="clear" w:color="auto" w:fill="auto"/>
          </w:tcPr>
          <w:p w14:paraId="1D024F4E" w14:textId="77777777" w:rsidR="004421F6" w:rsidRDefault="004421F6">
            <w:pPr>
              <w:rPr>
                <w:rFonts w:ascii="宋体"/>
              </w:rPr>
            </w:pPr>
          </w:p>
        </w:tc>
        <w:tc>
          <w:tcPr>
            <w:tcW w:w="662" w:type="pct"/>
            <w:shd w:val="clear" w:color="auto" w:fill="auto"/>
          </w:tcPr>
          <w:p w14:paraId="1D024F4F" w14:textId="77777777" w:rsidR="004421F6" w:rsidRDefault="004421F6">
            <w:pPr>
              <w:rPr>
                <w:rFonts w:ascii="宋体"/>
              </w:rPr>
            </w:pPr>
          </w:p>
        </w:tc>
        <w:tc>
          <w:tcPr>
            <w:tcW w:w="5" w:type="pct"/>
            <w:shd w:val="clear" w:color="auto" w:fill="auto"/>
          </w:tcPr>
          <w:p w14:paraId="1D024F50" w14:textId="77777777" w:rsidR="004421F6" w:rsidRDefault="004421F6">
            <w:pPr>
              <w:rPr>
                <w:rFonts w:ascii="宋体"/>
              </w:rPr>
            </w:pPr>
          </w:p>
        </w:tc>
        <w:tc>
          <w:tcPr>
            <w:tcW w:w="0" w:type="auto"/>
            <w:shd w:val="clear" w:color="auto" w:fill="auto"/>
          </w:tcPr>
          <w:p w14:paraId="1D024F51" w14:textId="77777777" w:rsidR="004421F6" w:rsidRDefault="004421F6">
            <w:pPr>
              <w:rPr>
                <w:rFonts w:ascii="宋体"/>
                <w:vanish/>
              </w:rPr>
            </w:pPr>
          </w:p>
        </w:tc>
        <w:tc>
          <w:tcPr>
            <w:tcW w:w="0" w:type="auto"/>
            <w:shd w:val="clear" w:color="auto" w:fill="auto"/>
          </w:tcPr>
          <w:p w14:paraId="1D024F52" w14:textId="77777777" w:rsidR="004421F6" w:rsidRDefault="004421F6">
            <w:pPr>
              <w:rPr>
                <w:rFonts w:ascii="宋体"/>
                <w:vanish/>
              </w:rPr>
            </w:pPr>
          </w:p>
        </w:tc>
      </w:tr>
      <w:tr w:rsidR="004421F6" w14:paraId="1D024F59" w14:textId="77777777">
        <w:tc>
          <w:tcPr>
            <w:tcW w:w="0" w:type="auto"/>
            <w:gridSpan w:val="3"/>
            <w:shd w:val="clear" w:color="auto" w:fill="auto"/>
            <w:tcMar>
              <w:left w:w="20" w:type="dxa"/>
              <w:right w:w="20" w:type="dxa"/>
            </w:tcMar>
            <w:vAlign w:val="bottom"/>
          </w:tcPr>
          <w:p w14:paraId="1D024F54" w14:textId="77777777" w:rsidR="004421F6" w:rsidRDefault="004421F6">
            <w:pPr>
              <w:rPr>
                <w:rFonts w:ascii="宋体"/>
              </w:rPr>
            </w:pPr>
          </w:p>
        </w:tc>
        <w:tc>
          <w:tcPr>
            <w:tcW w:w="0" w:type="auto"/>
            <w:gridSpan w:val="6"/>
            <w:shd w:val="clear" w:color="auto" w:fill="auto"/>
            <w:tcMar>
              <w:top w:w="40" w:type="dxa"/>
              <w:left w:w="20" w:type="dxa"/>
              <w:bottom w:w="40" w:type="dxa"/>
              <w:right w:w="20" w:type="dxa"/>
            </w:tcMar>
            <w:vAlign w:val="bottom"/>
          </w:tcPr>
          <w:p w14:paraId="1D024F55"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tcPr>
          <w:p w14:paraId="1D024F56" w14:textId="77777777" w:rsidR="004421F6" w:rsidRDefault="004421F6">
            <w:pPr>
              <w:rPr>
                <w:rFonts w:ascii="宋体"/>
                <w:vanish/>
              </w:rPr>
            </w:pPr>
          </w:p>
        </w:tc>
        <w:tc>
          <w:tcPr>
            <w:tcW w:w="0" w:type="auto"/>
            <w:shd w:val="clear" w:color="auto" w:fill="auto"/>
          </w:tcPr>
          <w:p w14:paraId="1D024F57" w14:textId="77777777" w:rsidR="004421F6" w:rsidRDefault="004421F6">
            <w:pPr>
              <w:rPr>
                <w:rFonts w:ascii="宋体"/>
                <w:vanish/>
              </w:rPr>
            </w:pPr>
          </w:p>
        </w:tc>
        <w:tc>
          <w:tcPr>
            <w:tcW w:w="0" w:type="auto"/>
            <w:gridSpan w:val="3"/>
            <w:shd w:val="clear" w:color="auto" w:fill="auto"/>
          </w:tcPr>
          <w:p w14:paraId="1D024F58" w14:textId="77777777" w:rsidR="004421F6" w:rsidRDefault="004421F6">
            <w:pPr>
              <w:rPr>
                <w:rFonts w:ascii="宋体"/>
                <w:vanish/>
              </w:rPr>
            </w:pPr>
          </w:p>
        </w:tc>
      </w:tr>
      <w:tr w:rsidR="004421F6" w14:paraId="1D024F62" w14:textId="77777777">
        <w:tc>
          <w:tcPr>
            <w:tcW w:w="0" w:type="auto"/>
            <w:gridSpan w:val="3"/>
            <w:shd w:val="clear" w:color="auto" w:fill="auto"/>
            <w:tcMar>
              <w:top w:w="40" w:type="dxa"/>
              <w:left w:w="20" w:type="dxa"/>
              <w:bottom w:w="40" w:type="dxa"/>
              <w:right w:w="20" w:type="dxa"/>
            </w:tcMar>
            <w:vAlign w:val="bottom"/>
          </w:tcPr>
          <w:p w14:paraId="1D024F5A"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F5B"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F5C"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shd w:val="clear" w:color="auto" w:fill="auto"/>
          </w:tcPr>
          <w:p w14:paraId="1D024F5D" w14:textId="77777777" w:rsidR="004421F6" w:rsidRDefault="004421F6">
            <w:pPr>
              <w:rPr>
                <w:rFonts w:ascii="宋体"/>
                <w:vanish/>
              </w:rPr>
            </w:pPr>
          </w:p>
        </w:tc>
        <w:tc>
          <w:tcPr>
            <w:tcW w:w="0" w:type="auto"/>
            <w:shd w:val="clear" w:color="auto" w:fill="auto"/>
          </w:tcPr>
          <w:p w14:paraId="1D024F5E" w14:textId="77777777" w:rsidR="004421F6" w:rsidRDefault="004421F6">
            <w:pPr>
              <w:rPr>
                <w:rFonts w:ascii="宋体"/>
                <w:vanish/>
              </w:rPr>
            </w:pPr>
          </w:p>
        </w:tc>
        <w:tc>
          <w:tcPr>
            <w:tcW w:w="0" w:type="auto"/>
            <w:shd w:val="clear" w:color="auto" w:fill="auto"/>
          </w:tcPr>
          <w:p w14:paraId="1D024F5F" w14:textId="77777777" w:rsidR="004421F6" w:rsidRDefault="004421F6">
            <w:pPr>
              <w:rPr>
                <w:rFonts w:ascii="宋体"/>
              </w:rPr>
            </w:pPr>
          </w:p>
        </w:tc>
        <w:tc>
          <w:tcPr>
            <w:tcW w:w="0" w:type="auto"/>
            <w:shd w:val="clear" w:color="auto" w:fill="auto"/>
          </w:tcPr>
          <w:p w14:paraId="1D024F60" w14:textId="77777777" w:rsidR="004421F6" w:rsidRDefault="004421F6">
            <w:pPr>
              <w:rPr>
                <w:rFonts w:ascii="宋体"/>
              </w:rPr>
            </w:pPr>
          </w:p>
        </w:tc>
        <w:tc>
          <w:tcPr>
            <w:tcW w:w="0" w:type="auto"/>
            <w:shd w:val="clear" w:color="auto" w:fill="auto"/>
          </w:tcPr>
          <w:p w14:paraId="1D024F61" w14:textId="77777777" w:rsidR="004421F6" w:rsidRDefault="004421F6">
            <w:pPr>
              <w:rPr>
                <w:rFonts w:ascii="宋体"/>
              </w:rPr>
            </w:pPr>
          </w:p>
        </w:tc>
      </w:tr>
      <w:tr w:rsidR="004421F6" w14:paraId="1D024F6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F63" w14:textId="77777777" w:rsidR="004421F6" w:rsidRDefault="00F15622">
            <w:pPr>
              <w:textAlignment w:val="bottom"/>
            </w:pPr>
            <w:r>
              <w:rPr>
                <w:rFonts w:ascii="Arial" w:eastAsia="宋体" w:hAnsi="Arial" w:cs="Arial"/>
                <w:color w:val="000000"/>
                <w:sz w:val="17"/>
                <w:szCs w:val="17"/>
              </w:rPr>
              <w:t>Net income</w:t>
            </w:r>
          </w:p>
        </w:tc>
        <w:tc>
          <w:tcPr>
            <w:tcW w:w="0" w:type="auto"/>
            <w:tcBorders>
              <w:top w:val="single" w:sz="8" w:space="0" w:color="E87722"/>
            </w:tcBorders>
            <w:shd w:val="clear" w:color="auto" w:fill="FFF1E7"/>
            <w:tcMar>
              <w:top w:w="40" w:type="dxa"/>
              <w:left w:w="20" w:type="dxa"/>
              <w:bottom w:w="40" w:type="dxa"/>
            </w:tcMar>
            <w:vAlign w:val="bottom"/>
          </w:tcPr>
          <w:p w14:paraId="1D024F64"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4F65" w14:textId="77777777" w:rsidR="004421F6" w:rsidRDefault="00F15622">
            <w:pPr>
              <w:jc w:val="right"/>
              <w:textAlignment w:val="bottom"/>
            </w:pPr>
            <w:r>
              <w:rPr>
                <w:rFonts w:ascii="Arial" w:eastAsia="宋体" w:hAnsi="Arial" w:cs="Arial"/>
                <w:color w:val="000000"/>
                <w:sz w:val="17"/>
                <w:szCs w:val="17"/>
              </w:rPr>
              <w:t>1,518 </w:t>
            </w:r>
          </w:p>
        </w:tc>
        <w:tc>
          <w:tcPr>
            <w:tcW w:w="0" w:type="auto"/>
            <w:tcBorders>
              <w:top w:val="single" w:sz="8" w:space="0" w:color="E87722"/>
            </w:tcBorders>
            <w:shd w:val="clear" w:color="auto" w:fill="FFF1E7"/>
            <w:tcMar>
              <w:top w:w="40" w:type="dxa"/>
              <w:bottom w:w="40" w:type="dxa"/>
              <w:right w:w="20" w:type="dxa"/>
            </w:tcMar>
            <w:vAlign w:val="bottom"/>
          </w:tcPr>
          <w:p w14:paraId="1D024F66"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4F67"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4F68" w14:textId="77777777" w:rsidR="004421F6" w:rsidRDefault="00F15622">
            <w:pPr>
              <w:jc w:val="right"/>
              <w:textAlignment w:val="bottom"/>
            </w:pPr>
            <w:r>
              <w:rPr>
                <w:rFonts w:ascii="Arial" w:eastAsia="宋体" w:hAnsi="Arial" w:cs="Arial"/>
                <w:color w:val="000000"/>
                <w:sz w:val="17"/>
                <w:szCs w:val="17"/>
              </w:rPr>
              <w:t>1,367 </w:t>
            </w:r>
          </w:p>
        </w:tc>
        <w:tc>
          <w:tcPr>
            <w:tcW w:w="0" w:type="auto"/>
            <w:tcBorders>
              <w:top w:val="single" w:sz="8" w:space="0" w:color="E87722"/>
            </w:tcBorders>
            <w:shd w:val="clear" w:color="auto" w:fill="auto"/>
            <w:tcMar>
              <w:top w:w="40" w:type="dxa"/>
              <w:bottom w:w="40" w:type="dxa"/>
              <w:right w:w="20" w:type="dxa"/>
            </w:tcMar>
            <w:vAlign w:val="bottom"/>
          </w:tcPr>
          <w:p w14:paraId="1D024F69" w14:textId="77777777" w:rsidR="004421F6" w:rsidRDefault="004421F6">
            <w:pPr>
              <w:jc w:val="right"/>
              <w:rPr>
                <w:rFonts w:ascii="宋体"/>
              </w:rPr>
            </w:pPr>
          </w:p>
        </w:tc>
        <w:tc>
          <w:tcPr>
            <w:tcW w:w="0" w:type="auto"/>
            <w:shd w:val="clear" w:color="auto" w:fill="auto"/>
          </w:tcPr>
          <w:p w14:paraId="1D024F6A" w14:textId="77777777" w:rsidR="004421F6" w:rsidRDefault="004421F6">
            <w:pPr>
              <w:rPr>
                <w:rFonts w:ascii="宋体"/>
                <w:vanish/>
              </w:rPr>
            </w:pPr>
          </w:p>
        </w:tc>
        <w:tc>
          <w:tcPr>
            <w:tcW w:w="0" w:type="auto"/>
            <w:shd w:val="clear" w:color="auto" w:fill="auto"/>
          </w:tcPr>
          <w:p w14:paraId="1D024F6B" w14:textId="77777777" w:rsidR="004421F6" w:rsidRDefault="004421F6">
            <w:pPr>
              <w:rPr>
                <w:rFonts w:ascii="宋体"/>
                <w:vanish/>
              </w:rPr>
            </w:pPr>
          </w:p>
        </w:tc>
        <w:tc>
          <w:tcPr>
            <w:tcW w:w="0" w:type="auto"/>
            <w:shd w:val="clear" w:color="auto" w:fill="auto"/>
          </w:tcPr>
          <w:p w14:paraId="1D024F6C" w14:textId="77777777" w:rsidR="004421F6" w:rsidRDefault="004421F6">
            <w:pPr>
              <w:rPr>
                <w:rFonts w:ascii="宋体"/>
              </w:rPr>
            </w:pPr>
          </w:p>
        </w:tc>
        <w:tc>
          <w:tcPr>
            <w:tcW w:w="0" w:type="auto"/>
            <w:shd w:val="clear" w:color="auto" w:fill="auto"/>
          </w:tcPr>
          <w:p w14:paraId="1D024F6D" w14:textId="77777777" w:rsidR="004421F6" w:rsidRDefault="004421F6">
            <w:pPr>
              <w:rPr>
                <w:rFonts w:ascii="宋体"/>
              </w:rPr>
            </w:pPr>
          </w:p>
        </w:tc>
        <w:tc>
          <w:tcPr>
            <w:tcW w:w="0" w:type="auto"/>
            <w:shd w:val="clear" w:color="auto" w:fill="auto"/>
          </w:tcPr>
          <w:p w14:paraId="1D024F6E" w14:textId="77777777" w:rsidR="004421F6" w:rsidRDefault="004421F6">
            <w:pPr>
              <w:rPr>
                <w:rFonts w:ascii="宋体"/>
              </w:rPr>
            </w:pPr>
          </w:p>
        </w:tc>
      </w:tr>
      <w:tr w:rsidR="004421F6" w14:paraId="1D024F7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F70" w14:textId="77777777" w:rsidR="004421F6" w:rsidRDefault="00F15622">
            <w:pPr>
              <w:textAlignment w:val="bottom"/>
            </w:pPr>
            <w:r>
              <w:rPr>
                <w:rFonts w:ascii="Arial" w:eastAsia="宋体" w:hAnsi="Arial" w:cs="Arial"/>
                <w:color w:val="000000"/>
                <w:sz w:val="17"/>
                <w:szCs w:val="17"/>
              </w:rPr>
              <w:t>Other comprehensive income (loss), net of tax:</w:t>
            </w:r>
          </w:p>
        </w:tc>
        <w:tc>
          <w:tcPr>
            <w:tcW w:w="0" w:type="auto"/>
            <w:gridSpan w:val="3"/>
            <w:tcBorders>
              <w:top w:val="single" w:sz="8" w:space="0" w:color="808080"/>
            </w:tcBorders>
            <w:shd w:val="clear" w:color="auto" w:fill="FFF1E7"/>
            <w:tcMar>
              <w:left w:w="20" w:type="dxa"/>
              <w:right w:w="20" w:type="dxa"/>
            </w:tcMar>
            <w:vAlign w:val="bottom"/>
          </w:tcPr>
          <w:p w14:paraId="1D024F71"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4F72" w14:textId="77777777" w:rsidR="004421F6" w:rsidRDefault="004421F6">
            <w:pPr>
              <w:rPr>
                <w:rFonts w:ascii="宋体"/>
              </w:rPr>
            </w:pPr>
          </w:p>
        </w:tc>
        <w:tc>
          <w:tcPr>
            <w:tcW w:w="0" w:type="auto"/>
            <w:shd w:val="clear" w:color="auto" w:fill="auto"/>
          </w:tcPr>
          <w:p w14:paraId="1D024F73" w14:textId="77777777" w:rsidR="004421F6" w:rsidRDefault="004421F6">
            <w:pPr>
              <w:rPr>
                <w:rFonts w:ascii="宋体"/>
                <w:vanish/>
              </w:rPr>
            </w:pPr>
          </w:p>
        </w:tc>
        <w:tc>
          <w:tcPr>
            <w:tcW w:w="0" w:type="auto"/>
            <w:shd w:val="clear" w:color="auto" w:fill="auto"/>
          </w:tcPr>
          <w:p w14:paraId="1D024F74" w14:textId="77777777" w:rsidR="004421F6" w:rsidRDefault="004421F6">
            <w:pPr>
              <w:rPr>
                <w:rFonts w:ascii="宋体"/>
                <w:vanish/>
              </w:rPr>
            </w:pPr>
          </w:p>
        </w:tc>
        <w:tc>
          <w:tcPr>
            <w:tcW w:w="0" w:type="auto"/>
            <w:shd w:val="clear" w:color="auto" w:fill="auto"/>
          </w:tcPr>
          <w:p w14:paraId="1D024F75" w14:textId="77777777" w:rsidR="004421F6" w:rsidRDefault="004421F6">
            <w:pPr>
              <w:rPr>
                <w:rFonts w:ascii="宋体"/>
              </w:rPr>
            </w:pPr>
          </w:p>
        </w:tc>
        <w:tc>
          <w:tcPr>
            <w:tcW w:w="0" w:type="auto"/>
            <w:shd w:val="clear" w:color="auto" w:fill="auto"/>
          </w:tcPr>
          <w:p w14:paraId="1D024F76" w14:textId="77777777" w:rsidR="004421F6" w:rsidRDefault="004421F6">
            <w:pPr>
              <w:rPr>
                <w:rFonts w:ascii="宋体"/>
              </w:rPr>
            </w:pPr>
          </w:p>
        </w:tc>
        <w:tc>
          <w:tcPr>
            <w:tcW w:w="0" w:type="auto"/>
            <w:shd w:val="clear" w:color="auto" w:fill="auto"/>
          </w:tcPr>
          <w:p w14:paraId="1D024F77" w14:textId="77777777" w:rsidR="004421F6" w:rsidRDefault="004421F6">
            <w:pPr>
              <w:rPr>
                <w:rFonts w:ascii="宋体"/>
              </w:rPr>
            </w:pPr>
          </w:p>
        </w:tc>
      </w:tr>
      <w:tr w:rsidR="004421F6" w14:paraId="1D024F83"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4F79" w14:textId="77777777" w:rsidR="004421F6" w:rsidRDefault="00F15622">
            <w:pPr>
              <w:textAlignment w:val="bottom"/>
            </w:pPr>
            <w:r>
              <w:rPr>
                <w:rFonts w:ascii="Arial" w:eastAsia="宋体" w:hAnsi="Arial" w:cs="Arial"/>
                <w:color w:val="000000"/>
                <w:sz w:val="17"/>
                <w:szCs w:val="17"/>
              </w:rPr>
              <w:t xml:space="preserve">Change in net foreign </w:t>
            </w:r>
            <w:r>
              <w:rPr>
                <w:rFonts w:ascii="Arial" w:eastAsia="宋体" w:hAnsi="Arial" w:cs="Arial"/>
                <w:color w:val="000000"/>
                <w:sz w:val="17"/>
                <w:szCs w:val="17"/>
              </w:rPr>
              <w:t>currency translation adjustment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4F7A" w14:textId="77777777" w:rsidR="004421F6" w:rsidRDefault="00F15622">
            <w:pPr>
              <w:jc w:val="right"/>
              <w:textAlignment w:val="bottom"/>
            </w:pPr>
            <w:r>
              <w:rPr>
                <w:rFonts w:ascii="Arial" w:eastAsia="宋体" w:hAnsi="Arial" w:cs="Arial"/>
                <w:color w:val="000000"/>
                <w:sz w:val="17"/>
                <w:szCs w:val="17"/>
              </w:rPr>
              <w:t>318 </w:t>
            </w:r>
          </w:p>
        </w:tc>
        <w:tc>
          <w:tcPr>
            <w:tcW w:w="0" w:type="auto"/>
            <w:tcBorders>
              <w:top w:val="single" w:sz="8" w:space="0" w:color="808080"/>
            </w:tcBorders>
            <w:shd w:val="clear" w:color="auto" w:fill="FFF1E7"/>
            <w:tcMar>
              <w:top w:w="40" w:type="dxa"/>
              <w:bottom w:w="40" w:type="dxa"/>
              <w:right w:w="20" w:type="dxa"/>
            </w:tcMar>
            <w:vAlign w:val="bottom"/>
          </w:tcPr>
          <w:p w14:paraId="1D024F7B"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4F7C" w14:textId="77777777" w:rsidR="004421F6" w:rsidRDefault="00F15622">
            <w:pPr>
              <w:jc w:val="right"/>
              <w:textAlignment w:val="bottom"/>
            </w:pPr>
            <w:r>
              <w:rPr>
                <w:rFonts w:ascii="Arial" w:eastAsia="宋体" w:hAnsi="Arial" w:cs="Arial"/>
                <w:color w:val="000000"/>
                <w:sz w:val="17"/>
                <w:szCs w:val="17"/>
              </w:rPr>
              <w:t>(89)</w:t>
            </w:r>
          </w:p>
        </w:tc>
        <w:tc>
          <w:tcPr>
            <w:tcW w:w="0" w:type="auto"/>
            <w:tcBorders>
              <w:top w:val="single" w:sz="8" w:space="0" w:color="808080"/>
            </w:tcBorders>
            <w:shd w:val="clear" w:color="auto" w:fill="auto"/>
            <w:tcMar>
              <w:top w:w="40" w:type="dxa"/>
              <w:bottom w:w="40" w:type="dxa"/>
              <w:right w:w="20" w:type="dxa"/>
            </w:tcMar>
            <w:vAlign w:val="bottom"/>
          </w:tcPr>
          <w:p w14:paraId="1D024F7D" w14:textId="77777777" w:rsidR="004421F6" w:rsidRDefault="004421F6">
            <w:pPr>
              <w:jc w:val="right"/>
              <w:rPr>
                <w:rFonts w:ascii="宋体"/>
              </w:rPr>
            </w:pPr>
          </w:p>
        </w:tc>
        <w:tc>
          <w:tcPr>
            <w:tcW w:w="0" w:type="auto"/>
            <w:shd w:val="clear" w:color="auto" w:fill="auto"/>
          </w:tcPr>
          <w:p w14:paraId="1D024F7E" w14:textId="77777777" w:rsidR="004421F6" w:rsidRDefault="004421F6">
            <w:pPr>
              <w:rPr>
                <w:rFonts w:ascii="宋体"/>
                <w:vanish/>
              </w:rPr>
            </w:pPr>
          </w:p>
        </w:tc>
        <w:tc>
          <w:tcPr>
            <w:tcW w:w="0" w:type="auto"/>
            <w:shd w:val="clear" w:color="auto" w:fill="auto"/>
          </w:tcPr>
          <w:p w14:paraId="1D024F7F" w14:textId="77777777" w:rsidR="004421F6" w:rsidRDefault="004421F6">
            <w:pPr>
              <w:rPr>
                <w:rFonts w:ascii="宋体"/>
                <w:vanish/>
              </w:rPr>
            </w:pPr>
          </w:p>
        </w:tc>
        <w:tc>
          <w:tcPr>
            <w:tcW w:w="0" w:type="auto"/>
            <w:shd w:val="clear" w:color="auto" w:fill="auto"/>
          </w:tcPr>
          <w:p w14:paraId="1D024F80" w14:textId="77777777" w:rsidR="004421F6" w:rsidRDefault="004421F6">
            <w:pPr>
              <w:rPr>
                <w:rFonts w:ascii="宋体"/>
              </w:rPr>
            </w:pPr>
          </w:p>
        </w:tc>
        <w:tc>
          <w:tcPr>
            <w:tcW w:w="0" w:type="auto"/>
            <w:shd w:val="clear" w:color="auto" w:fill="auto"/>
          </w:tcPr>
          <w:p w14:paraId="1D024F81" w14:textId="77777777" w:rsidR="004421F6" w:rsidRDefault="004421F6">
            <w:pPr>
              <w:rPr>
                <w:rFonts w:ascii="宋体"/>
              </w:rPr>
            </w:pPr>
          </w:p>
        </w:tc>
        <w:tc>
          <w:tcPr>
            <w:tcW w:w="0" w:type="auto"/>
            <w:shd w:val="clear" w:color="auto" w:fill="auto"/>
          </w:tcPr>
          <w:p w14:paraId="1D024F82" w14:textId="77777777" w:rsidR="004421F6" w:rsidRDefault="004421F6">
            <w:pPr>
              <w:rPr>
                <w:rFonts w:ascii="宋体"/>
              </w:rPr>
            </w:pPr>
          </w:p>
        </w:tc>
      </w:tr>
      <w:tr w:rsidR="004421F6" w14:paraId="1D024F8E"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4F84" w14:textId="77777777" w:rsidR="004421F6" w:rsidRDefault="00F15622">
            <w:pPr>
              <w:textAlignment w:val="bottom"/>
            </w:pPr>
            <w:r>
              <w:rPr>
                <w:rFonts w:ascii="Arial" w:eastAsia="宋体" w:hAnsi="Arial" w:cs="Arial"/>
                <w:color w:val="000000"/>
                <w:sz w:val="17"/>
                <w:szCs w:val="17"/>
              </w:rPr>
              <w:t>Change in net gains (losses) on cash flow hedges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4F85" w14:textId="77777777" w:rsidR="004421F6" w:rsidRDefault="00F15622">
            <w:pPr>
              <w:jc w:val="right"/>
              <w:textAlignment w:val="bottom"/>
            </w:pPr>
            <w:r>
              <w:rPr>
                <w:rFonts w:ascii="Arial" w:eastAsia="宋体" w:hAnsi="Arial" w:cs="Arial"/>
                <w:color w:val="000000"/>
                <w:sz w:val="17"/>
                <w:szCs w:val="17"/>
              </w:rPr>
              <w:t>(658)</w:t>
            </w:r>
          </w:p>
        </w:tc>
        <w:tc>
          <w:tcPr>
            <w:tcW w:w="0" w:type="auto"/>
            <w:tcBorders>
              <w:top w:val="single" w:sz="8" w:space="0" w:color="808080"/>
            </w:tcBorders>
            <w:shd w:val="clear" w:color="auto" w:fill="FFF1E7"/>
            <w:tcMar>
              <w:top w:w="40" w:type="dxa"/>
              <w:bottom w:w="40" w:type="dxa"/>
              <w:right w:w="20" w:type="dxa"/>
            </w:tcMar>
            <w:vAlign w:val="bottom"/>
          </w:tcPr>
          <w:p w14:paraId="1D024F86"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4F87" w14:textId="77777777" w:rsidR="004421F6" w:rsidRDefault="00F15622">
            <w:pPr>
              <w:jc w:val="right"/>
              <w:textAlignment w:val="bottom"/>
            </w:pPr>
            <w:r>
              <w:rPr>
                <w:rFonts w:ascii="Arial" w:eastAsia="宋体" w:hAnsi="Arial" w:cs="Arial"/>
                <w:color w:val="000000"/>
                <w:sz w:val="17"/>
                <w:szCs w:val="17"/>
              </w:rPr>
              <w:t>36 </w:t>
            </w:r>
          </w:p>
        </w:tc>
        <w:tc>
          <w:tcPr>
            <w:tcW w:w="0" w:type="auto"/>
            <w:tcBorders>
              <w:top w:val="single" w:sz="8" w:space="0" w:color="808080"/>
            </w:tcBorders>
            <w:shd w:val="clear" w:color="auto" w:fill="auto"/>
            <w:tcMar>
              <w:top w:w="40" w:type="dxa"/>
              <w:bottom w:w="40" w:type="dxa"/>
              <w:right w:w="20" w:type="dxa"/>
            </w:tcMar>
            <w:vAlign w:val="bottom"/>
          </w:tcPr>
          <w:p w14:paraId="1D024F88" w14:textId="77777777" w:rsidR="004421F6" w:rsidRDefault="004421F6">
            <w:pPr>
              <w:jc w:val="right"/>
              <w:rPr>
                <w:rFonts w:ascii="宋体"/>
              </w:rPr>
            </w:pPr>
          </w:p>
        </w:tc>
        <w:tc>
          <w:tcPr>
            <w:tcW w:w="0" w:type="auto"/>
            <w:shd w:val="clear" w:color="auto" w:fill="auto"/>
          </w:tcPr>
          <w:p w14:paraId="1D024F89" w14:textId="77777777" w:rsidR="004421F6" w:rsidRDefault="004421F6">
            <w:pPr>
              <w:rPr>
                <w:rFonts w:ascii="宋体"/>
                <w:vanish/>
              </w:rPr>
            </w:pPr>
          </w:p>
        </w:tc>
        <w:tc>
          <w:tcPr>
            <w:tcW w:w="0" w:type="auto"/>
            <w:shd w:val="clear" w:color="auto" w:fill="auto"/>
          </w:tcPr>
          <w:p w14:paraId="1D024F8A" w14:textId="77777777" w:rsidR="004421F6" w:rsidRDefault="004421F6">
            <w:pPr>
              <w:rPr>
                <w:rFonts w:ascii="宋体"/>
                <w:vanish/>
              </w:rPr>
            </w:pPr>
          </w:p>
        </w:tc>
        <w:tc>
          <w:tcPr>
            <w:tcW w:w="0" w:type="auto"/>
            <w:shd w:val="clear" w:color="auto" w:fill="auto"/>
          </w:tcPr>
          <w:p w14:paraId="1D024F8B" w14:textId="77777777" w:rsidR="004421F6" w:rsidRDefault="004421F6">
            <w:pPr>
              <w:rPr>
                <w:rFonts w:ascii="宋体"/>
              </w:rPr>
            </w:pPr>
          </w:p>
        </w:tc>
        <w:tc>
          <w:tcPr>
            <w:tcW w:w="0" w:type="auto"/>
            <w:shd w:val="clear" w:color="auto" w:fill="auto"/>
          </w:tcPr>
          <w:p w14:paraId="1D024F8C" w14:textId="77777777" w:rsidR="004421F6" w:rsidRDefault="004421F6">
            <w:pPr>
              <w:rPr>
                <w:rFonts w:ascii="宋体"/>
              </w:rPr>
            </w:pPr>
          </w:p>
        </w:tc>
        <w:tc>
          <w:tcPr>
            <w:tcW w:w="0" w:type="auto"/>
            <w:shd w:val="clear" w:color="auto" w:fill="auto"/>
          </w:tcPr>
          <w:p w14:paraId="1D024F8D" w14:textId="77777777" w:rsidR="004421F6" w:rsidRDefault="004421F6">
            <w:pPr>
              <w:rPr>
                <w:rFonts w:ascii="宋体"/>
              </w:rPr>
            </w:pPr>
          </w:p>
        </w:tc>
      </w:tr>
      <w:tr w:rsidR="004421F6" w14:paraId="1D024F99"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4F8F" w14:textId="77777777" w:rsidR="004421F6" w:rsidRDefault="00F15622">
            <w:pPr>
              <w:textAlignment w:val="bottom"/>
            </w:pPr>
            <w:r>
              <w:rPr>
                <w:rFonts w:ascii="Arial" w:eastAsia="宋体" w:hAnsi="Arial" w:cs="Arial"/>
                <w:color w:val="000000"/>
                <w:sz w:val="17"/>
                <w:szCs w:val="17"/>
              </w:rPr>
              <w:t>Change in net gains (losses) on 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4F90" w14:textId="77777777" w:rsidR="004421F6" w:rsidRDefault="00F15622">
            <w:pPr>
              <w:jc w:val="right"/>
              <w:textAlignment w:val="bottom"/>
            </w:pPr>
            <w:r>
              <w:rPr>
                <w:rFonts w:ascii="Arial" w:eastAsia="宋体" w:hAnsi="Arial" w:cs="Arial"/>
                <w:color w:val="000000"/>
                <w:sz w:val="17"/>
                <w:szCs w:val="17"/>
              </w:rPr>
              <w:t>(5)</w:t>
            </w:r>
          </w:p>
        </w:tc>
        <w:tc>
          <w:tcPr>
            <w:tcW w:w="0" w:type="auto"/>
            <w:tcBorders>
              <w:top w:val="single" w:sz="8" w:space="0" w:color="808080"/>
            </w:tcBorders>
            <w:shd w:val="clear" w:color="auto" w:fill="FFF1E7"/>
            <w:tcMar>
              <w:top w:w="40" w:type="dxa"/>
              <w:bottom w:w="40" w:type="dxa"/>
              <w:right w:w="20" w:type="dxa"/>
            </w:tcMar>
            <w:vAlign w:val="bottom"/>
          </w:tcPr>
          <w:p w14:paraId="1D024F9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4F92" w14:textId="77777777" w:rsidR="004421F6" w:rsidRDefault="00F1562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bottom w:w="40" w:type="dxa"/>
              <w:right w:w="20" w:type="dxa"/>
            </w:tcMar>
            <w:vAlign w:val="bottom"/>
          </w:tcPr>
          <w:p w14:paraId="1D024F93" w14:textId="77777777" w:rsidR="004421F6" w:rsidRDefault="004421F6">
            <w:pPr>
              <w:jc w:val="right"/>
              <w:rPr>
                <w:rFonts w:ascii="宋体"/>
              </w:rPr>
            </w:pPr>
          </w:p>
        </w:tc>
        <w:tc>
          <w:tcPr>
            <w:tcW w:w="0" w:type="auto"/>
            <w:shd w:val="clear" w:color="auto" w:fill="auto"/>
          </w:tcPr>
          <w:p w14:paraId="1D024F94" w14:textId="77777777" w:rsidR="004421F6" w:rsidRDefault="004421F6">
            <w:pPr>
              <w:rPr>
                <w:rFonts w:ascii="宋体"/>
                <w:vanish/>
              </w:rPr>
            </w:pPr>
          </w:p>
        </w:tc>
        <w:tc>
          <w:tcPr>
            <w:tcW w:w="0" w:type="auto"/>
            <w:shd w:val="clear" w:color="auto" w:fill="auto"/>
          </w:tcPr>
          <w:p w14:paraId="1D024F95" w14:textId="77777777" w:rsidR="004421F6" w:rsidRDefault="004421F6">
            <w:pPr>
              <w:rPr>
                <w:rFonts w:ascii="宋体"/>
                <w:vanish/>
              </w:rPr>
            </w:pPr>
          </w:p>
        </w:tc>
        <w:tc>
          <w:tcPr>
            <w:tcW w:w="0" w:type="auto"/>
            <w:shd w:val="clear" w:color="auto" w:fill="auto"/>
          </w:tcPr>
          <w:p w14:paraId="1D024F96" w14:textId="77777777" w:rsidR="004421F6" w:rsidRDefault="004421F6">
            <w:pPr>
              <w:rPr>
                <w:rFonts w:ascii="宋体"/>
              </w:rPr>
            </w:pPr>
          </w:p>
        </w:tc>
        <w:tc>
          <w:tcPr>
            <w:tcW w:w="0" w:type="auto"/>
            <w:shd w:val="clear" w:color="auto" w:fill="auto"/>
          </w:tcPr>
          <w:p w14:paraId="1D024F97" w14:textId="77777777" w:rsidR="004421F6" w:rsidRDefault="004421F6">
            <w:pPr>
              <w:rPr>
                <w:rFonts w:ascii="宋体"/>
              </w:rPr>
            </w:pPr>
          </w:p>
        </w:tc>
        <w:tc>
          <w:tcPr>
            <w:tcW w:w="0" w:type="auto"/>
            <w:shd w:val="clear" w:color="auto" w:fill="auto"/>
          </w:tcPr>
          <w:p w14:paraId="1D024F98" w14:textId="77777777" w:rsidR="004421F6" w:rsidRDefault="004421F6">
            <w:pPr>
              <w:rPr>
                <w:rFonts w:ascii="宋体"/>
              </w:rPr>
            </w:pPr>
          </w:p>
        </w:tc>
      </w:tr>
      <w:tr w:rsidR="004421F6" w14:paraId="1D024FA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F9A" w14:textId="77777777" w:rsidR="004421F6" w:rsidRDefault="00F15622">
            <w:pPr>
              <w:textAlignment w:val="bottom"/>
            </w:pPr>
            <w:r>
              <w:rPr>
                <w:rFonts w:ascii="Arial" w:eastAsia="宋体" w:hAnsi="Arial" w:cs="Arial"/>
                <w:color w:val="000000"/>
                <w:sz w:val="17"/>
                <w:szCs w:val="17"/>
              </w:rPr>
              <w:t>Total other comprehensive income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4F9B" w14:textId="77777777" w:rsidR="004421F6" w:rsidRDefault="00F15622">
            <w:pPr>
              <w:jc w:val="right"/>
              <w:textAlignment w:val="bottom"/>
            </w:pPr>
            <w:r>
              <w:rPr>
                <w:rFonts w:ascii="Arial" w:eastAsia="宋体" w:hAnsi="Arial" w:cs="Arial"/>
                <w:color w:val="000000"/>
                <w:sz w:val="17"/>
                <w:szCs w:val="17"/>
              </w:rPr>
              <w:t>(345)</w:t>
            </w:r>
          </w:p>
        </w:tc>
        <w:tc>
          <w:tcPr>
            <w:tcW w:w="0" w:type="auto"/>
            <w:tcBorders>
              <w:top w:val="single" w:sz="8" w:space="0" w:color="E87722"/>
            </w:tcBorders>
            <w:shd w:val="clear" w:color="auto" w:fill="FFF1E7"/>
            <w:tcMar>
              <w:top w:w="40" w:type="dxa"/>
              <w:bottom w:w="40" w:type="dxa"/>
              <w:right w:w="20" w:type="dxa"/>
            </w:tcMar>
            <w:vAlign w:val="bottom"/>
          </w:tcPr>
          <w:p w14:paraId="1D024F9C"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4F9D" w14:textId="77777777" w:rsidR="004421F6" w:rsidRDefault="00F15622">
            <w:pPr>
              <w:jc w:val="right"/>
              <w:textAlignment w:val="bottom"/>
            </w:pPr>
            <w:r>
              <w:rPr>
                <w:rFonts w:ascii="Arial" w:eastAsia="宋体" w:hAnsi="Arial" w:cs="Arial"/>
                <w:color w:val="000000"/>
                <w:sz w:val="17"/>
                <w:szCs w:val="17"/>
              </w:rPr>
              <w:t>(51)</w:t>
            </w:r>
          </w:p>
        </w:tc>
        <w:tc>
          <w:tcPr>
            <w:tcW w:w="0" w:type="auto"/>
            <w:tcBorders>
              <w:top w:val="single" w:sz="8" w:space="0" w:color="E87722"/>
            </w:tcBorders>
            <w:shd w:val="clear" w:color="auto" w:fill="auto"/>
            <w:tcMar>
              <w:top w:w="40" w:type="dxa"/>
              <w:bottom w:w="40" w:type="dxa"/>
              <w:right w:w="20" w:type="dxa"/>
            </w:tcMar>
            <w:vAlign w:val="bottom"/>
          </w:tcPr>
          <w:p w14:paraId="1D024F9E" w14:textId="77777777" w:rsidR="004421F6" w:rsidRDefault="004421F6">
            <w:pPr>
              <w:jc w:val="right"/>
              <w:rPr>
                <w:rFonts w:ascii="宋体"/>
              </w:rPr>
            </w:pPr>
          </w:p>
        </w:tc>
        <w:tc>
          <w:tcPr>
            <w:tcW w:w="0" w:type="auto"/>
            <w:shd w:val="clear" w:color="auto" w:fill="auto"/>
          </w:tcPr>
          <w:p w14:paraId="1D024F9F" w14:textId="77777777" w:rsidR="004421F6" w:rsidRDefault="004421F6">
            <w:pPr>
              <w:rPr>
                <w:rFonts w:ascii="宋体"/>
                <w:vanish/>
              </w:rPr>
            </w:pPr>
          </w:p>
        </w:tc>
        <w:tc>
          <w:tcPr>
            <w:tcW w:w="0" w:type="auto"/>
            <w:shd w:val="clear" w:color="auto" w:fill="auto"/>
          </w:tcPr>
          <w:p w14:paraId="1D024FA0" w14:textId="77777777" w:rsidR="004421F6" w:rsidRDefault="004421F6">
            <w:pPr>
              <w:rPr>
                <w:rFonts w:ascii="宋体"/>
                <w:vanish/>
              </w:rPr>
            </w:pPr>
          </w:p>
        </w:tc>
        <w:tc>
          <w:tcPr>
            <w:tcW w:w="0" w:type="auto"/>
            <w:shd w:val="clear" w:color="auto" w:fill="auto"/>
          </w:tcPr>
          <w:p w14:paraId="1D024FA1" w14:textId="77777777" w:rsidR="004421F6" w:rsidRDefault="004421F6">
            <w:pPr>
              <w:rPr>
                <w:rFonts w:ascii="宋体"/>
              </w:rPr>
            </w:pPr>
          </w:p>
        </w:tc>
        <w:tc>
          <w:tcPr>
            <w:tcW w:w="0" w:type="auto"/>
            <w:shd w:val="clear" w:color="auto" w:fill="auto"/>
          </w:tcPr>
          <w:p w14:paraId="1D024FA2" w14:textId="77777777" w:rsidR="004421F6" w:rsidRDefault="004421F6">
            <w:pPr>
              <w:rPr>
                <w:rFonts w:ascii="宋体"/>
              </w:rPr>
            </w:pPr>
          </w:p>
        </w:tc>
        <w:tc>
          <w:tcPr>
            <w:tcW w:w="0" w:type="auto"/>
            <w:shd w:val="clear" w:color="auto" w:fill="auto"/>
          </w:tcPr>
          <w:p w14:paraId="1D024FA3" w14:textId="77777777" w:rsidR="004421F6" w:rsidRDefault="004421F6">
            <w:pPr>
              <w:rPr>
                <w:rFonts w:ascii="宋体"/>
              </w:rPr>
            </w:pPr>
          </w:p>
        </w:tc>
      </w:tr>
      <w:tr w:rsidR="004421F6" w14:paraId="1D024FB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4FA5" w14:textId="77777777" w:rsidR="004421F6" w:rsidRDefault="00F15622">
            <w:pPr>
              <w:textAlignment w:val="bottom"/>
            </w:pPr>
            <w:r>
              <w:rPr>
                <w:rFonts w:ascii="Arial" w:eastAsia="宋体" w:hAnsi="Arial" w:cs="Arial"/>
                <w:b/>
                <w:bCs/>
                <w:color w:val="000000"/>
                <w:sz w:val="17"/>
                <w:szCs w:val="17"/>
              </w:rPr>
              <w:t xml:space="preserve">TOTAL </w:t>
            </w:r>
            <w:r>
              <w:rPr>
                <w:rFonts w:ascii="Arial" w:eastAsia="宋体" w:hAnsi="Arial" w:cs="Arial"/>
                <w:b/>
                <w:bCs/>
                <w:color w:val="000000"/>
                <w:sz w:val="17"/>
                <w:szCs w:val="17"/>
              </w:rPr>
              <w:t>COMPREHENSIVE INCOME</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4FA6"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4FA7" w14:textId="77777777" w:rsidR="004421F6" w:rsidRDefault="00F15622">
            <w:pPr>
              <w:jc w:val="right"/>
              <w:textAlignment w:val="bottom"/>
            </w:pPr>
            <w:r>
              <w:rPr>
                <w:rFonts w:ascii="Arial" w:eastAsia="宋体" w:hAnsi="Arial" w:cs="Arial"/>
                <w:b/>
                <w:bCs/>
                <w:color w:val="000000"/>
                <w:sz w:val="17"/>
                <w:szCs w:val="17"/>
              </w:rPr>
              <w:t>1,173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4FA8"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4FA9"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4FAA" w14:textId="77777777" w:rsidR="004421F6" w:rsidRDefault="00F15622">
            <w:pPr>
              <w:jc w:val="right"/>
              <w:textAlignment w:val="bottom"/>
            </w:pPr>
            <w:r>
              <w:rPr>
                <w:rFonts w:ascii="Arial" w:eastAsia="宋体" w:hAnsi="Arial" w:cs="Arial"/>
                <w:b/>
                <w:bCs/>
                <w:color w:val="000000"/>
                <w:sz w:val="17"/>
                <w:szCs w:val="17"/>
              </w:rPr>
              <w:t>1,316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4FAB" w14:textId="77777777" w:rsidR="004421F6" w:rsidRDefault="004421F6">
            <w:pPr>
              <w:jc w:val="right"/>
              <w:rPr>
                <w:rFonts w:ascii="宋体"/>
              </w:rPr>
            </w:pPr>
          </w:p>
        </w:tc>
        <w:tc>
          <w:tcPr>
            <w:tcW w:w="0" w:type="auto"/>
            <w:shd w:val="clear" w:color="auto" w:fill="auto"/>
          </w:tcPr>
          <w:p w14:paraId="1D024FAC" w14:textId="77777777" w:rsidR="004421F6" w:rsidRDefault="004421F6">
            <w:pPr>
              <w:rPr>
                <w:rFonts w:ascii="宋体"/>
                <w:vanish/>
              </w:rPr>
            </w:pPr>
          </w:p>
        </w:tc>
        <w:tc>
          <w:tcPr>
            <w:tcW w:w="0" w:type="auto"/>
            <w:shd w:val="clear" w:color="auto" w:fill="auto"/>
          </w:tcPr>
          <w:p w14:paraId="1D024FAD" w14:textId="77777777" w:rsidR="004421F6" w:rsidRDefault="004421F6">
            <w:pPr>
              <w:rPr>
                <w:rFonts w:ascii="宋体"/>
                <w:vanish/>
              </w:rPr>
            </w:pPr>
          </w:p>
        </w:tc>
        <w:tc>
          <w:tcPr>
            <w:tcW w:w="0" w:type="auto"/>
            <w:shd w:val="clear" w:color="auto" w:fill="auto"/>
          </w:tcPr>
          <w:p w14:paraId="1D024FAE" w14:textId="77777777" w:rsidR="004421F6" w:rsidRDefault="004421F6">
            <w:pPr>
              <w:rPr>
                <w:rFonts w:ascii="宋体"/>
              </w:rPr>
            </w:pPr>
          </w:p>
        </w:tc>
        <w:tc>
          <w:tcPr>
            <w:tcW w:w="0" w:type="auto"/>
            <w:shd w:val="clear" w:color="auto" w:fill="auto"/>
          </w:tcPr>
          <w:p w14:paraId="1D024FAF" w14:textId="77777777" w:rsidR="004421F6" w:rsidRDefault="004421F6">
            <w:pPr>
              <w:rPr>
                <w:rFonts w:ascii="宋体"/>
              </w:rPr>
            </w:pPr>
          </w:p>
        </w:tc>
        <w:tc>
          <w:tcPr>
            <w:tcW w:w="0" w:type="auto"/>
            <w:shd w:val="clear" w:color="auto" w:fill="auto"/>
          </w:tcPr>
          <w:p w14:paraId="1D024FB0" w14:textId="77777777" w:rsidR="004421F6" w:rsidRDefault="004421F6">
            <w:pPr>
              <w:rPr>
                <w:rFonts w:ascii="宋体"/>
              </w:rPr>
            </w:pPr>
          </w:p>
        </w:tc>
      </w:tr>
    </w:tbl>
    <w:p w14:paraId="1D024FB2" w14:textId="77777777" w:rsidR="004421F6" w:rsidRDefault="00F15622">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1D024FB3" w14:textId="77777777" w:rsidR="004421F6" w:rsidRDefault="00F15622">
      <w:pPr>
        <w:spacing w:before="120" w:after="120"/>
      </w:pPr>
      <w:r>
        <w:rPr>
          <w:rFonts w:ascii="Arial" w:eastAsia="宋体" w:hAnsi="Arial" w:cs="Arial"/>
          <w:color w:val="E87722"/>
          <w:sz w:val="17"/>
          <w:szCs w:val="17"/>
        </w:rPr>
        <w:t>2</w:t>
      </w:r>
      <w:r>
        <w:rPr>
          <w:rFonts w:ascii="sans-serif" w:eastAsia="sans-serif" w:hAnsi="sans-serif" w:cs="sans-serif"/>
          <w:color w:val="000000"/>
          <w:sz w:val="17"/>
          <w:szCs w:val="17"/>
        </w:rPr>
        <w:t xml:space="preserve"> </w:t>
      </w:r>
    </w:p>
    <w:p w14:paraId="1D024FB4" w14:textId="77777777" w:rsidR="004421F6" w:rsidRDefault="00F15622">
      <w:r>
        <w:pict w14:anchorId="1D02727D">
          <v:rect id="_x0000_i1028" style="width:415.3pt;height:1.5pt" o:hralign="center" o:hrstd="t" o:hr="t" fillcolor="#a0a0a0" stroked="f"/>
        </w:pict>
      </w:r>
    </w:p>
    <w:p w14:paraId="1D024FB5" w14:textId="77777777" w:rsidR="004421F6" w:rsidRDefault="004421F6"/>
    <w:p w14:paraId="1D024FB6" w14:textId="77777777" w:rsidR="004421F6" w:rsidRDefault="00F15622">
      <w:hyperlink r:id="rId45" w:anchor="i3e524f2e23844e81ba9d33a05ac3917c_7" w:history="1">
        <w:r>
          <w:rPr>
            <w:rStyle w:val="a5"/>
            <w:rFonts w:ascii="sans-serif" w:eastAsia="sans-serif" w:hAnsi="sans-serif" w:cs="sans-serif"/>
            <w:sz w:val="17"/>
            <w:szCs w:val="17"/>
          </w:rPr>
          <w:t>Table of Contents</w:t>
        </w:r>
      </w:hyperlink>
    </w:p>
    <w:p w14:paraId="1D024FB7" w14:textId="77777777" w:rsidR="004421F6" w:rsidRDefault="004421F6"/>
    <w:p w14:paraId="1D024FB8" w14:textId="77777777" w:rsidR="004421F6" w:rsidRDefault="00F15622">
      <w:pPr>
        <w:spacing w:before="300"/>
      </w:pPr>
      <w:r>
        <w:rPr>
          <w:rFonts w:ascii="sans-serif" w:eastAsia="sans-serif" w:hAnsi="sans-serif" w:cs="sans-serif"/>
          <w:b/>
          <w:bCs/>
          <w:color w:val="E87722"/>
          <w:sz w:val="36"/>
          <w:szCs w:val="36"/>
        </w:rPr>
        <w:t>NIKE, INC.</w:t>
      </w:r>
    </w:p>
    <w:p w14:paraId="1D024FB9" w14:textId="77777777" w:rsidR="004421F6" w:rsidRDefault="00F15622">
      <w:pPr>
        <w:spacing w:before="120" w:after="120"/>
      </w:pPr>
      <w:r>
        <w:rPr>
          <w:rFonts w:ascii="sans-serif" w:eastAsia="sans-serif" w:hAnsi="sans-serif" w:cs="sans-serif"/>
          <w:b/>
          <w:bCs/>
          <w:color w:val="000000"/>
          <w:sz w:val="28"/>
          <w:szCs w:val="28"/>
        </w:rPr>
        <w:t>UNAUDITED CONDENSED CONSOLIDATED BALANCE SHEETS</w:t>
      </w:r>
    </w:p>
    <w:tbl>
      <w:tblPr>
        <w:tblW w:w="4992" w:type="pct"/>
        <w:tblCellMar>
          <w:top w:w="15" w:type="dxa"/>
          <w:left w:w="15" w:type="dxa"/>
          <w:bottom w:w="15" w:type="dxa"/>
          <w:right w:w="15" w:type="dxa"/>
        </w:tblCellMar>
        <w:tblLook w:val="04A0" w:firstRow="1" w:lastRow="0" w:firstColumn="1" w:lastColumn="0" w:noHBand="0" w:noVBand="1"/>
      </w:tblPr>
      <w:tblGrid>
        <w:gridCol w:w="40"/>
        <w:gridCol w:w="5721"/>
        <w:gridCol w:w="39"/>
        <w:gridCol w:w="130"/>
        <w:gridCol w:w="1055"/>
        <w:gridCol w:w="41"/>
        <w:gridCol w:w="36"/>
        <w:gridCol w:w="36"/>
        <w:gridCol w:w="36"/>
        <w:gridCol w:w="130"/>
        <w:gridCol w:w="1018"/>
        <w:gridCol w:w="41"/>
      </w:tblGrid>
      <w:tr w:rsidR="004421F6" w14:paraId="1D024FC6" w14:textId="77777777">
        <w:tc>
          <w:tcPr>
            <w:tcW w:w="50" w:type="pct"/>
            <w:shd w:val="clear" w:color="auto" w:fill="auto"/>
          </w:tcPr>
          <w:p w14:paraId="1D024FBA" w14:textId="77777777" w:rsidR="004421F6" w:rsidRDefault="004421F6">
            <w:pPr>
              <w:rPr>
                <w:rFonts w:ascii="宋体"/>
              </w:rPr>
            </w:pPr>
          </w:p>
        </w:tc>
        <w:tc>
          <w:tcPr>
            <w:tcW w:w="3468" w:type="pct"/>
            <w:shd w:val="clear" w:color="auto" w:fill="auto"/>
          </w:tcPr>
          <w:p w14:paraId="1D024FBB" w14:textId="77777777" w:rsidR="004421F6" w:rsidRDefault="004421F6">
            <w:pPr>
              <w:rPr>
                <w:rFonts w:ascii="宋体"/>
              </w:rPr>
            </w:pPr>
          </w:p>
        </w:tc>
        <w:tc>
          <w:tcPr>
            <w:tcW w:w="5" w:type="pct"/>
            <w:shd w:val="clear" w:color="auto" w:fill="auto"/>
          </w:tcPr>
          <w:p w14:paraId="1D024FBC" w14:textId="77777777" w:rsidR="004421F6" w:rsidRDefault="004421F6">
            <w:pPr>
              <w:rPr>
                <w:rFonts w:ascii="宋体"/>
              </w:rPr>
            </w:pPr>
          </w:p>
        </w:tc>
        <w:tc>
          <w:tcPr>
            <w:tcW w:w="50" w:type="pct"/>
            <w:shd w:val="clear" w:color="auto" w:fill="auto"/>
          </w:tcPr>
          <w:p w14:paraId="1D024FBD" w14:textId="77777777" w:rsidR="004421F6" w:rsidRDefault="004421F6">
            <w:pPr>
              <w:rPr>
                <w:rFonts w:ascii="宋体"/>
              </w:rPr>
            </w:pPr>
          </w:p>
        </w:tc>
        <w:tc>
          <w:tcPr>
            <w:tcW w:w="663" w:type="pct"/>
            <w:shd w:val="clear" w:color="auto" w:fill="auto"/>
          </w:tcPr>
          <w:p w14:paraId="1D024FBE" w14:textId="77777777" w:rsidR="004421F6" w:rsidRDefault="004421F6">
            <w:pPr>
              <w:rPr>
                <w:rFonts w:ascii="宋体"/>
              </w:rPr>
            </w:pPr>
          </w:p>
        </w:tc>
        <w:tc>
          <w:tcPr>
            <w:tcW w:w="5" w:type="pct"/>
            <w:shd w:val="clear" w:color="auto" w:fill="auto"/>
          </w:tcPr>
          <w:p w14:paraId="1D024FBF" w14:textId="77777777" w:rsidR="004421F6" w:rsidRDefault="004421F6">
            <w:pPr>
              <w:rPr>
                <w:rFonts w:ascii="宋体"/>
              </w:rPr>
            </w:pPr>
          </w:p>
        </w:tc>
        <w:tc>
          <w:tcPr>
            <w:tcW w:w="5" w:type="pct"/>
            <w:shd w:val="clear" w:color="auto" w:fill="auto"/>
          </w:tcPr>
          <w:p w14:paraId="1D024FC0" w14:textId="77777777" w:rsidR="004421F6" w:rsidRDefault="004421F6">
            <w:pPr>
              <w:rPr>
                <w:rFonts w:ascii="宋体"/>
              </w:rPr>
            </w:pPr>
          </w:p>
        </w:tc>
        <w:tc>
          <w:tcPr>
            <w:tcW w:w="28" w:type="pct"/>
            <w:shd w:val="clear" w:color="auto" w:fill="auto"/>
          </w:tcPr>
          <w:p w14:paraId="1D024FC1" w14:textId="77777777" w:rsidR="004421F6" w:rsidRDefault="004421F6">
            <w:pPr>
              <w:rPr>
                <w:rFonts w:ascii="宋体"/>
              </w:rPr>
            </w:pPr>
          </w:p>
        </w:tc>
        <w:tc>
          <w:tcPr>
            <w:tcW w:w="5" w:type="pct"/>
            <w:shd w:val="clear" w:color="auto" w:fill="auto"/>
          </w:tcPr>
          <w:p w14:paraId="1D024FC2" w14:textId="77777777" w:rsidR="004421F6" w:rsidRDefault="004421F6">
            <w:pPr>
              <w:rPr>
                <w:rFonts w:ascii="宋体"/>
              </w:rPr>
            </w:pPr>
          </w:p>
        </w:tc>
        <w:tc>
          <w:tcPr>
            <w:tcW w:w="50" w:type="pct"/>
            <w:shd w:val="clear" w:color="auto" w:fill="auto"/>
          </w:tcPr>
          <w:p w14:paraId="1D024FC3" w14:textId="77777777" w:rsidR="004421F6" w:rsidRDefault="004421F6">
            <w:pPr>
              <w:rPr>
                <w:rFonts w:ascii="宋体"/>
              </w:rPr>
            </w:pPr>
          </w:p>
        </w:tc>
        <w:tc>
          <w:tcPr>
            <w:tcW w:w="663" w:type="pct"/>
            <w:shd w:val="clear" w:color="auto" w:fill="auto"/>
          </w:tcPr>
          <w:p w14:paraId="1D024FC4" w14:textId="77777777" w:rsidR="004421F6" w:rsidRDefault="004421F6">
            <w:pPr>
              <w:rPr>
                <w:rFonts w:ascii="宋体"/>
              </w:rPr>
            </w:pPr>
          </w:p>
        </w:tc>
        <w:tc>
          <w:tcPr>
            <w:tcW w:w="5" w:type="pct"/>
            <w:shd w:val="clear" w:color="auto" w:fill="auto"/>
          </w:tcPr>
          <w:p w14:paraId="1D024FC5" w14:textId="77777777" w:rsidR="004421F6" w:rsidRDefault="004421F6">
            <w:pPr>
              <w:rPr>
                <w:rFonts w:ascii="宋体"/>
              </w:rPr>
            </w:pPr>
          </w:p>
        </w:tc>
      </w:tr>
      <w:tr w:rsidR="004421F6" w14:paraId="1D024FCB" w14:textId="77777777">
        <w:tc>
          <w:tcPr>
            <w:tcW w:w="0" w:type="auto"/>
            <w:gridSpan w:val="3"/>
            <w:shd w:val="clear" w:color="auto" w:fill="auto"/>
            <w:tcMar>
              <w:left w:w="20" w:type="dxa"/>
              <w:right w:w="20" w:type="dxa"/>
            </w:tcMar>
            <w:vAlign w:val="bottom"/>
          </w:tcPr>
          <w:p w14:paraId="1D024FC7" w14:textId="77777777" w:rsidR="004421F6" w:rsidRDefault="004421F6">
            <w:pPr>
              <w:rPr>
                <w:rFonts w:ascii="宋体"/>
              </w:rPr>
            </w:pPr>
          </w:p>
        </w:tc>
        <w:tc>
          <w:tcPr>
            <w:tcW w:w="0" w:type="auto"/>
            <w:gridSpan w:val="3"/>
            <w:shd w:val="clear" w:color="auto" w:fill="auto"/>
            <w:tcMar>
              <w:top w:w="40" w:type="dxa"/>
              <w:left w:w="20" w:type="dxa"/>
              <w:bottom w:w="40" w:type="dxa"/>
              <w:right w:w="20" w:type="dxa"/>
            </w:tcMar>
            <w:vAlign w:val="bottom"/>
          </w:tcPr>
          <w:p w14:paraId="1D024FC8" w14:textId="77777777" w:rsidR="004421F6" w:rsidRDefault="00F15622">
            <w:pPr>
              <w:jc w:val="center"/>
              <w:textAlignment w:val="bottom"/>
            </w:pPr>
            <w:r>
              <w:rPr>
                <w:rFonts w:ascii="sans-serif" w:eastAsia="sans-serif" w:hAnsi="sans-serif" w:cs="sans-serif"/>
                <w:b/>
                <w:bCs/>
                <w:color w:val="000000"/>
                <w:sz w:val="17"/>
                <w:szCs w:val="17"/>
              </w:rPr>
              <w:t xml:space="preserve">AUGUST </w:t>
            </w:r>
            <w:r>
              <w:rPr>
                <w:rFonts w:ascii="sans-serif" w:eastAsia="sans-serif" w:hAnsi="sans-serif" w:cs="sans-serif"/>
                <w:b/>
                <w:bCs/>
                <w:color w:val="000000"/>
                <w:sz w:val="17"/>
                <w:szCs w:val="17"/>
              </w:rPr>
              <w:t>31,</w:t>
            </w:r>
          </w:p>
        </w:tc>
        <w:tc>
          <w:tcPr>
            <w:tcW w:w="0" w:type="auto"/>
            <w:gridSpan w:val="3"/>
            <w:shd w:val="clear" w:color="auto" w:fill="auto"/>
            <w:tcMar>
              <w:left w:w="20" w:type="dxa"/>
              <w:right w:w="20" w:type="dxa"/>
            </w:tcMar>
            <w:vAlign w:val="bottom"/>
          </w:tcPr>
          <w:p w14:paraId="1D024FC9" w14:textId="77777777" w:rsidR="004421F6" w:rsidRDefault="004421F6">
            <w:pPr>
              <w:rPr>
                <w:rFonts w:ascii="宋体"/>
              </w:rPr>
            </w:pPr>
          </w:p>
        </w:tc>
        <w:tc>
          <w:tcPr>
            <w:tcW w:w="0" w:type="auto"/>
            <w:gridSpan w:val="3"/>
            <w:shd w:val="clear" w:color="auto" w:fill="auto"/>
            <w:tcMar>
              <w:top w:w="40" w:type="dxa"/>
              <w:left w:w="20" w:type="dxa"/>
              <w:bottom w:w="40" w:type="dxa"/>
              <w:right w:w="20" w:type="dxa"/>
            </w:tcMar>
            <w:vAlign w:val="bottom"/>
          </w:tcPr>
          <w:p w14:paraId="1D024FCA" w14:textId="77777777" w:rsidR="004421F6" w:rsidRDefault="00F15622">
            <w:pPr>
              <w:jc w:val="center"/>
              <w:textAlignment w:val="bottom"/>
            </w:pPr>
            <w:r>
              <w:rPr>
                <w:rFonts w:ascii="sans-serif" w:eastAsia="sans-serif" w:hAnsi="sans-serif" w:cs="sans-serif"/>
                <w:b/>
                <w:bCs/>
                <w:color w:val="000000"/>
                <w:sz w:val="17"/>
                <w:szCs w:val="17"/>
              </w:rPr>
              <w:t>MAY 31,</w:t>
            </w:r>
          </w:p>
        </w:tc>
      </w:tr>
      <w:tr w:rsidR="004421F6" w14:paraId="1D024FD0" w14:textId="77777777">
        <w:tc>
          <w:tcPr>
            <w:tcW w:w="0" w:type="auto"/>
            <w:gridSpan w:val="3"/>
            <w:shd w:val="clear" w:color="auto" w:fill="auto"/>
            <w:tcMar>
              <w:top w:w="40" w:type="dxa"/>
              <w:left w:w="20" w:type="dxa"/>
              <w:bottom w:w="40" w:type="dxa"/>
              <w:right w:w="20" w:type="dxa"/>
            </w:tcMar>
            <w:vAlign w:val="bottom"/>
          </w:tcPr>
          <w:p w14:paraId="1D024FCC" w14:textId="77777777" w:rsidR="004421F6" w:rsidRDefault="00F15622">
            <w:pPr>
              <w:textAlignment w:val="bottom"/>
            </w:pPr>
            <w:r>
              <w:rPr>
                <w:rFonts w:ascii="Arial Narrow" w:eastAsia="Arial Narrow" w:hAnsi="Arial Narrow" w:cs="Arial Narrow"/>
                <w:i/>
                <w:iCs/>
                <w:color w:val="000000"/>
                <w:sz w:val="17"/>
                <w:szCs w:val="17"/>
              </w:rPr>
              <w:t>(In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FCD"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left w:w="20" w:type="dxa"/>
              <w:right w:w="20" w:type="dxa"/>
            </w:tcMar>
            <w:vAlign w:val="bottom"/>
          </w:tcPr>
          <w:p w14:paraId="1D024FCE" w14:textId="77777777" w:rsidR="004421F6" w:rsidRDefault="004421F6">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FCF" w14:textId="77777777" w:rsidR="004421F6" w:rsidRDefault="00F15622">
            <w:pPr>
              <w:jc w:val="center"/>
              <w:textAlignment w:val="bottom"/>
            </w:pPr>
            <w:r>
              <w:rPr>
                <w:rFonts w:ascii="sans-serif" w:eastAsia="sans-serif" w:hAnsi="sans-serif" w:cs="sans-serif"/>
                <w:b/>
                <w:bCs/>
                <w:color w:val="000000"/>
                <w:sz w:val="17"/>
                <w:szCs w:val="17"/>
              </w:rPr>
              <w:t>2020</w:t>
            </w:r>
          </w:p>
        </w:tc>
      </w:tr>
      <w:tr w:rsidR="004421F6" w14:paraId="1D024FD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4FD1" w14:textId="77777777" w:rsidR="004421F6" w:rsidRDefault="00F15622">
            <w:pPr>
              <w:textAlignment w:val="bottom"/>
            </w:pPr>
            <w:r>
              <w:rPr>
                <w:rFonts w:ascii="Arial" w:eastAsia="宋体" w:hAnsi="Arial" w:cs="Arial"/>
                <w:b/>
                <w:bCs/>
                <w:color w:val="000000"/>
                <w:sz w:val="17"/>
                <w:szCs w:val="17"/>
              </w:rPr>
              <w:t>ASSETS</w:t>
            </w:r>
          </w:p>
        </w:tc>
        <w:tc>
          <w:tcPr>
            <w:tcW w:w="0" w:type="auto"/>
            <w:gridSpan w:val="3"/>
            <w:tcBorders>
              <w:top w:val="single" w:sz="8" w:space="0" w:color="E87722"/>
            </w:tcBorders>
            <w:shd w:val="clear" w:color="auto" w:fill="FFF1E7"/>
            <w:tcMar>
              <w:left w:w="20" w:type="dxa"/>
              <w:right w:w="20" w:type="dxa"/>
            </w:tcMar>
            <w:vAlign w:val="bottom"/>
          </w:tcPr>
          <w:p w14:paraId="1D024FD2"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4FD3"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4FD4" w14:textId="77777777" w:rsidR="004421F6" w:rsidRDefault="004421F6">
            <w:pPr>
              <w:rPr>
                <w:rFonts w:ascii="宋体"/>
              </w:rPr>
            </w:pPr>
          </w:p>
        </w:tc>
      </w:tr>
      <w:tr w:rsidR="004421F6" w14:paraId="1D024FDA"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4FD6" w14:textId="77777777" w:rsidR="004421F6" w:rsidRDefault="00F15622">
            <w:pPr>
              <w:textAlignment w:val="bottom"/>
            </w:pPr>
            <w:r>
              <w:rPr>
                <w:rFonts w:ascii="Arial" w:eastAsia="宋体" w:hAnsi="Arial" w:cs="Arial"/>
                <w:color w:val="000000"/>
                <w:sz w:val="17"/>
                <w:szCs w:val="17"/>
              </w:rPr>
              <w:t>Current assets:</w:t>
            </w:r>
          </w:p>
        </w:tc>
        <w:tc>
          <w:tcPr>
            <w:tcW w:w="0" w:type="auto"/>
            <w:gridSpan w:val="3"/>
            <w:tcBorders>
              <w:top w:val="single" w:sz="8" w:space="0" w:color="808080"/>
            </w:tcBorders>
            <w:shd w:val="clear" w:color="auto" w:fill="FFF1E7"/>
            <w:tcMar>
              <w:left w:w="20" w:type="dxa"/>
              <w:right w:w="20" w:type="dxa"/>
            </w:tcMar>
            <w:vAlign w:val="bottom"/>
          </w:tcPr>
          <w:p w14:paraId="1D024FD7"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4FD8"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4FD9" w14:textId="77777777" w:rsidR="004421F6" w:rsidRDefault="004421F6">
            <w:pPr>
              <w:rPr>
                <w:rFonts w:ascii="宋体"/>
              </w:rPr>
            </w:pPr>
          </w:p>
        </w:tc>
      </w:tr>
      <w:tr w:rsidR="004421F6" w14:paraId="1D024FE3"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4FDB" w14:textId="77777777" w:rsidR="004421F6" w:rsidRDefault="00F15622">
            <w:pPr>
              <w:textAlignment w:val="bottom"/>
            </w:pPr>
            <w:r>
              <w:rPr>
                <w:rFonts w:ascii="Arial" w:eastAsia="宋体" w:hAnsi="Arial" w:cs="Arial"/>
                <w:color w:val="000000"/>
                <w:sz w:val="17"/>
                <w:szCs w:val="17"/>
              </w:rPr>
              <w:t>Cash and equivalents</w:t>
            </w:r>
          </w:p>
        </w:tc>
        <w:tc>
          <w:tcPr>
            <w:tcW w:w="0" w:type="auto"/>
            <w:tcBorders>
              <w:top w:val="single" w:sz="8" w:space="0" w:color="808080"/>
            </w:tcBorders>
            <w:shd w:val="clear" w:color="auto" w:fill="FFF1E7"/>
            <w:tcMar>
              <w:top w:w="40" w:type="dxa"/>
              <w:left w:w="20" w:type="dxa"/>
              <w:bottom w:w="40" w:type="dxa"/>
            </w:tcMar>
            <w:vAlign w:val="bottom"/>
          </w:tcPr>
          <w:p w14:paraId="1D024FDC"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4FDD" w14:textId="77777777" w:rsidR="004421F6" w:rsidRDefault="00F15622">
            <w:pPr>
              <w:jc w:val="right"/>
              <w:textAlignment w:val="bottom"/>
            </w:pPr>
            <w:r>
              <w:rPr>
                <w:rFonts w:ascii="Arial" w:eastAsia="宋体" w:hAnsi="Arial" w:cs="Arial"/>
                <w:color w:val="000000"/>
                <w:sz w:val="17"/>
                <w:szCs w:val="17"/>
              </w:rPr>
              <w:t>8,148 </w:t>
            </w:r>
          </w:p>
        </w:tc>
        <w:tc>
          <w:tcPr>
            <w:tcW w:w="0" w:type="auto"/>
            <w:tcBorders>
              <w:top w:val="single" w:sz="8" w:space="0" w:color="808080"/>
            </w:tcBorders>
            <w:shd w:val="clear" w:color="auto" w:fill="FFF1E7"/>
            <w:tcMar>
              <w:top w:w="40" w:type="dxa"/>
              <w:bottom w:w="40" w:type="dxa"/>
              <w:right w:w="20" w:type="dxa"/>
            </w:tcMar>
            <w:vAlign w:val="bottom"/>
          </w:tcPr>
          <w:p w14:paraId="1D024FDE"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4FDF" w14:textId="77777777" w:rsidR="004421F6" w:rsidRDefault="004421F6">
            <w:pPr>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4FE0"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4FE1" w14:textId="77777777" w:rsidR="004421F6" w:rsidRDefault="00F15622">
            <w:pPr>
              <w:jc w:val="right"/>
              <w:textAlignment w:val="bottom"/>
            </w:pPr>
            <w:r>
              <w:rPr>
                <w:rFonts w:ascii="Arial" w:eastAsia="宋体" w:hAnsi="Arial" w:cs="Arial"/>
                <w:color w:val="000000"/>
                <w:sz w:val="17"/>
                <w:szCs w:val="17"/>
              </w:rPr>
              <w:t>8,348 </w:t>
            </w:r>
          </w:p>
        </w:tc>
        <w:tc>
          <w:tcPr>
            <w:tcW w:w="0" w:type="auto"/>
            <w:tcBorders>
              <w:top w:val="single" w:sz="8" w:space="0" w:color="808080"/>
            </w:tcBorders>
            <w:shd w:val="clear" w:color="auto" w:fill="auto"/>
            <w:tcMar>
              <w:top w:w="40" w:type="dxa"/>
              <w:bottom w:w="40" w:type="dxa"/>
              <w:right w:w="20" w:type="dxa"/>
            </w:tcMar>
            <w:vAlign w:val="bottom"/>
          </w:tcPr>
          <w:p w14:paraId="1D024FE2" w14:textId="77777777" w:rsidR="004421F6" w:rsidRDefault="004421F6">
            <w:pPr>
              <w:jc w:val="right"/>
              <w:rPr>
                <w:rFonts w:ascii="宋体"/>
              </w:rPr>
            </w:pPr>
          </w:p>
        </w:tc>
      </w:tr>
      <w:tr w:rsidR="004421F6" w14:paraId="1D024FEA"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4FE4" w14:textId="77777777" w:rsidR="004421F6" w:rsidRDefault="00F15622">
            <w:pPr>
              <w:textAlignment w:val="bottom"/>
            </w:pPr>
            <w:r>
              <w:rPr>
                <w:rFonts w:ascii="Arial" w:eastAsia="宋体" w:hAnsi="Arial" w:cs="Arial"/>
                <w:color w:val="000000"/>
                <w:sz w:val="17"/>
                <w:szCs w:val="17"/>
              </w:rPr>
              <w:t>Short-term investments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4FE5" w14:textId="77777777" w:rsidR="004421F6" w:rsidRDefault="00F15622">
            <w:pPr>
              <w:jc w:val="right"/>
              <w:textAlignment w:val="bottom"/>
            </w:pPr>
            <w:r>
              <w:rPr>
                <w:rFonts w:ascii="Arial" w:eastAsia="宋体" w:hAnsi="Arial" w:cs="Arial"/>
                <w:color w:val="000000"/>
                <w:sz w:val="17"/>
                <w:szCs w:val="17"/>
              </w:rPr>
              <w:t>1,332 </w:t>
            </w:r>
          </w:p>
        </w:tc>
        <w:tc>
          <w:tcPr>
            <w:tcW w:w="0" w:type="auto"/>
            <w:tcBorders>
              <w:top w:val="single" w:sz="8" w:space="0" w:color="808080"/>
            </w:tcBorders>
            <w:shd w:val="clear" w:color="auto" w:fill="FFF1E7"/>
            <w:tcMar>
              <w:top w:w="40" w:type="dxa"/>
              <w:bottom w:w="40" w:type="dxa"/>
              <w:right w:w="20" w:type="dxa"/>
            </w:tcMar>
            <w:vAlign w:val="bottom"/>
          </w:tcPr>
          <w:p w14:paraId="1D024FE6"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4FE7"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4FE8" w14:textId="77777777" w:rsidR="004421F6" w:rsidRDefault="00F15622">
            <w:pPr>
              <w:jc w:val="right"/>
              <w:textAlignment w:val="bottom"/>
            </w:pPr>
            <w:r>
              <w:rPr>
                <w:rFonts w:ascii="Arial" w:eastAsia="宋体" w:hAnsi="Arial" w:cs="Arial"/>
                <w:color w:val="000000"/>
                <w:sz w:val="17"/>
                <w:szCs w:val="17"/>
              </w:rPr>
              <w:t>439 </w:t>
            </w:r>
          </w:p>
        </w:tc>
        <w:tc>
          <w:tcPr>
            <w:tcW w:w="0" w:type="auto"/>
            <w:tcBorders>
              <w:top w:val="single" w:sz="8" w:space="0" w:color="808080"/>
            </w:tcBorders>
            <w:shd w:val="clear" w:color="auto" w:fill="auto"/>
            <w:tcMar>
              <w:top w:w="40" w:type="dxa"/>
              <w:bottom w:w="40" w:type="dxa"/>
              <w:right w:w="20" w:type="dxa"/>
            </w:tcMar>
            <w:vAlign w:val="bottom"/>
          </w:tcPr>
          <w:p w14:paraId="1D024FE9" w14:textId="77777777" w:rsidR="004421F6" w:rsidRDefault="004421F6">
            <w:pPr>
              <w:jc w:val="right"/>
              <w:rPr>
                <w:rFonts w:ascii="宋体"/>
              </w:rPr>
            </w:pPr>
          </w:p>
        </w:tc>
      </w:tr>
      <w:tr w:rsidR="004421F6" w14:paraId="1D024FF1"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4FEB" w14:textId="77777777" w:rsidR="004421F6" w:rsidRDefault="00F15622">
            <w:pPr>
              <w:textAlignment w:val="bottom"/>
            </w:pPr>
            <w:r>
              <w:rPr>
                <w:rFonts w:ascii="Arial" w:eastAsia="宋体" w:hAnsi="Arial" w:cs="Arial"/>
                <w:color w:val="000000"/>
                <w:sz w:val="17"/>
                <w:szCs w:val="17"/>
              </w:rPr>
              <w:t>Accounts receivable,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4FEC" w14:textId="77777777" w:rsidR="004421F6" w:rsidRDefault="00F15622">
            <w:pPr>
              <w:jc w:val="right"/>
              <w:textAlignment w:val="bottom"/>
            </w:pPr>
            <w:r>
              <w:rPr>
                <w:rFonts w:ascii="Arial" w:eastAsia="宋体" w:hAnsi="Arial" w:cs="Arial"/>
                <w:color w:val="000000"/>
                <w:sz w:val="17"/>
                <w:szCs w:val="17"/>
              </w:rPr>
              <w:t>3,813 </w:t>
            </w:r>
          </w:p>
        </w:tc>
        <w:tc>
          <w:tcPr>
            <w:tcW w:w="0" w:type="auto"/>
            <w:tcBorders>
              <w:top w:val="single" w:sz="8" w:space="0" w:color="808080"/>
            </w:tcBorders>
            <w:shd w:val="clear" w:color="auto" w:fill="FFF1E7"/>
            <w:tcMar>
              <w:top w:w="40" w:type="dxa"/>
              <w:bottom w:w="40" w:type="dxa"/>
              <w:right w:w="20" w:type="dxa"/>
            </w:tcMar>
            <w:vAlign w:val="bottom"/>
          </w:tcPr>
          <w:p w14:paraId="1D024FED"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4FEE"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4FEF" w14:textId="77777777" w:rsidR="004421F6" w:rsidRDefault="00F15622">
            <w:pPr>
              <w:jc w:val="right"/>
              <w:textAlignment w:val="bottom"/>
            </w:pPr>
            <w:r>
              <w:rPr>
                <w:rFonts w:ascii="Arial" w:eastAsia="宋体" w:hAnsi="Arial" w:cs="Arial"/>
                <w:color w:val="000000"/>
                <w:sz w:val="17"/>
                <w:szCs w:val="17"/>
              </w:rPr>
              <w:t>2,749 </w:t>
            </w:r>
          </w:p>
        </w:tc>
        <w:tc>
          <w:tcPr>
            <w:tcW w:w="0" w:type="auto"/>
            <w:tcBorders>
              <w:top w:val="single" w:sz="8" w:space="0" w:color="808080"/>
            </w:tcBorders>
            <w:shd w:val="clear" w:color="auto" w:fill="auto"/>
            <w:tcMar>
              <w:top w:w="40" w:type="dxa"/>
              <w:bottom w:w="40" w:type="dxa"/>
              <w:right w:w="20" w:type="dxa"/>
            </w:tcMar>
            <w:vAlign w:val="bottom"/>
          </w:tcPr>
          <w:p w14:paraId="1D024FF0" w14:textId="77777777" w:rsidR="004421F6" w:rsidRDefault="004421F6">
            <w:pPr>
              <w:jc w:val="right"/>
              <w:rPr>
                <w:rFonts w:ascii="宋体"/>
              </w:rPr>
            </w:pPr>
          </w:p>
        </w:tc>
      </w:tr>
      <w:tr w:rsidR="004421F6" w14:paraId="1D024FF8"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4FF2" w14:textId="77777777" w:rsidR="004421F6" w:rsidRDefault="00F15622">
            <w:pPr>
              <w:textAlignment w:val="bottom"/>
            </w:pPr>
            <w:r>
              <w:rPr>
                <w:rFonts w:ascii="Arial" w:eastAsia="宋体" w:hAnsi="Arial" w:cs="Arial"/>
                <w:color w:val="000000"/>
                <w:sz w:val="17"/>
                <w:szCs w:val="17"/>
              </w:rPr>
              <w:t>Inventories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4FF3" w14:textId="77777777" w:rsidR="004421F6" w:rsidRDefault="00F15622">
            <w:pPr>
              <w:jc w:val="right"/>
              <w:textAlignment w:val="bottom"/>
            </w:pPr>
            <w:r>
              <w:rPr>
                <w:rFonts w:ascii="Arial" w:eastAsia="宋体" w:hAnsi="Arial" w:cs="Arial"/>
                <w:color w:val="000000"/>
                <w:sz w:val="17"/>
                <w:szCs w:val="17"/>
              </w:rPr>
              <w:t>6,705 </w:t>
            </w:r>
          </w:p>
        </w:tc>
        <w:tc>
          <w:tcPr>
            <w:tcW w:w="0" w:type="auto"/>
            <w:tcBorders>
              <w:top w:val="single" w:sz="8" w:space="0" w:color="808080"/>
            </w:tcBorders>
            <w:shd w:val="clear" w:color="auto" w:fill="FFF1E7"/>
            <w:tcMar>
              <w:top w:w="40" w:type="dxa"/>
              <w:bottom w:w="40" w:type="dxa"/>
              <w:right w:w="20" w:type="dxa"/>
            </w:tcMar>
            <w:vAlign w:val="bottom"/>
          </w:tcPr>
          <w:p w14:paraId="1D024FF4"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4FF5"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4FF6" w14:textId="77777777" w:rsidR="004421F6" w:rsidRDefault="00F15622">
            <w:pPr>
              <w:jc w:val="right"/>
              <w:textAlignment w:val="bottom"/>
            </w:pPr>
            <w:r>
              <w:rPr>
                <w:rFonts w:ascii="Arial" w:eastAsia="宋体" w:hAnsi="Arial" w:cs="Arial"/>
                <w:color w:val="000000"/>
                <w:sz w:val="17"/>
                <w:szCs w:val="17"/>
              </w:rPr>
              <w:t>7,367 </w:t>
            </w:r>
          </w:p>
        </w:tc>
        <w:tc>
          <w:tcPr>
            <w:tcW w:w="0" w:type="auto"/>
            <w:tcBorders>
              <w:top w:val="single" w:sz="8" w:space="0" w:color="808080"/>
            </w:tcBorders>
            <w:shd w:val="clear" w:color="auto" w:fill="auto"/>
            <w:tcMar>
              <w:top w:w="40" w:type="dxa"/>
              <w:bottom w:w="40" w:type="dxa"/>
              <w:right w:w="20" w:type="dxa"/>
            </w:tcMar>
            <w:vAlign w:val="bottom"/>
          </w:tcPr>
          <w:p w14:paraId="1D024FF7" w14:textId="77777777" w:rsidR="004421F6" w:rsidRDefault="004421F6">
            <w:pPr>
              <w:jc w:val="right"/>
              <w:rPr>
                <w:rFonts w:ascii="宋体"/>
              </w:rPr>
            </w:pPr>
          </w:p>
        </w:tc>
      </w:tr>
      <w:tr w:rsidR="004421F6" w14:paraId="1D024FFF"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4FF9" w14:textId="77777777" w:rsidR="004421F6" w:rsidRDefault="00F15622">
            <w:pPr>
              <w:textAlignment w:val="bottom"/>
            </w:pPr>
            <w:r>
              <w:rPr>
                <w:rFonts w:ascii="Arial" w:eastAsia="宋体" w:hAnsi="Arial" w:cs="Arial"/>
                <w:color w:val="000000"/>
                <w:sz w:val="17"/>
                <w:szCs w:val="17"/>
              </w:rPr>
              <w:t xml:space="preserve">Prepaid expenses and </w:t>
            </w:r>
            <w:r>
              <w:rPr>
                <w:rFonts w:ascii="Arial" w:eastAsia="宋体" w:hAnsi="Arial" w:cs="Arial"/>
                <w:color w:val="000000"/>
                <w:sz w:val="17"/>
                <w:szCs w:val="17"/>
              </w:rPr>
              <w:t>other current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4FFA" w14:textId="77777777" w:rsidR="004421F6" w:rsidRDefault="00F15622">
            <w:pPr>
              <w:jc w:val="right"/>
              <w:textAlignment w:val="bottom"/>
            </w:pPr>
            <w:r>
              <w:rPr>
                <w:rFonts w:ascii="Arial" w:eastAsia="宋体" w:hAnsi="Arial" w:cs="Arial"/>
                <w:color w:val="000000"/>
                <w:sz w:val="17"/>
                <w:szCs w:val="17"/>
              </w:rPr>
              <w:t>1,939 </w:t>
            </w:r>
          </w:p>
        </w:tc>
        <w:tc>
          <w:tcPr>
            <w:tcW w:w="0" w:type="auto"/>
            <w:tcBorders>
              <w:top w:val="single" w:sz="8" w:space="0" w:color="808080"/>
            </w:tcBorders>
            <w:shd w:val="clear" w:color="auto" w:fill="FFF1E7"/>
            <w:tcMar>
              <w:top w:w="40" w:type="dxa"/>
              <w:bottom w:w="40" w:type="dxa"/>
              <w:right w:w="20" w:type="dxa"/>
            </w:tcMar>
            <w:vAlign w:val="bottom"/>
          </w:tcPr>
          <w:p w14:paraId="1D024FFB"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4FFC"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4FFD" w14:textId="77777777" w:rsidR="004421F6" w:rsidRDefault="00F15622">
            <w:pPr>
              <w:jc w:val="right"/>
              <w:textAlignment w:val="bottom"/>
            </w:pPr>
            <w:r>
              <w:rPr>
                <w:rFonts w:ascii="Arial" w:eastAsia="宋体" w:hAnsi="Arial" w:cs="Arial"/>
                <w:color w:val="000000"/>
                <w:sz w:val="17"/>
                <w:szCs w:val="17"/>
              </w:rPr>
              <w:t>1,653 </w:t>
            </w:r>
          </w:p>
        </w:tc>
        <w:tc>
          <w:tcPr>
            <w:tcW w:w="0" w:type="auto"/>
            <w:tcBorders>
              <w:top w:val="single" w:sz="8" w:space="0" w:color="808080"/>
            </w:tcBorders>
            <w:shd w:val="clear" w:color="auto" w:fill="auto"/>
            <w:tcMar>
              <w:top w:w="40" w:type="dxa"/>
              <w:bottom w:w="40" w:type="dxa"/>
              <w:right w:w="20" w:type="dxa"/>
            </w:tcMar>
            <w:vAlign w:val="bottom"/>
          </w:tcPr>
          <w:p w14:paraId="1D024FFE" w14:textId="77777777" w:rsidR="004421F6" w:rsidRDefault="004421F6">
            <w:pPr>
              <w:jc w:val="right"/>
              <w:rPr>
                <w:rFonts w:ascii="宋体"/>
              </w:rPr>
            </w:pPr>
          </w:p>
        </w:tc>
      </w:tr>
      <w:tr w:rsidR="004421F6" w14:paraId="1D02500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000" w14:textId="77777777" w:rsidR="004421F6" w:rsidRDefault="00F15622">
            <w:pPr>
              <w:textAlignment w:val="bottom"/>
            </w:pPr>
            <w:r>
              <w:rPr>
                <w:rFonts w:ascii="Arial" w:eastAsia="宋体" w:hAnsi="Arial" w:cs="Arial"/>
                <w:color w:val="000000"/>
                <w:sz w:val="17"/>
                <w:szCs w:val="17"/>
              </w:rPr>
              <w:t>Total current assets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001" w14:textId="77777777" w:rsidR="004421F6" w:rsidRDefault="00F15622">
            <w:pPr>
              <w:jc w:val="right"/>
              <w:textAlignment w:val="bottom"/>
            </w:pPr>
            <w:r>
              <w:rPr>
                <w:rFonts w:ascii="Arial" w:eastAsia="宋体" w:hAnsi="Arial" w:cs="Arial"/>
                <w:color w:val="000000"/>
                <w:sz w:val="17"/>
                <w:szCs w:val="17"/>
              </w:rPr>
              <w:t>21,937 </w:t>
            </w:r>
          </w:p>
        </w:tc>
        <w:tc>
          <w:tcPr>
            <w:tcW w:w="0" w:type="auto"/>
            <w:tcBorders>
              <w:top w:val="single" w:sz="8" w:space="0" w:color="E87722"/>
            </w:tcBorders>
            <w:shd w:val="clear" w:color="auto" w:fill="FFF1E7"/>
            <w:tcMar>
              <w:top w:w="40" w:type="dxa"/>
              <w:bottom w:w="40" w:type="dxa"/>
              <w:right w:w="20" w:type="dxa"/>
            </w:tcMar>
            <w:vAlign w:val="bottom"/>
          </w:tcPr>
          <w:p w14:paraId="1D025002"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003" w14:textId="77777777" w:rsidR="004421F6" w:rsidRDefault="004421F6">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004" w14:textId="77777777" w:rsidR="004421F6" w:rsidRDefault="00F15622">
            <w:pPr>
              <w:jc w:val="right"/>
              <w:textAlignment w:val="bottom"/>
            </w:pPr>
            <w:r>
              <w:rPr>
                <w:rFonts w:ascii="Arial" w:eastAsia="宋体" w:hAnsi="Arial" w:cs="Arial"/>
                <w:color w:val="000000"/>
                <w:sz w:val="17"/>
                <w:szCs w:val="17"/>
              </w:rPr>
              <w:t>20,556 </w:t>
            </w:r>
          </w:p>
        </w:tc>
        <w:tc>
          <w:tcPr>
            <w:tcW w:w="0" w:type="auto"/>
            <w:tcBorders>
              <w:top w:val="single" w:sz="8" w:space="0" w:color="E87722"/>
            </w:tcBorders>
            <w:shd w:val="clear" w:color="auto" w:fill="auto"/>
            <w:tcMar>
              <w:top w:w="40" w:type="dxa"/>
              <w:bottom w:w="40" w:type="dxa"/>
              <w:right w:w="20" w:type="dxa"/>
            </w:tcMar>
            <w:vAlign w:val="bottom"/>
          </w:tcPr>
          <w:p w14:paraId="1D025005" w14:textId="77777777" w:rsidR="004421F6" w:rsidRDefault="004421F6">
            <w:pPr>
              <w:jc w:val="right"/>
              <w:rPr>
                <w:rFonts w:ascii="宋体"/>
              </w:rPr>
            </w:pPr>
          </w:p>
        </w:tc>
      </w:tr>
      <w:tr w:rsidR="004421F6" w14:paraId="1D02500D"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07" w14:textId="77777777" w:rsidR="004421F6" w:rsidRDefault="00F15622">
            <w:pPr>
              <w:textAlignment w:val="bottom"/>
            </w:pPr>
            <w:r>
              <w:rPr>
                <w:rFonts w:ascii="Arial" w:eastAsia="宋体" w:hAnsi="Arial" w:cs="Arial"/>
                <w:color w:val="000000"/>
                <w:sz w:val="17"/>
                <w:szCs w:val="17"/>
              </w:rPr>
              <w:t>Property, plant and equipment,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08" w14:textId="77777777" w:rsidR="004421F6" w:rsidRDefault="00F15622">
            <w:pPr>
              <w:jc w:val="right"/>
              <w:textAlignment w:val="bottom"/>
            </w:pPr>
            <w:r>
              <w:rPr>
                <w:rFonts w:ascii="Arial" w:eastAsia="宋体" w:hAnsi="Arial" w:cs="Arial"/>
                <w:color w:val="000000"/>
                <w:sz w:val="17"/>
                <w:szCs w:val="17"/>
              </w:rPr>
              <w:t>4,969 </w:t>
            </w:r>
          </w:p>
        </w:tc>
        <w:tc>
          <w:tcPr>
            <w:tcW w:w="0" w:type="auto"/>
            <w:tcBorders>
              <w:top w:val="single" w:sz="8" w:space="0" w:color="808080"/>
            </w:tcBorders>
            <w:shd w:val="clear" w:color="auto" w:fill="FFF1E7"/>
            <w:tcMar>
              <w:top w:w="40" w:type="dxa"/>
              <w:bottom w:w="40" w:type="dxa"/>
              <w:right w:w="20" w:type="dxa"/>
            </w:tcMar>
            <w:vAlign w:val="bottom"/>
          </w:tcPr>
          <w:p w14:paraId="1D025009"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0A"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0B" w14:textId="77777777" w:rsidR="004421F6" w:rsidRDefault="00F15622">
            <w:pPr>
              <w:jc w:val="right"/>
              <w:textAlignment w:val="bottom"/>
            </w:pPr>
            <w:r>
              <w:rPr>
                <w:rFonts w:ascii="Arial" w:eastAsia="宋体" w:hAnsi="Arial" w:cs="Arial"/>
                <w:color w:val="000000"/>
                <w:sz w:val="17"/>
                <w:szCs w:val="17"/>
              </w:rPr>
              <w:t>4,866 </w:t>
            </w:r>
          </w:p>
        </w:tc>
        <w:tc>
          <w:tcPr>
            <w:tcW w:w="0" w:type="auto"/>
            <w:tcBorders>
              <w:top w:val="single" w:sz="8" w:space="0" w:color="808080"/>
            </w:tcBorders>
            <w:shd w:val="clear" w:color="auto" w:fill="auto"/>
            <w:tcMar>
              <w:top w:w="40" w:type="dxa"/>
              <w:bottom w:w="40" w:type="dxa"/>
              <w:right w:w="20" w:type="dxa"/>
            </w:tcMar>
            <w:vAlign w:val="bottom"/>
          </w:tcPr>
          <w:p w14:paraId="1D02500C" w14:textId="77777777" w:rsidR="004421F6" w:rsidRDefault="004421F6">
            <w:pPr>
              <w:jc w:val="right"/>
              <w:rPr>
                <w:rFonts w:ascii="宋体"/>
              </w:rPr>
            </w:pPr>
          </w:p>
        </w:tc>
      </w:tr>
      <w:tr w:rsidR="004421F6" w14:paraId="1D025014"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0E" w14:textId="77777777" w:rsidR="004421F6" w:rsidRDefault="00F15622">
            <w:pPr>
              <w:textAlignment w:val="bottom"/>
            </w:pPr>
            <w:r>
              <w:rPr>
                <w:rFonts w:ascii="Arial" w:eastAsia="宋体" w:hAnsi="Arial" w:cs="Arial"/>
                <w:color w:val="000000"/>
                <w:sz w:val="17"/>
                <w:szCs w:val="17"/>
              </w:rPr>
              <w:t>Operating lease right-of-use assets,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0F" w14:textId="77777777" w:rsidR="004421F6" w:rsidRDefault="00F15622">
            <w:pPr>
              <w:jc w:val="right"/>
              <w:textAlignment w:val="bottom"/>
            </w:pPr>
            <w:r>
              <w:rPr>
                <w:rFonts w:ascii="Arial" w:eastAsia="宋体" w:hAnsi="Arial" w:cs="Arial"/>
                <w:color w:val="000000"/>
                <w:sz w:val="17"/>
                <w:szCs w:val="17"/>
              </w:rPr>
              <w:t>3,158 </w:t>
            </w:r>
          </w:p>
        </w:tc>
        <w:tc>
          <w:tcPr>
            <w:tcW w:w="0" w:type="auto"/>
            <w:tcBorders>
              <w:top w:val="single" w:sz="8" w:space="0" w:color="808080"/>
            </w:tcBorders>
            <w:shd w:val="clear" w:color="auto" w:fill="FFF1E7"/>
            <w:tcMar>
              <w:top w:w="40" w:type="dxa"/>
              <w:bottom w:w="40" w:type="dxa"/>
              <w:right w:w="20" w:type="dxa"/>
            </w:tcMar>
            <w:vAlign w:val="bottom"/>
          </w:tcPr>
          <w:p w14:paraId="1D025010"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11"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12" w14:textId="77777777" w:rsidR="004421F6" w:rsidRDefault="00F15622">
            <w:pPr>
              <w:jc w:val="right"/>
              <w:textAlignment w:val="bottom"/>
            </w:pPr>
            <w:r>
              <w:rPr>
                <w:rFonts w:ascii="Arial" w:eastAsia="宋体" w:hAnsi="Arial" w:cs="Arial"/>
                <w:color w:val="000000"/>
                <w:sz w:val="17"/>
                <w:szCs w:val="17"/>
              </w:rPr>
              <w:t>3,097 </w:t>
            </w:r>
          </w:p>
        </w:tc>
        <w:tc>
          <w:tcPr>
            <w:tcW w:w="0" w:type="auto"/>
            <w:tcBorders>
              <w:top w:val="single" w:sz="8" w:space="0" w:color="808080"/>
            </w:tcBorders>
            <w:shd w:val="clear" w:color="auto" w:fill="auto"/>
            <w:tcMar>
              <w:top w:w="40" w:type="dxa"/>
              <w:bottom w:w="40" w:type="dxa"/>
              <w:right w:w="20" w:type="dxa"/>
            </w:tcMar>
            <w:vAlign w:val="bottom"/>
          </w:tcPr>
          <w:p w14:paraId="1D025013" w14:textId="77777777" w:rsidR="004421F6" w:rsidRDefault="004421F6">
            <w:pPr>
              <w:jc w:val="right"/>
              <w:rPr>
                <w:rFonts w:ascii="宋体"/>
              </w:rPr>
            </w:pPr>
          </w:p>
        </w:tc>
      </w:tr>
      <w:tr w:rsidR="004421F6" w14:paraId="1D02501B"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15" w14:textId="77777777" w:rsidR="004421F6" w:rsidRDefault="00F15622">
            <w:pPr>
              <w:textAlignment w:val="bottom"/>
            </w:pPr>
            <w:r>
              <w:rPr>
                <w:rFonts w:ascii="Arial" w:eastAsia="宋体" w:hAnsi="Arial" w:cs="Arial"/>
                <w:color w:val="000000"/>
                <w:sz w:val="17"/>
                <w:szCs w:val="17"/>
              </w:rPr>
              <w:t>Identifiable intangible assets,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16" w14:textId="77777777" w:rsidR="004421F6" w:rsidRDefault="00F15622">
            <w:pPr>
              <w:jc w:val="right"/>
              <w:textAlignment w:val="bottom"/>
            </w:pPr>
            <w:r>
              <w:rPr>
                <w:rFonts w:ascii="Arial" w:eastAsia="宋体" w:hAnsi="Arial" w:cs="Arial"/>
                <w:color w:val="000000"/>
                <w:sz w:val="17"/>
                <w:szCs w:val="17"/>
              </w:rPr>
              <w:t>272 </w:t>
            </w:r>
          </w:p>
        </w:tc>
        <w:tc>
          <w:tcPr>
            <w:tcW w:w="0" w:type="auto"/>
            <w:tcBorders>
              <w:top w:val="single" w:sz="8" w:space="0" w:color="808080"/>
            </w:tcBorders>
            <w:shd w:val="clear" w:color="auto" w:fill="FFF1E7"/>
            <w:tcMar>
              <w:top w:w="40" w:type="dxa"/>
              <w:bottom w:w="40" w:type="dxa"/>
              <w:right w:w="20" w:type="dxa"/>
            </w:tcMar>
            <w:vAlign w:val="bottom"/>
          </w:tcPr>
          <w:p w14:paraId="1D025017"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18"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19" w14:textId="77777777" w:rsidR="004421F6" w:rsidRDefault="00F15622">
            <w:pPr>
              <w:jc w:val="right"/>
              <w:textAlignment w:val="bottom"/>
            </w:pPr>
            <w:r>
              <w:rPr>
                <w:rFonts w:ascii="Arial" w:eastAsia="宋体" w:hAnsi="Arial" w:cs="Arial"/>
                <w:color w:val="000000"/>
                <w:sz w:val="17"/>
                <w:szCs w:val="17"/>
              </w:rPr>
              <w:t>274 </w:t>
            </w:r>
          </w:p>
        </w:tc>
        <w:tc>
          <w:tcPr>
            <w:tcW w:w="0" w:type="auto"/>
            <w:tcBorders>
              <w:top w:val="single" w:sz="8" w:space="0" w:color="808080"/>
            </w:tcBorders>
            <w:shd w:val="clear" w:color="auto" w:fill="auto"/>
            <w:tcMar>
              <w:top w:w="40" w:type="dxa"/>
              <w:bottom w:w="40" w:type="dxa"/>
              <w:right w:w="20" w:type="dxa"/>
            </w:tcMar>
            <w:vAlign w:val="bottom"/>
          </w:tcPr>
          <w:p w14:paraId="1D02501A" w14:textId="77777777" w:rsidR="004421F6" w:rsidRDefault="004421F6">
            <w:pPr>
              <w:jc w:val="right"/>
              <w:rPr>
                <w:rFonts w:ascii="宋体"/>
              </w:rPr>
            </w:pPr>
          </w:p>
        </w:tc>
      </w:tr>
      <w:tr w:rsidR="004421F6" w14:paraId="1D025022"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1C" w14:textId="77777777" w:rsidR="004421F6" w:rsidRDefault="00F15622">
            <w:pPr>
              <w:textAlignment w:val="bottom"/>
            </w:pPr>
            <w:r>
              <w:rPr>
                <w:rFonts w:ascii="Arial" w:eastAsia="宋体" w:hAnsi="Arial" w:cs="Arial"/>
                <w:color w:val="000000"/>
                <w:sz w:val="17"/>
                <w:szCs w:val="17"/>
              </w:rPr>
              <w:t>Goodwill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1D" w14:textId="77777777" w:rsidR="004421F6" w:rsidRDefault="00F15622">
            <w:pPr>
              <w:jc w:val="right"/>
              <w:textAlignment w:val="bottom"/>
            </w:pPr>
            <w:r>
              <w:rPr>
                <w:rFonts w:ascii="Arial" w:eastAsia="宋体" w:hAnsi="Arial" w:cs="Arial"/>
                <w:color w:val="000000"/>
                <w:sz w:val="17"/>
                <w:szCs w:val="17"/>
              </w:rPr>
              <w:t>223 </w:t>
            </w:r>
          </w:p>
        </w:tc>
        <w:tc>
          <w:tcPr>
            <w:tcW w:w="0" w:type="auto"/>
            <w:tcBorders>
              <w:top w:val="single" w:sz="8" w:space="0" w:color="808080"/>
            </w:tcBorders>
            <w:shd w:val="clear" w:color="auto" w:fill="FFF1E7"/>
            <w:tcMar>
              <w:top w:w="40" w:type="dxa"/>
              <w:bottom w:w="40" w:type="dxa"/>
              <w:right w:w="20" w:type="dxa"/>
            </w:tcMar>
            <w:vAlign w:val="bottom"/>
          </w:tcPr>
          <w:p w14:paraId="1D02501E"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1F"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20" w14:textId="77777777" w:rsidR="004421F6" w:rsidRDefault="00F15622">
            <w:pPr>
              <w:jc w:val="right"/>
              <w:textAlignment w:val="bottom"/>
            </w:pPr>
            <w:r>
              <w:rPr>
                <w:rFonts w:ascii="Arial" w:eastAsia="宋体" w:hAnsi="Arial" w:cs="Arial"/>
                <w:color w:val="000000"/>
                <w:sz w:val="17"/>
                <w:szCs w:val="17"/>
              </w:rPr>
              <w:t>223 </w:t>
            </w:r>
          </w:p>
        </w:tc>
        <w:tc>
          <w:tcPr>
            <w:tcW w:w="0" w:type="auto"/>
            <w:tcBorders>
              <w:top w:val="single" w:sz="8" w:space="0" w:color="808080"/>
            </w:tcBorders>
            <w:shd w:val="clear" w:color="auto" w:fill="auto"/>
            <w:tcMar>
              <w:top w:w="40" w:type="dxa"/>
              <w:bottom w:w="40" w:type="dxa"/>
              <w:right w:w="20" w:type="dxa"/>
            </w:tcMar>
            <w:vAlign w:val="bottom"/>
          </w:tcPr>
          <w:p w14:paraId="1D025021" w14:textId="77777777" w:rsidR="004421F6" w:rsidRDefault="004421F6">
            <w:pPr>
              <w:jc w:val="right"/>
              <w:rPr>
                <w:rFonts w:ascii="宋体"/>
              </w:rPr>
            </w:pPr>
          </w:p>
        </w:tc>
      </w:tr>
      <w:tr w:rsidR="004421F6" w14:paraId="1D025029"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23" w14:textId="77777777" w:rsidR="004421F6" w:rsidRDefault="00F15622">
            <w:pPr>
              <w:textAlignment w:val="bottom"/>
            </w:pPr>
            <w:r>
              <w:rPr>
                <w:rFonts w:ascii="Arial" w:eastAsia="宋体" w:hAnsi="Arial" w:cs="Arial"/>
                <w:color w:val="000000"/>
                <w:sz w:val="17"/>
                <w:szCs w:val="17"/>
              </w:rPr>
              <w:t>Deferred income taxes and other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24" w14:textId="77777777" w:rsidR="004421F6" w:rsidRDefault="00F15622">
            <w:pPr>
              <w:jc w:val="right"/>
              <w:textAlignment w:val="bottom"/>
            </w:pPr>
            <w:r>
              <w:rPr>
                <w:rFonts w:ascii="Arial" w:eastAsia="宋体" w:hAnsi="Arial" w:cs="Arial"/>
                <w:color w:val="000000"/>
                <w:sz w:val="17"/>
                <w:szCs w:val="17"/>
              </w:rPr>
              <w:t>2,699 </w:t>
            </w:r>
          </w:p>
        </w:tc>
        <w:tc>
          <w:tcPr>
            <w:tcW w:w="0" w:type="auto"/>
            <w:tcBorders>
              <w:top w:val="single" w:sz="8" w:space="0" w:color="808080"/>
            </w:tcBorders>
            <w:shd w:val="clear" w:color="auto" w:fill="FFF1E7"/>
            <w:tcMar>
              <w:top w:w="40" w:type="dxa"/>
              <w:bottom w:w="40" w:type="dxa"/>
              <w:right w:w="20" w:type="dxa"/>
            </w:tcMar>
            <w:vAlign w:val="bottom"/>
          </w:tcPr>
          <w:p w14:paraId="1D025025"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26"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27" w14:textId="77777777" w:rsidR="004421F6" w:rsidRDefault="00F15622">
            <w:pPr>
              <w:jc w:val="right"/>
              <w:textAlignment w:val="bottom"/>
            </w:pPr>
            <w:r>
              <w:rPr>
                <w:rFonts w:ascii="Arial" w:eastAsia="宋体" w:hAnsi="Arial" w:cs="Arial"/>
                <w:color w:val="000000"/>
                <w:sz w:val="17"/>
                <w:szCs w:val="17"/>
              </w:rPr>
              <w:t>2,326 </w:t>
            </w:r>
          </w:p>
        </w:tc>
        <w:tc>
          <w:tcPr>
            <w:tcW w:w="0" w:type="auto"/>
            <w:tcBorders>
              <w:top w:val="single" w:sz="8" w:space="0" w:color="808080"/>
            </w:tcBorders>
            <w:shd w:val="clear" w:color="auto" w:fill="auto"/>
            <w:tcMar>
              <w:top w:w="40" w:type="dxa"/>
              <w:bottom w:w="40" w:type="dxa"/>
              <w:right w:w="20" w:type="dxa"/>
            </w:tcMar>
            <w:vAlign w:val="bottom"/>
          </w:tcPr>
          <w:p w14:paraId="1D025028" w14:textId="77777777" w:rsidR="004421F6" w:rsidRDefault="004421F6">
            <w:pPr>
              <w:jc w:val="right"/>
              <w:rPr>
                <w:rFonts w:ascii="宋体"/>
              </w:rPr>
            </w:pPr>
          </w:p>
        </w:tc>
      </w:tr>
      <w:tr w:rsidR="004421F6" w14:paraId="1D02503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02A" w14:textId="77777777" w:rsidR="004421F6" w:rsidRDefault="00F15622">
            <w:pPr>
              <w:textAlignment w:val="bottom"/>
            </w:pPr>
            <w:r>
              <w:rPr>
                <w:rFonts w:ascii="Arial" w:eastAsia="宋体" w:hAnsi="Arial" w:cs="Arial"/>
                <w:b/>
                <w:bCs/>
                <w:color w:val="000000"/>
                <w:sz w:val="17"/>
                <w:szCs w:val="17"/>
              </w:rPr>
              <w:t>TOTAL ASSETS</w:t>
            </w:r>
          </w:p>
        </w:tc>
        <w:tc>
          <w:tcPr>
            <w:tcW w:w="0" w:type="auto"/>
            <w:tcBorders>
              <w:top w:val="single" w:sz="8" w:space="0" w:color="E87722"/>
            </w:tcBorders>
            <w:shd w:val="clear" w:color="auto" w:fill="FFF1E7"/>
            <w:tcMar>
              <w:top w:w="40" w:type="dxa"/>
              <w:left w:w="20" w:type="dxa"/>
              <w:bottom w:w="40" w:type="dxa"/>
            </w:tcMar>
            <w:vAlign w:val="bottom"/>
          </w:tcPr>
          <w:p w14:paraId="1D02502B"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502C" w14:textId="77777777" w:rsidR="004421F6" w:rsidRDefault="00F15622">
            <w:pPr>
              <w:jc w:val="right"/>
              <w:textAlignment w:val="bottom"/>
            </w:pPr>
            <w:r>
              <w:rPr>
                <w:rFonts w:ascii="Arial" w:eastAsia="宋体" w:hAnsi="Arial" w:cs="Arial"/>
                <w:b/>
                <w:bCs/>
                <w:color w:val="000000"/>
                <w:sz w:val="17"/>
                <w:szCs w:val="17"/>
              </w:rPr>
              <w:t>33,258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502D"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02E" w14:textId="77777777" w:rsidR="004421F6" w:rsidRDefault="004421F6">
            <w:pPr>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02F"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030" w14:textId="77777777" w:rsidR="004421F6" w:rsidRDefault="00F15622">
            <w:pPr>
              <w:jc w:val="right"/>
              <w:textAlignment w:val="bottom"/>
            </w:pPr>
            <w:r>
              <w:rPr>
                <w:rFonts w:ascii="Arial" w:eastAsia="宋体" w:hAnsi="Arial" w:cs="Arial"/>
                <w:b/>
                <w:bCs/>
                <w:color w:val="000000"/>
                <w:sz w:val="17"/>
                <w:szCs w:val="17"/>
              </w:rPr>
              <w:t>31,342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031" w14:textId="77777777" w:rsidR="004421F6" w:rsidRDefault="004421F6">
            <w:pPr>
              <w:jc w:val="right"/>
              <w:rPr>
                <w:rFonts w:ascii="宋体"/>
              </w:rPr>
            </w:pPr>
          </w:p>
        </w:tc>
      </w:tr>
      <w:tr w:rsidR="004421F6" w14:paraId="1D02503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033" w14:textId="77777777" w:rsidR="004421F6" w:rsidRDefault="00F15622">
            <w:pPr>
              <w:textAlignment w:val="bottom"/>
            </w:pPr>
            <w:r>
              <w:rPr>
                <w:rFonts w:ascii="Arial" w:eastAsia="宋体" w:hAnsi="Arial" w:cs="Arial"/>
                <w:b/>
                <w:bCs/>
                <w:color w:val="000000"/>
                <w:sz w:val="17"/>
                <w:szCs w:val="17"/>
              </w:rPr>
              <w:t>LIABILITIES AND SHAREHOLDERS' EQUITY</w:t>
            </w:r>
          </w:p>
        </w:tc>
        <w:tc>
          <w:tcPr>
            <w:tcW w:w="0" w:type="auto"/>
            <w:gridSpan w:val="3"/>
            <w:tcBorders>
              <w:top w:val="single" w:sz="8" w:space="0" w:color="E87722"/>
            </w:tcBorders>
            <w:shd w:val="clear" w:color="auto" w:fill="FFF1E7"/>
            <w:tcMar>
              <w:left w:w="20" w:type="dxa"/>
              <w:right w:w="20" w:type="dxa"/>
            </w:tcMar>
            <w:vAlign w:val="bottom"/>
          </w:tcPr>
          <w:p w14:paraId="1D025034"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035"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036" w14:textId="77777777" w:rsidR="004421F6" w:rsidRDefault="004421F6">
            <w:pPr>
              <w:rPr>
                <w:rFonts w:ascii="宋体"/>
              </w:rPr>
            </w:pPr>
          </w:p>
        </w:tc>
      </w:tr>
      <w:tr w:rsidR="004421F6" w14:paraId="1D02503C"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038" w14:textId="77777777" w:rsidR="004421F6" w:rsidRDefault="00F15622">
            <w:pPr>
              <w:textAlignment w:val="bottom"/>
            </w:pPr>
            <w:r>
              <w:rPr>
                <w:rFonts w:ascii="Arial" w:eastAsia="宋体" w:hAnsi="Arial" w:cs="Arial"/>
                <w:color w:val="000000"/>
                <w:sz w:val="17"/>
                <w:szCs w:val="17"/>
              </w:rPr>
              <w:t>Current liabilities:</w:t>
            </w:r>
          </w:p>
        </w:tc>
        <w:tc>
          <w:tcPr>
            <w:tcW w:w="0" w:type="auto"/>
            <w:gridSpan w:val="3"/>
            <w:tcBorders>
              <w:top w:val="single" w:sz="8" w:space="0" w:color="808080"/>
            </w:tcBorders>
            <w:shd w:val="clear" w:color="auto" w:fill="FFF1E7"/>
            <w:tcMar>
              <w:left w:w="20" w:type="dxa"/>
              <w:right w:w="20" w:type="dxa"/>
            </w:tcMar>
            <w:vAlign w:val="bottom"/>
          </w:tcPr>
          <w:p w14:paraId="1D025039"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3A"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3B" w14:textId="77777777" w:rsidR="004421F6" w:rsidRDefault="004421F6">
            <w:pPr>
              <w:rPr>
                <w:rFonts w:ascii="宋体"/>
              </w:rPr>
            </w:pPr>
          </w:p>
        </w:tc>
      </w:tr>
      <w:tr w:rsidR="004421F6" w14:paraId="1D025045"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3D" w14:textId="77777777" w:rsidR="004421F6" w:rsidRDefault="00F15622">
            <w:pPr>
              <w:textAlignment w:val="bottom"/>
            </w:pPr>
            <w:r>
              <w:rPr>
                <w:rFonts w:ascii="Arial" w:eastAsia="宋体" w:hAnsi="Arial" w:cs="Arial"/>
                <w:color w:val="000000"/>
                <w:sz w:val="17"/>
                <w:szCs w:val="17"/>
              </w:rPr>
              <w:t>Current portion of long-term debt</w:t>
            </w:r>
          </w:p>
        </w:tc>
        <w:tc>
          <w:tcPr>
            <w:tcW w:w="0" w:type="auto"/>
            <w:tcBorders>
              <w:top w:val="single" w:sz="8" w:space="0" w:color="808080"/>
            </w:tcBorders>
            <w:shd w:val="clear" w:color="auto" w:fill="FFF1E7"/>
            <w:tcMar>
              <w:top w:w="40" w:type="dxa"/>
              <w:left w:w="20" w:type="dxa"/>
              <w:bottom w:w="40" w:type="dxa"/>
            </w:tcMar>
            <w:vAlign w:val="bottom"/>
          </w:tcPr>
          <w:p w14:paraId="1D02503E"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503F"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bottom w:w="40" w:type="dxa"/>
              <w:right w:w="20" w:type="dxa"/>
            </w:tcMar>
            <w:vAlign w:val="bottom"/>
          </w:tcPr>
          <w:p w14:paraId="1D025040"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41" w14:textId="77777777" w:rsidR="004421F6" w:rsidRDefault="004421F6">
            <w:pPr>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5042"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5043" w14:textId="77777777" w:rsidR="004421F6" w:rsidRDefault="00F1562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bottom w:w="40" w:type="dxa"/>
              <w:right w:w="20" w:type="dxa"/>
            </w:tcMar>
            <w:vAlign w:val="bottom"/>
          </w:tcPr>
          <w:p w14:paraId="1D025044" w14:textId="77777777" w:rsidR="004421F6" w:rsidRDefault="004421F6">
            <w:pPr>
              <w:jc w:val="right"/>
              <w:rPr>
                <w:rFonts w:ascii="宋体"/>
              </w:rPr>
            </w:pPr>
          </w:p>
        </w:tc>
      </w:tr>
      <w:tr w:rsidR="004421F6" w14:paraId="1D02504C"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46" w14:textId="77777777" w:rsidR="004421F6" w:rsidRDefault="00F15622">
            <w:pPr>
              <w:textAlignment w:val="bottom"/>
            </w:pPr>
            <w:r>
              <w:rPr>
                <w:rFonts w:ascii="Arial" w:eastAsia="宋体" w:hAnsi="Arial" w:cs="Arial"/>
                <w:color w:val="000000"/>
                <w:sz w:val="17"/>
                <w:szCs w:val="17"/>
              </w:rPr>
              <w:t>Notes payable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47" w14:textId="77777777" w:rsidR="004421F6" w:rsidRDefault="00F15622">
            <w:pPr>
              <w:jc w:val="right"/>
              <w:textAlignment w:val="bottom"/>
            </w:pPr>
            <w:r>
              <w:rPr>
                <w:rFonts w:ascii="Arial" w:eastAsia="宋体" w:hAnsi="Arial" w:cs="Arial"/>
                <w:color w:val="000000"/>
                <w:sz w:val="17"/>
                <w:szCs w:val="17"/>
              </w:rPr>
              <w:t>137 </w:t>
            </w:r>
          </w:p>
        </w:tc>
        <w:tc>
          <w:tcPr>
            <w:tcW w:w="0" w:type="auto"/>
            <w:tcBorders>
              <w:top w:val="single" w:sz="8" w:space="0" w:color="808080"/>
            </w:tcBorders>
            <w:shd w:val="clear" w:color="auto" w:fill="FFF1E7"/>
            <w:tcMar>
              <w:top w:w="40" w:type="dxa"/>
              <w:bottom w:w="40" w:type="dxa"/>
              <w:right w:w="20" w:type="dxa"/>
            </w:tcMar>
            <w:vAlign w:val="bottom"/>
          </w:tcPr>
          <w:p w14:paraId="1D025048"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49"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4A" w14:textId="77777777" w:rsidR="004421F6" w:rsidRDefault="00F15622">
            <w:pPr>
              <w:jc w:val="right"/>
              <w:textAlignment w:val="bottom"/>
            </w:pPr>
            <w:r>
              <w:rPr>
                <w:rFonts w:ascii="Arial" w:eastAsia="宋体" w:hAnsi="Arial" w:cs="Arial"/>
                <w:color w:val="000000"/>
                <w:sz w:val="17"/>
                <w:szCs w:val="17"/>
              </w:rPr>
              <w:t>248 </w:t>
            </w:r>
          </w:p>
        </w:tc>
        <w:tc>
          <w:tcPr>
            <w:tcW w:w="0" w:type="auto"/>
            <w:tcBorders>
              <w:top w:val="single" w:sz="8" w:space="0" w:color="808080"/>
            </w:tcBorders>
            <w:shd w:val="clear" w:color="auto" w:fill="auto"/>
            <w:tcMar>
              <w:top w:w="40" w:type="dxa"/>
              <w:bottom w:w="40" w:type="dxa"/>
              <w:right w:w="20" w:type="dxa"/>
            </w:tcMar>
            <w:vAlign w:val="bottom"/>
          </w:tcPr>
          <w:p w14:paraId="1D02504B" w14:textId="77777777" w:rsidR="004421F6" w:rsidRDefault="004421F6">
            <w:pPr>
              <w:jc w:val="right"/>
              <w:rPr>
                <w:rFonts w:ascii="宋体"/>
              </w:rPr>
            </w:pPr>
          </w:p>
        </w:tc>
      </w:tr>
      <w:tr w:rsidR="004421F6" w14:paraId="1D025053"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4D" w14:textId="77777777" w:rsidR="004421F6" w:rsidRDefault="00F15622">
            <w:pPr>
              <w:textAlignment w:val="bottom"/>
            </w:pPr>
            <w:r>
              <w:rPr>
                <w:rFonts w:ascii="Arial" w:eastAsia="宋体" w:hAnsi="Arial" w:cs="Arial"/>
                <w:color w:val="000000"/>
                <w:sz w:val="17"/>
                <w:szCs w:val="17"/>
              </w:rPr>
              <w:t>Accounts payable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4E" w14:textId="77777777" w:rsidR="004421F6" w:rsidRDefault="00F15622">
            <w:pPr>
              <w:jc w:val="right"/>
              <w:textAlignment w:val="bottom"/>
            </w:pPr>
            <w:r>
              <w:rPr>
                <w:rFonts w:ascii="Arial" w:eastAsia="宋体" w:hAnsi="Arial" w:cs="Arial"/>
                <w:color w:val="000000"/>
                <w:sz w:val="17"/>
                <w:szCs w:val="17"/>
              </w:rPr>
              <w:t>1,983 </w:t>
            </w:r>
          </w:p>
        </w:tc>
        <w:tc>
          <w:tcPr>
            <w:tcW w:w="0" w:type="auto"/>
            <w:tcBorders>
              <w:top w:val="single" w:sz="8" w:space="0" w:color="808080"/>
            </w:tcBorders>
            <w:shd w:val="clear" w:color="auto" w:fill="FFF1E7"/>
            <w:tcMar>
              <w:top w:w="40" w:type="dxa"/>
              <w:bottom w:w="40" w:type="dxa"/>
              <w:right w:w="20" w:type="dxa"/>
            </w:tcMar>
            <w:vAlign w:val="bottom"/>
          </w:tcPr>
          <w:p w14:paraId="1D02504F"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50"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51" w14:textId="77777777" w:rsidR="004421F6" w:rsidRDefault="00F15622">
            <w:pPr>
              <w:jc w:val="right"/>
              <w:textAlignment w:val="bottom"/>
            </w:pPr>
            <w:r>
              <w:rPr>
                <w:rFonts w:ascii="Arial" w:eastAsia="宋体" w:hAnsi="Arial" w:cs="Arial"/>
                <w:color w:val="000000"/>
                <w:sz w:val="17"/>
                <w:szCs w:val="17"/>
              </w:rPr>
              <w:t>2,248 </w:t>
            </w:r>
          </w:p>
        </w:tc>
        <w:tc>
          <w:tcPr>
            <w:tcW w:w="0" w:type="auto"/>
            <w:tcBorders>
              <w:top w:val="single" w:sz="8" w:space="0" w:color="808080"/>
            </w:tcBorders>
            <w:shd w:val="clear" w:color="auto" w:fill="auto"/>
            <w:tcMar>
              <w:top w:w="40" w:type="dxa"/>
              <w:bottom w:w="40" w:type="dxa"/>
              <w:right w:w="20" w:type="dxa"/>
            </w:tcMar>
            <w:vAlign w:val="bottom"/>
          </w:tcPr>
          <w:p w14:paraId="1D025052" w14:textId="77777777" w:rsidR="004421F6" w:rsidRDefault="004421F6">
            <w:pPr>
              <w:jc w:val="right"/>
              <w:rPr>
                <w:rFonts w:ascii="宋体"/>
              </w:rPr>
            </w:pPr>
          </w:p>
        </w:tc>
      </w:tr>
      <w:tr w:rsidR="004421F6" w14:paraId="1D02505A"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54" w14:textId="77777777" w:rsidR="004421F6" w:rsidRDefault="00F15622">
            <w:pPr>
              <w:textAlignment w:val="bottom"/>
            </w:pPr>
            <w:r>
              <w:rPr>
                <w:rFonts w:ascii="Arial" w:eastAsia="宋体" w:hAnsi="Arial" w:cs="Arial"/>
                <w:color w:val="000000"/>
                <w:sz w:val="17"/>
                <w:szCs w:val="17"/>
              </w:rPr>
              <w:t>Current portion of operating lease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55" w14:textId="77777777" w:rsidR="004421F6" w:rsidRDefault="00F15622">
            <w:pPr>
              <w:jc w:val="right"/>
              <w:textAlignment w:val="bottom"/>
            </w:pPr>
            <w:r>
              <w:rPr>
                <w:rFonts w:ascii="Arial" w:eastAsia="宋体" w:hAnsi="Arial" w:cs="Arial"/>
                <w:color w:val="000000"/>
                <w:sz w:val="17"/>
                <w:szCs w:val="17"/>
              </w:rPr>
              <w:t>459 </w:t>
            </w:r>
          </w:p>
        </w:tc>
        <w:tc>
          <w:tcPr>
            <w:tcW w:w="0" w:type="auto"/>
            <w:tcBorders>
              <w:top w:val="single" w:sz="8" w:space="0" w:color="808080"/>
            </w:tcBorders>
            <w:shd w:val="clear" w:color="auto" w:fill="FFF1E7"/>
            <w:tcMar>
              <w:top w:w="40" w:type="dxa"/>
              <w:bottom w:w="40" w:type="dxa"/>
              <w:right w:w="20" w:type="dxa"/>
            </w:tcMar>
            <w:vAlign w:val="bottom"/>
          </w:tcPr>
          <w:p w14:paraId="1D025056"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57"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58" w14:textId="77777777" w:rsidR="004421F6" w:rsidRDefault="00F15622">
            <w:pPr>
              <w:jc w:val="right"/>
              <w:textAlignment w:val="bottom"/>
            </w:pPr>
            <w:r>
              <w:rPr>
                <w:rFonts w:ascii="Arial" w:eastAsia="宋体" w:hAnsi="Arial" w:cs="Arial"/>
                <w:color w:val="000000"/>
                <w:sz w:val="17"/>
                <w:szCs w:val="17"/>
              </w:rPr>
              <w:t>445 </w:t>
            </w:r>
          </w:p>
        </w:tc>
        <w:tc>
          <w:tcPr>
            <w:tcW w:w="0" w:type="auto"/>
            <w:tcBorders>
              <w:top w:val="single" w:sz="8" w:space="0" w:color="808080"/>
            </w:tcBorders>
            <w:shd w:val="clear" w:color="auto" w:fill="auto"/>
            <w:tcMar>
              <w:top w:w="40" w:type="dxa"/>
              <w:bottom w:w="40" w:type="dxa"/>
              <w:right w:w="20" w:type="dxa"/>
            </w:tcMar>
            <w:vAlign w:val="bottom"/>
          </w:tcPr>
          <w:p w14:paraId="1D025059" w14:textId="77777777" w:rsidR="004421F6" w:rsidRDefault="004421F6">
            <w:pPr>
              <w:jc w:val="right"/>
              <w:rPr>
                <w:rFonts w:ascii="宋体"/>
              </w:rPr>
            </w:pPr>
          </w:p>
        </w:tc>
      </w:tr>
      <w:tr w:rsidR="004421F6" w14:paraId="1D025061"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5B" w14:textId="77777777" w:rsidR="004421F6" w:rsidRDefault="00F15622">
            <w:pPr>
              <w:textAlignment w:val="bottom"/>
            </w:pPr>
            <w:r>
              <w:rPr>
                <w:rFonts w:ascii="Arial" w:eastAsia="宋体" w:hAnsi="Arial" w:cs="Arial"/>
                <w:color w:val="000000"/>
                <w:sz w:val="17"/>
                <w:szCs w:val="17"/>
              </w:rPr>
              <w:t>Accrued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5C" w14:textId="77777777" w:rsidR="004421F6" w:rsidRDefault="00F15622">
            <w:pPr>
              <w:jc w:val="right"/>
              <w:textAlignment w:val="bottom"/>
            </w:pPr>
            <w:r>
              <w:rPr>
                <w:rFonts w:ascii="Arial" w:eastAsia="宋体" w:hAnsi="Arial" w:cs="Arial"/>
                <w:color w:val="000000"/>
                <w:sz w:val="17"/>
                <w:szCs w:val="17"/>
              </w:rPr>
              <w:t>5,742 </w:t>
            </w:r>
          </w:p>
        </w:tc>
        <w:tc>
          <w:tcPr>
            <w:tcW w:w="0" w:type="auto"/>
            <w:tcBorders>
              <w:top w:val="single" w:sz="8" w:space="0" w:color="808080"/>
            </w:tcBorders>
            <w:shd w:val="clear" w:color="auto" w:fill="FFF1E7"/>
            <w:tcMar>
              <w:top w:w="40" w:type="dxa"/>
              <w:bottom w:w="40" w:type="dxa"/>
              <w:right w:w="20" w:type="dxa"/>
            </w:tcMar>
            <w:vAlign w:val="bottom"/>
          </w:tcPr>
          <w:p w14:paraId="1D02505D"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5E"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5F" w14:textId="77777777" w:rsidR="004421F6" w:rsidRDefault="00F15622">
            <w:pPr>
              <w:jc w:val="right"/>
              <w:textAlignment w:val="bottom"/>
            </w:pPr>
            <w:r>
              <w:rPr>
                <w:rFonts w:ascii="Arial" w:eastAsia="宋体" w:hAnsi="Arial" w:cs="Arial"/>
                <w:color w:val="000000"/>
                <w:sz w:val="17"/>
                <w:szCs w:val="17"/>
              </w:rPr>
              <w:t>5,184 </w:t>
            </w:r>
          </w:p>
        </w:tc>
        <w:tc>
          <w:tcPr>
            <w:tcW w:w="0" w:type="auto"/>
            <w:tcBorders>
              <w:top w:val="single" w:sz="8" w:space="0" w:color="808080"/>
            </w:tcBorders>
            <w:shd w:val="clear" w:color="auto" w:fill="auto"/>
            <w:tcMar>
              <w:top w:w="40" w:type="dxa"/>
              <w:bottom w:w="40" w:type="dxa"/>
              <w:right w:w="20" w:type="dxa"/>
            </w:tcMar>
            <w:vAlign w:val="bottom"/>
          </w:tcPr>
          <w:p w14:paraId="1D025060" w14:textId="77777777" w:rsidR="004421F6" w:rsidRDefault="004421F6">
            <w:pPr>
              <w:jc w:val="right"/>
              <w:rPr>
                <w:rFonts w:ascii="宋体"/>
              </w:rPr>
            </w:pPr>
          </w:p>
        </w:tc>
      </w:tr>
      <w:tr w:rsidR="004421F6" w14:paraId="1D025068"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62" w14:textId="77777777" w:rsidR="004421F6" w:rsidRDefault="00F15622">
            <w:pPr>
              <w:textAlignment w:val="bottom"/>
            </w:pPr>
            <w:r>
              <w:rPr>
                <w:rFonts w:ascii="Arial" w:eastAsia="宋体" w:hAnsi="Arial" w:cs="Arial"/>
                <w:color w:val="000000"/>
                <w:sz w:val="17"/>
                <w:szCs w:val="17"/>
              </w:rPr>
              <w:t>Income taxes payable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63" w14:textId="77777777" w:rsidR="004421F6" w:rsidRDefault="00F15622">
            <w:pPr>
              <w:jc w:val="right"/>
              <w:textAlignment w:val="bottom"/>
            </w:pPr>
            <w:r>
              <w:rPr>
                <w:rFonts w:ascii="Arial" w:eastAsia="宋体" w:hAnsi="Arial" w:cs="Arial"/>
                <w:color w:val="000000"/>
                <w:sz w:val="17"/>
                <w:szCs w:val="17"/>
              </w:rPr>
              <w:t>297 </w:t>
            </w:r>
          </w:p>
        </w:tc>
        <w:tc>
          <w:tcPr>
            <w:tcW w:w="0" w:type="auto"/>
            <w:tcBorders>
              <w:top w:val="single" w:sz="8" w:space="0" w:color="808080"/>
            </w:tcBorders>
            <w:shd w:val="clear" w:color="auto" w:fill="FFF1E7"/>
            <w:tcMar>
              <w:top w:w="40" w:type="dxa"/>
              <w:bottom w:w="40" w:type="dxa"/>
              <w:right w:w="20" w:type="dxa"/>
            </w:tcMar>
            <w:vAlign w:val="bottom"/>
          </w:tcPr>
          <w:p w14:paraId="1D025064"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65"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66" w14:textId="77777777" w:rsidR="004421F6" w:rsidRDefault="00F15622">
            <w:pPr>
              <w:jc w:val="right"/>
              <w:textAlignment w:val="bottom"/>
            </w:pPr>
            <w:r>
              <w:rPr>
                <w:rFonts w:ascii="Arial" w:eastAsia="宋体" w:hAnsi="Arial" w:cs="Arial"/>
                <w:color w:val="000000"/>
                <w:sz w:val="17"/>
                <w:szCs w:val="17"/>
              </w:rPr>
              <w:t>156 </w:t>
            </w:r>
          </w:p>
        </w:tc>
        <w:tc>
          <w:tcPr>
            <w:tcW w:w="0" w:type="auto"/>
            <w:tcBorders>
              <w:top w:val="single" w:sz="8" w:space="0" w:color="808080"/>
            </w:tcBorders>
            <w:shd w:val="clear" w:color="auto" w:fill="auto"/>
            <w:tcMar>
              <w:top w:w="40" w:type="dxa"/>
              <w:bottom w:w="40" w:type="dxa"/>
              <w:right w:w="20" w:type="dxa"/>
            </w:tcMar>
            <w:vAlign w:val="bottom"/>
          </w:tcPr>
          <w:p w14:paraId="1D025067" w14:textId="77777777" w:rsidR="004421F6" w:rsidRDefault="004421F6">
            <w:pPr>
              <w:jc w:val="right"/>
              <w:rPr>
                <w:rFonts w:ascii="宋体"/>
              </w:rPr>
            </w:pPr>
          </w:p>
        </w:tc>
      </w:tr>
      <w:tr w:rsidR="004421F6" w14:paraId="1D02506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069" w14:textId="77777777" w:rsidR="004421F6" w:rsidRDefault="00F15622">
            <w:pPr>
              <w:textAlignment w:val="bottom"/>
            </w:pPr>
            <w:r>
              <w:rPr>
                <w:rFonts w:ascii="Arial" w:eastAsia="宋体" w:hAnsi="Arial" w:cs="Arial"/>
                <w:color w:val="000000"/>
                <w:sz w:val="17"/>
                <w:szCs w:val="17"/>
              </w:rPr>
              <w:t>Total current liabilities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06A" w14:textId="77777777" w:rsidR="004421F6" w:rsidRDefault="00F15622">
            <w:pPr>
              <w:jc w:val="right"/>
              <w:textAlignment w:val="bottom"/>
            </w:pPr>
            <w:r>
              <w:rPr>
                <w:rFonts w:ascii="Arial" w:eastAsia="宋体" w:hAnsi="Arial" w:cs="Arial"/>
                <w:color w:val="000000"/>
                <w:sz w:val="17"/>
                <w:szCs w:val="17"/>
              </w:rPr>
              <w:t>8,619 </w:t>
            </w:r>
          </w:p>
        </w:tc>
        <w:tc>
          <w:tcPr>
            <w:tcW w:w="0" w:type="auto"/>
            <w:tcBorders>
              <w:top w:val="single" w:sz="8" w:space="0" w:color="E87722"/>
            </w:tcBorders>
            <w:shd w:val="clear" w:color="auto" w:fill="FFF1E7"/>
            <w:tcMar>
              <w:top w:w="40" w:type="dxa"/>
              <w:bottom w:w="40" w:type="dxa"/>
              <w:right w:w="20" w:type="dxa"/>
            </w:tcMar>
            <w:vAlign w:val="bottom"/>
          </w:tcPr>
          <w:p w14:paraId="1D02506B"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06C" w14:textId="77777777" w:rsidR="004421F6" w:rsidRDefault="004421F6">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06D" w14:textId="77777777" w:rsidR="004421F6" w:rsidRDefault="00F15622">
            <w:pPr>
              <w:jc w:val="right"/>
              <w:textAlignment w:val="bottom"/>
            </w:pPr>
            <w:r>
              <w:rPr>
                <w:rFonts w:ascii="Arial" w:eastAsia="宋体" w:hAnsi="Arial" w:cs="Arial"/>
                <w:color w:val="000000"/>
                <w:sz w:val="17"/>
                <w:szCs w:val="17"/>
              </w:rPr>
              <w:t>8,284 </w:t>
            </w:r>
          </w:p>
        </w:tc>
        <w:tc>
          <w:tcPr>
            <w:tcW w:w="0" w:type="auto"/>
            <w:tcBorders>
              <w:top w:val="single" w:sz="8" w:space="0" w:color="E87722"/>
            </w:tcBorders>
            <w:shd w:val="clear" w:color="auto" w:fill="auto"/>
            <w:tcMar>
              <w:top w:w="40" w:type="dxa"/>
              <w:bottom w:w="40" w:type="dxa"/>
              <w:right w:w="20" w:type="dxa"/>
            </w:tcMar>
            <w:vAlign w:val="bottom"/>
          </w:tcPr>
          <w:p w14:paraId="1D02506E" w14:textId="77777777" w:rsidR="004421F6" w:rsidRDefault="004421F6">
            <w:pPr>
              <w:jc w:val="right"/>
              <w:rPr>
                <w:rFonts w:ascii="宋体"/>
              </w:rPr>
            </w:pPr>
          </w:p>
        </w:tc>
      </w:tr>
      <w:tr w:rsidR="004421F6" w14:paraId="1D025076"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70" w14:textId="77777777" w:rsidR="004421F6" w:rsidRDefault="00F15622">
            <w:pPr>
              <w:textAlignment w:val="bottom"/>
            </w:pPr>
            <w:r>
              <w:rPr>
                <w:rFonts w:ascii="Arial" w:eastAsia="宋体" w:hAnsi="Arial" w:cs="Arial"/>
                <w:color w:val="000000"/>
                <w:sz w:val="17"/>
                <w:szCs w:val="17"/>
              </w:rPr>
              <w:t>Long-term debt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71" w14:textId="77777777" w:rsidR="004421F6" w:rsidRDefault="00F15622">
            <w:pPr>
              <w:jc w:val="right"/>
              <w:textAlignment w:val="bottom"/>
            </w:pPr>
            <w:r>
              <w:rPr>
                <w:rFonts w:ascii="Arial" w:eastAsia="宋体" w:hAnsi="Arial" w:cs="Arial"/>
                <w:color w:val="000000"/>
                <w:sz w:val="17"/>
                <w:szCs w:val="17"/>
              </w:rPr>
              <w:t>9,408 </w:t>
            </w:r>
          </w:p>
        </w:tc>
        <w:tc>
          <w:tcPr>
            <w:tcW w:w="0" w:type="auto"/>
            <w:tcBorders>
              <w:top w:val="single" w:sz="8" w:space="0" w:color="808080"/>
            </w:tcBorders>
            <w:shd w:val="clear" w:color="auto" w:fill="FFF1E7"/>
            <w:tcMar>
              <w:top w:w="40" w:type="dxa"/>
              <w:bottom w:w="40" w:type="dxa"/>
              <w:right w:w="20" w:type="dxa"/>
            </w:tcMar>
            <w:vAlign w:val="bottom"/>
          </w:tcPr>
          <w:p w14:paraId="1D025072"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73"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74" w14:textId="77777777" w:rsidR="004421F6" w:rsidRDefault="00F15622">
            <w:pPr>
              <w:jc w:val="right"/>
              <w:textAlignment w:val="bottom"/>
            </w:pPr>
            <w:r>
              <w:rPr>
                <w:rFonts w:ascii="Arial" w:eastAsia="宋体" w:hAnsi="Arial" w:cs="Arial"/>
                <w:color w:val="000000"/>
                <w:sz w:val="17"/>
                <w:szCs w:val="17"/>
              </w:rPr>
              <w:t>9,406 </w:t>
            </w:r>
          </w:p>
        </w:tc>
        <w:tc>
          <w:tcPr>
            <w:tcW w:w="0" w:type="auto"/>
            <w:tcBorders>
              <w:top w:val="single" w:sz="8" w:space="0" w:color="808080"/>
            </w:tcBorders>
            <w:shd w:val="clear" w:color="auto" w:fill="auto"/>
            <w:tcMar>
              <w:top w:w="40" w:type="dxa"/>
              <w:bottom w:w="40" w:type="dxa"/>
              <w:right w:w="20" w:type="dxa"/>
            </w:tcMar>
            <w:vAlign w:val="bottom"/>
          </w:tcPr>
          <w:p w14:paraId="1D025075" w14:textId="77777777" w:rsidR="004421F6" w:rsidRDefault="004421F6">
            <w:pPr>
              <w:jc w:val="right"/>
              <w:rPr>
                <w:rFonts w:ascii="宋体"/>
              </w:rPr>
            </w:pPr>
          </w:p>
        </w:tc>
      </w:tr>
      <w:tr w:rsidR="004421F6" w14:paraId="1D02507D"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77" w14:textId="77777777" w:rsidR="004421F6" w:rsidRDefault="00F15622">
            <w:pPr>
              <w:textAlignment w:val="bottom"/>
            </w:pPr>
            <w:r>
              <w:rPr>
                <w:rFonts w:ascii="Arial" w:eastAsia="宋体" w:hAnsi="Arial" w:cs="Arial"/>
                <w:color w:val="000000"/>
                <w:sz w:val="17"/>
                <w:szCs w:val="17"/>
              </w:rPr>
              <w:t>Operating lease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78" w14:textId="77777777" w:rsidR="004421F6" w:rsidRDefault="00F15622">
            <w:pPr>
              <w:jc w:val="right"/>
              <w:textAlignment w:val="bottom"/>
            </w:pPr>
            <w:r>
              <w:rPr>
                <w:rFonts w:ascii="Arial" w:eastAsia="宋体" w:hAnsi="Arial" w:cs="Arial"/>
                <w:color w:val="000000"/>
                <w:sz w:val="17"/>
                <w:szCs w:val="17"/>
              </w:rPr>
              <w:t>2,961 </w:t>
            </w:r>
          </w:p>
        </w:tc>
        <w:tc>
          <w:tcPr>
            <w:tcW w:w="0" w:type="auto"/>
            <w:tcBorders>
              <w:top w:val="single" w:sz="8" w:space="0" w:color="808080"/>
            </w:tcBorders>
            <w:shd w:val="clear" w:color="auto" w:fill="FFF1E7"/>
            <w:tcMar>
              <w:top w:w="40" w:type="dxa"/>
              <w:bottom w:w="40" w:type="dxa"/>
              <w:right w:w="20" w:type="dxa"/>
            </w:tcMar>
            <w:vAlign w:val="bottom"/>
          </w:tcPr>
          <w:p w14:paraId="1D025079"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7A"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7B" w14:textId="77777777" w:rsidR="004421F6" w:rsidRDefault="00F15622">
            <w:pPr>
              <w:jc w:val="right"/>
              <w:textAlignment w:val="bottom"/>
            </w:pPr>
            <w:r>
              <w:rPr>
                <w:rFonts w:ascii="Arial" w:eastAsia="宋体" w:hAnsi="Arial" w:cs="Arial"/>
                <w:color w:val="000000"/>
                <w:sz w:val="17"/>
                <w:szCs w:val="17"/>
              </w:rPr>
              <w:t>2,913 </w:t>
            </w:r>
          </w:p>
        </w:tc>
        <w:tc>
          <w:tcPr>
            <w:tcW w:w="0" w:type="auto"/>
            <w:tcBorders>
              <w:top w:val="single" w:sz="8" w:space="0" w:color="808080"/>
            </w:tcBorders>
            <w:shd w:val="clear" w:color="auto" w:fill="auto"/>
            <w:tcMar>
              <w:top w:w="40" w:type="dxa"/>
              <w:bottom w:w="40" w:type="dxa"/>
              <w:right w:w="20" w:type="dxa"/>
            </w:tcMar>
            <w:vAlign w:val="bottom"/>
          </w:tcPr>
          <w:p w14:paraId="1D02507C" w14:textId="77777777" w:rsidR="004421F6" w:rsidRDefault="004421F6">
            <w:pPr>
              <w:jc w:val="right"/>
              <w:rPr>
                <w:rFonts w:ascii="宋体"/>
              </w:rPr>
            </w:pPr>
          </w:p>
        </w:tc>
      </w:tr>
      <w:tr w:rsidR="004421F6" w14:paraId="1D025084"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7E" w14:textId="77777777" w:rsidR="004421F6" w:rsidRDefault="00F15622">
            <w:pPr>
              <w:textAlignment w:val="bottom"/>
            </w:pPr>
            <w:r>
              <w:rPr>
                <w:rFonts w:ascii="Arial" w:eastAsia="宋体" w:hAnsi="Arial" w:cs="Arial"/>
                <w:color w:val="000000"/>
                <w:sz w:val="17"/>
                <w:szCs w:val="17"/>
              </w:rPr>
              <w:t>Deferred income taxes and other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7F" w14:textId="77777777" w:rsidR="004421F6" w:rsidRDefault="00F15622">
            <w:pPr>
              <w:jc w:val="right"/>
              <w:textAlignment w:val="bottom"/>
            </w:pPr>
            <w:r>
              <w:rPr>
                <w:rFonts w:ascii="Arial" w:eastAsia="宋体" w:hAnsi="Arial" w:cs="Arial"/>
                <w:color w:val="000000"/>
                <w:sz w:val="17"/>
                <w:szCs w:val="17"/>
              </w:rPr>
              <w:t>3,046 </w:t>
            </w:r>
          </w:p>
        </w:tc>
        <w:tc>
          <w:tcPr>
            <w:tcW w:w="0" w:type="auto"/>
            <w:tcBorders>
              <w:top w:val="single" w:sz="8" w:space="0" w:color="808080"/>
            </w:tcBorders>
            <w:shd w:val="clear" w:color="auto" w:fill="FFF1E7"/>
            <w:tcMar>
              <w:top w:w="40" w:type="dxa"/>
              <w:bottom w:w="40" w:type="dxa"/>
              <w:right w:w="20" w:type="dxa"/>
            </w:tcMar>
            <w:vAlign w:val="bottom"/>
          </w:tcPr>
          <w:p w14:paraId="1D025080"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81"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82" w14:textId="77777777" w:rsidR="004421F6" w:rsidRDefault="00F15622">
            <w:pPr>
              <w:jc w:val="right"/>
              <w:textAlignment w:val="bottom"/>
            </w:pPr>
            <w:r>
              <w:rPr>
                <w:rFonts w:ascii="Arial" w:eastAsia="宋体" w:hAnsi="Arial" w:cs="Arial"/>
                <w:color w:val="000000"/>
                <w:sz w:val="17"/>
                <w:szCs w:val="17"/>
              </w:rPr>
              <w:t>2,684 </w:t>
            </w:r>
          </w:p>
        </w:tc>
        <w:tc>
          <w:tcPr>
            <w:tcW w:w="0" w:type="auto"/>
            <w:tcBorders>
              <w:top w:val="single" w:sz="8" w:space="0" w:color="808080"/>
            </w:tcBorders>
            <w:shd w:val="clear" w:color="auto" w:fill="auto"/>
            <w:tcMar>
              <w:top w:w="40" w:type="dxa"/>
              <w:bottom w:w="40" w:type="dxa"/>
              <w:right w:w="20" w:type="dxa"/>
            </w:tcMar>
            <w:vAlign w:val="bottom"/>
          </w:tcPr>
          <w:p w14:paraId="1D025083" w14:textId="77777777" w:rsidR="004421F6" w:rsidRDefault="004421F6">
            <w:pPr>
              <w:jc w:val="right"/>
              <w:rPr>
                <w:rFonts w:ascii="宋体"/>
              </w:rPr>
            </w:pPr>
          </w:p>
        </w:tc>
      </w:tr>
      <w:tr w:rsidR="004421F6" w14:paraId="1D02508B"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85" w14:textId="77777777" w:rsidR="004421F6" w:rsidRDefault="00F15622">
            <w:pPr>
              <w:textAlignment w:val="bottom"/>
            </w:pPr>
            <w:r>
              <w:rPr>
                <w:rFonts w:ascii="Arial" w:eastAsia="宋体" w:hAnsi="Arial" w:cs="Arial"/>
                <w:color w:val="000000"/>
                <w:sz w:val="17"/>
                <w:szCs w:val="17"/>
              </w:rPr>
              <w:t>Redeemable preferred stock</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86"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5087"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88"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89"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508A" w14:textId="77777777" w:rsidR="004421F6" w:rsidRDefault="004421F6">
            <w:pPr>
              <w:jc w:val="right"/>
              <w:rPr>
                <w:rFonts w:ascii="宋体"/>
              </w:rPr>
            </w:pPr>
          </w:p>
        </w:tc>
      </w:tr>
      <w:tr w:rsidR="004421F6" w14:paraId="1D025090"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8C" w14:textId="77777777" w:rsidR="004421F6" w:rsidRDefault="00F15622">
            <w:pPr>
              <w:textAlignment w:val="bottom"/>
            </w:pPr>
            <w:r>
              <w:rPr>
                <w:rFonts w:ascii="Arial" w:eastAsia="宋体" w:hAnsi="Arial" w:cs="Arial"/>
                <w:color w:val="000000"/>
                <w:sz w:val="17"/>
                <w:szCs w:val="17"/>
              </w:rPr>
              <w:t>Shareholders' equity:</w:t>
            </w:r>
          </w:p>
        </w:tc>
        <w:tc>
          <w:tcPr>
            <w:tcW w:w="0" w:type="auto"/>
            <w:gridSpan w:val="3"/>
            <w:tcBorders>
              <w:top w:val="single" w:sz="8" w:space="0" w:color="808080"/>
            </w:tcBorders>
            <w:shd w:val="clear" w:color="auto" w:fill="FFF1E7"/>
            <w:tcMar>
              <w:left w:w="20" w:type="dxa"/>
              <w:right w:w="20" w:type="dxa"/>
            </w:tcMar>
            <w:vAlign w:val="bottom"/>
          </w:tcPr>
          <w:p w14:paraId="1D02508D"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8E"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8F" w14:textId="77777777" w:rsidR="004421F6" w:rsidRDefault="004421F6">
            <w:pPr>
              <w:rPr>
                <w:rFonts w:ascii="宋体"/>
              </w:rPr>
            </w:pPr>
          </w:p>
        </w:tc>
      </w:tr>
      <w:tr w:rsidR="004421F6" w14:paraId="1D025095"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91" w14:textId="77777777" w:rsidR="004421F6" w:rsidRDefault="00F15622">
            <w:pPr>
              <w:textAlignment w:val="bottom"/>
            </w:pPr>
            <w:r>
              <w:rPr>
                <w:rFonts w:ascii="Arial" w:eastAsia="宋体" w:hAnsi="Arial" w:cs="Arial"/>
                <w:color w:val="000000"/>
                <w:sz w:val="17"/>
                <w:szCs w:val="17"/>
              </w:rPr>
              <w:t>Common stock at stated value:</w:t>
            </w:r>
          </w:p>
        </w:tc>
        <w:tc>
          <w:tcPr>
            <w:tcW w:w="0" w:type="auto"/>
            <w:gridSpan w:val="3"/>
            <w:tcBorders>
              <w:top w:val="single" w:sz="8" w:space="0" w:color="808080"/>
            </w:tcBorders>
            <w:shd w:val="clear" w:color="auto" w:fill="FFF1E7"/>
            <w:tcMar>
              <w:left w:w="20" w:type="dxa"/>
              <w:right w:w="20" w:type="dxa"/>
            </w:tcMar>
            <w:vAlign w:val="bottom"/>
          </w:tcPr>
          <w:p w14:paraId="1D025092"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93"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94" w14:textId="77777777" w:rsidR="004421F6" w:rsidRDefault="004421F6">
            <w:pPr>
              <w:rPr>
                <w:rFonts w:ascii="宋体"/>
              </w:rPr>
            </w:pPr>
          </w:p>
        </w:tc>
      </w:tr>
      <w:tr w:rsidR="004421F6" w14:paraId="1D02509C"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096" w14:textId="77777777" w:rsidR="004421F6" w:rsidRDefault="00F15622">
            <w:pPr>
              <w:textAlignment w:val="bottom"/>
            </w:pPr>
            <w:r>
              <w:rPr>
                <w:rFonts w:ascii="Arial" w:eastAsia="宋体" w:hAnsi="Arial" w:cs="Arial"/>
                <w:color w:val="000000"/>
                <w:sz w:val="17"/>
                <w:szCs w:val="17"/>
              </w:rPr>
              <w:t xml:space="preserve">Class A convertible — 315 and 315 shares </w:t>
            </w:r>
            <w:r>
              <w:rPr>
                <w:rFonts w:ascii="Arial" w:eastAsia="宋体" w:hAnsi="Arial" w:cs="Arial"/>
                <w:color w:val="000000"/>
                <w:sz w:val="17"/>
                <w:szCs w:val="17"/>
              </w:rPr>
              <w:t>outstanding</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97"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5098"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99"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9A"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509B" w14:textId="77777777" w:rsidR="004421F6" w:rsidRDefault="004421F6">
            <w:pPr>
              <w:jc w:val="right"/>
              <w:rPr>
                <w:rFonts w:ascii="宋体"/>
              </w:rPr>
            </w:pPr>
          </w:p>
        </w:tc>
      </w:tr>
      <w:tr w:rsidR="004421F6" w14:paraId="1D0250A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09D" w14:textId="77777777" w:rsidR="004421F6" w:rsidRDefault="00F15622">
            <w:pPr>
              <w:textAlignment w:val="bottom"/>
            </w:pPr>
            <w:r>
              <w:rPr>
                <w:rFonts w:ascii="Arial" w:eastAsia="宋体" w:hAnsi="Arial" w:cs="Arial"/>
                <w:color w:val="000000"/>
                <w:sz w:val="17"/>
                <w:szCs w:val="17"/>
              </w:rPr>
              <w:t>Class B — 1,250 and 1,243 shares outstanding</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9E" w14:textId="77777777" w:rsidR="004421F6" w:rsidRDefault="00F1562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FFF1E7"/>
            <w:tcMar>
              <w:top w:w="40" w:type="dxa"/>
              <w:bottom w:w="40" w:type="dxa"/>
              <w:right w:w="20" w:type="dxa"/>
            </w:tcMar>
            <w:vAlign w:val="bottom"/>
          </w:tcPr>
          <w:p w14:paraId="1D02509F"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A0"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A1" w14:textId="77777777" w:rsidR="004421F6" w:rsidRDefault="00F1562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bottom w:w="40" w:type="dxa"/>
              <w:right w:w="20" w:type="dxa"/>
            </w:tcMar>
            <w:vAlign w:val="bottom"/>
          </w:tcPr>
          <w:p w14:paraId="1D0250A2" w14:textId="77777777" w:rsidR="004421F6" w:rsidRDefault="004421F6">
            <w:pPr>
              <w:jc w:val="right"/>
              <w:rPr>
                <w:rFonts w:ascii="宋体"/>
              </w:rPr>
            </w:pPr>
          </w:p>
        </w:tc>
      </w:tr>
      <w:tr w:rsidR="004421F6" w14:paraId="1D0250AA"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A4" w14:textId="77777777" w:rsidR="004421F6" w:rsidRDefault="00F15622">
            <w:pPr>
              <w:textAlignment w:val="bottom"/>
            </w:pPr>
            <w:r>
              <w:rPr>
                <w:rFonts w:ascii="Arial" w:eastAsia="宋体" w:hAnsi="Arial" w:cs="Arial"/>
                <w:color w:val="000000"/>
                <w:sz w:val="17"/>
                <w:szCs w:val="17"/>
              </w:rPr>
              <w:t>Capital in excess of stated value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A5" w14:textId="77777777" w:rsidR="004421F6" w:rsidRDefault="00F15622">
            <w:pPr>
              <w:jc w:val="right"/>
              <w:textAlignment w:val="bottom"/>
            </w:pPr>
            <w:r>
              <w:rPr>
                <w:rFonts w:ascii="Arial" w:eastAsia="宋体" w:hAnsi="Arial" w:cs="Arial"/>
                <w:color w:val="000000"/>
                <w:sz w:val="17"/>
                <w:szCs w:val="17"/>
              </w:rPr>
              <w:t>8,695 </w:t>
            </w:r>
          </w:p>
        </w:tc>
        <w:tc>
          <w:tcPr>
            <w:tcW w:w="0" w:type="auto"/>
            <w:tcBorders>
              <w:top w:val="single" w:sz="8" w:space="0" w:color="808080"/>
            </w:tcBorders>
            <w:shd w:val="clear" w:color="auto" w:fill="FFF1E7"/>
            <w:tcMar>
              <w:top w:w="40" w:type="dxa"/>
              <w:bottom w:w="40" w:type="dxa"/>
              <w:right w:w="20" w:type="dxa"/>
            </w:tcMar>
            <w:vAlign w:val="bottom"/>
          </w:tcPr>
          <w:p w14:paraId="1D0250A6"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A7"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A8" w14:textId="77777777" w:rsidR="004421F6" w:rsidRDefault="00F15622">
            <w:pPr>
              <w:jc w:val="right"/>
              <w:textAlignment w:val="bottom"/>
            </w:pPr>
            <w:r>
              <w:rPr>
                <w:rFonts w:ascii="Arial" w:eastAsia="宋体" w:hAnsi="Arial" w:cs="Arial"/>
                <w:color w:val="000000"/>
                <w:sz w:val="17"/>
                <w:szCs w:val="17"/>
              </w:rPr>
              <w:t>8,299 </w:t>
            </w:r>
          </w:p>
        </w:tc>
        <w:tc>
          <w:tcPr>
            <w:tcW w:w="0" w:type="auto"/>
            <w:tcBorders>
              <w:top w:val="single" w:sz="8" w:space="0" w:color="808080"/>
            </w:tcBorders>
            <w:shd w:val="clear" w:color="auto" w:fill="auto"/>
            <w:tcMar>
              <w:top w:w="40" w:type="dxa"/>
              <w:bottom w:w="40" w:type="dxa"/>
              <w:right w:w="20" w:type="dxa"/>
            </w:tcMar>
            <w:vAlign w:val="bottom"/>
          </w:tcPr>
          <w:p w14:paraId="1D0250A9" w14:textId="77777777" w:rsidR="004421F6" w:rsidRDefault="004421F6">
            <w:pPr>
              <w:jc w:val="right"/>
              <w:rPr>
                <w:rFonts w:ascii="宋体"/>
              </w:rPr>
            </w:pPr>
          </w:p>
        </w:tc>
      </w:tr>
      <w:tr w:rsidR="004421F6" w14:paraId="1D0250B1"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AB" w14:textId="77777777" w:rsidR="004421F6" w:rsidRDefault="00F15622">
            <w:pPr>
              <w:textAlignment w:val="bottom"/>
            </w:pPr>
            <w:r>
              <w:rPr>
                <w:rFonts w:ascii="Arial" w:eastAsia="宋体" w:hAnsi="Arial" w:cs="Arial"/>
                <w:color w:val="000000"/>
                <w:sz w:val="17"/>
                <w:szCs w:val="17"/>
              </w:rPr>
              <w:t>Accumulated other comprehensive income (loss)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AC" w14:textId="77777777" w:rsidR="004421F6" w:rsidRDefault="00F15622">
            <w:pPr>
              <w:jc w:val="right"/>
              <w:textAlignment w:val="bottom"/>
            </w:pPr>
            <w:r>
              <w:rPr>
                <w:rFonts w:ascii="Arial" w:eastAsia="宋体" w:hAnsi="Arial" w:cs="Arial"/>
                <w:color w:val="000000"/>
                <w:sz w:val="17"/>
                <w:szCs w:val="17"/>
              </w:rPr>
              <w:t>(401)</w:t>
            </w:r>
          </w:p>
        </w:tc>
        <w:tc>
          <w:tcPr>
            <w:tcW w:w="0" w:type="auto"/>
            <w:tcBorders>
              <w:top w:val="single" w:sz="8" w:space="0" w:color="808080"/>
            </w:tcBorders>
            <w:shd w:val="clear" w:color="auto" w:fill="FFF1E7"/>
            <w:tcMar>
              <w:top w:w="40" w:type="dxa"/>
              <w:bottom w:w="40" w:type="dxa"/>
              <w:right w:w="20" w:type="dxa"/>
            </w:tcMar>
            <w:vAlign w:val="bottom"/>
          </w:tcPr>
          <w:p w14:paraId="1D0250AD"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AE"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AF" w14:textId="77777777" w:rsidR="004421F6" w:rsidRDefault="00F15622">
            <w:pPr>
              <w:jc w:val="right"/>
              <w:textAlignment w:val="bottom"/>
            </w:pPr>
            <w:r>
              <w:rPr>
                <w:rFonts w:ascii="Arial" w:eastAsia="宋体" w:hAnsi="Arial" w:cs="Arial"/>
                <w:color w:val="000000"/>
                <w:sz w:val="17"/>
                <w:szCs w:val="17"/>
              </w:rPr>
              <w:t>(56)</w:t>
            </w:r>
          </w:p>
        </w:tc>
        <w:tc>
          <w:tcPr>
            <w:tcW w:w="0" w:type="auto"/>
            <w:tcBorders>
              <w:top w:val="single" w:sz="8" w:space="0" w:color="808080"/>
            </w:tcBorders>
            <w:shd w:val="clear" w:color="auto" w:fill="auto"/>
            <w:tcMar>
              <w:top w:w="40" w:type="dxa"/>
              <w:bottom w:w="40" w:type="dxa"/>
              <w:right w:w="20" w:type="dxa"/>
            </w:tcMar>
            <w:vAlign w:val="bottom"/>
          </w:tcPr>
          <w:p w14:paraId="1D0250B0" w14:textId="77777777" w:rsidR="004421F6" w:rsidRDefault="004421F6">
            <w:pPr>
              <w:jc w:val="right"/>
              <w:rPr>
                <w:rFonts w:ascii="宋体"/>
              </w:rPr>
            </w:pPr>
          </w:p>
        </w:tc>
      </w:tr>
      <w:tr w:rsidR="004421F6" w14:paraId="1D0250B8"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B2" w14:textId="77777777" w:rsidR="004421F6" w:rsidRDefault="00F15622">
            <w:pPr>
              <w:textAlignment w:val="bottom"/>
            </w:pPr>
            <w:r>
              <w:rPr>
                <w:rFonts w:ascii="Arial" w:eastAsia="宋体" w:hAnsi="Arial" w:cs="Arial"/>
                <w:color w:val="000000"/>
                <w:sz w:val="17"/>
                <w:szCs w:val="17"/>
              </w:rPr>
              <w:t>Retained earnings (deficit)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0B3" w14:textId="77777777" w:rsidR="004421F6" w:rsidRDefault="00F15622">
            <w:pPr>
              <w:jc w:val="right"/>
              <w:textAlignment w:val="bottom"/>
            </w:pPr>
            <w:r>
              <w:rPr>
                <w:rFonts w:ascii="Arial" w:eastAsia="宋体" w:hAnsi="Arial" w:cs="Arial"/>
                <w:color w:val="000000"/>
                <w:sz w:val="17"/>
                <w:szCs w:val="17"/>
              </w:rPr>
              <w:t>927 </w:t>
            </w:r>
          </w:p>
        </w:tc>
        <w:tc>
          <w:tcPr>
            <w:tcW w:w="0" w:type="auto"/>
            <w:tcBorders>
              <w:top w:val="single" w:sz="8" w:space="0" w:color="808080"/>
            </w:tcBorders>
            <w:shd w:val="clear" w:color="auto" w:fill="FFF1E7"/>
            <w:tcMar>
              <w:top w:w="40" w:type="dxa"/>
              <w:bottom w:w="40" w:type="dxa"/>
              <w:right w:w="20" w:type="dxa"/>
            </w:tcMar>
            <w:vAlign w:val="bottom"/>
          </w:tcPr>
          <w:p w14:paraId="1D0250B4"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B5"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0B6" w14:textId="77777777" w:rsidR="004421F6" w:rsidRDefault="00F15622">
            <w:pPr>
              <w:jc w:val="right"/>
              <w:textAlignment w:val="bottom"/>
            </w:pPr>
            <w:r>
              <w:rPr>
                <w:rFonts w:ascii="Arial" w:eastAsia="宋体" w:hAnsi="Arial" w:cs="Arial"/>
                <w:color w:val="000000"/>
                <w:sz w:val="17"/>
                <w:szCs w:val="17"/>
              </w:rPr>
              <w:t>(191)</w:t>
            </w:r>
          </w:p>
        </w:tc>
        <w:tc>
          <w:tcPr>
            <w:tcW w:w="0" w:type="auto"/>
            <w:tcBorders>
              <w:top w:val="single" w:sz="8" w:space="0" w:color="808080"/>
            </w:tcBorders>
            <w:shd w:val="clear" w:color="auto" w:fill="auto"/>
            <w:tcMar>
              <w:top w:w="40" w:type="dxa"/>
              <w:bottom w:w="40" w:type="dxa"/>
              <w:right w:w="20" w:type="dxa"/>
            </w:tcMar>
            <w:vAlign w:val="bottom"/>
          </w:tcPr>
          <w:p w14:paraId="1D0250B7" w14:textId="77777777" w:rsidR="004421F6" w:rsidRDefault="004421F6">
            <w:pPr>
              <w:jc w:val="right"/>
              <w:rPr>
                <w:rFonts w:ascii="宋体"/>
              </w:rPr>
            </w:pPr>
          </w:p>
        </w:tc>
      </w:tr>
      <w:tr w:rsidR="004421F6" w14:paraId="1D0250B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0B9" w14:textId="77777777" w:rsidR="004421F6" w:rsidRDefault="00F15622">
            <w:pPr>
              <w:textAlignment w:val="bottom"/>
            </w:pPr>
            <w:r>
              <w:rPr>
                <w:rFonts w:ascii="Arial" w:eastAsia="宋体" w:hAnsi="Arial" w:cs="Arial"/>
                <w:color w:val="000000"/>
                <w:sz w:val="17"/>
                <w:szCs w:val="17"/>
              </w:rPr>
              <w:t xml:space="preserve">Total </w:t>
            </w:r>
            <w:r>
              <w:rPr>
                <w:rFonts w:ascii="Arial" w:eastAsia="宋体" w:hAnsi="Arial" w:cs="Arial"/>
                <w:color w:val="000000"/>
                <w:sz w:val="17"/>
                <w:szCs w:val="17"/>
              </w:rPr>
              <w:t>shareholders' equity</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0BA" w14:textId="77777777" w:rsidR="004421F6" w:rsidRDefault="00F15622">
            <w:pPr>
              <w:jc w:val="right"/>
              <w:textAlignment w:val="bottom"/>
            </w:pPr>
            <w:r>
              <w:rPr>
                <w:rFonts w:ascii="Arial" w:eastAsia="宋体" w:hAnsi="Arial" w:cs="Arial"/>
                <w:color w:val="000000"/>
                <w:sz w:val="17"/>
                <w:szCs w:val="17"/>
              </w:rPr>
              <w:t>9,224 </w:t>
            </w:r>
          </w:p>
        </w:tc>
        <w:tc>
          <w:tcPr>
            <w:tcW w:w="0" w:type="auto"/>
            <w:tcBorders>
              <w:top w:val="single" w:sz="8" w:space="0" w:color="E87722"/>
            </w:tcBorders>
            <w:shd w:val="clear" w:color="auto" w:fill="FFF1E7"/>
            <w:tcMar>
              <w:top w:w="40" w:type="dxa"/>
              <w:bottom w:w="40" w:type="dxa"/>
              <w:right w:w="20" w:type="dxa"/>
            </w:tcMar>
            <w:vAlign w:val="bottom"/>
          </w:tcPr>
          <w:p w14:paraId="1D0250BB"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0BC" w14:textId="77777777" w:rsidR="004421F6" w:rsidRDefault="004421F6">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0BD" w14:textId="77777777" w:rsidR="004421F6" w:rsidRDefault="00F15622">
            <w:pPr>
              <w:jc w:val="right"/>
              <w:textAlignment w:val="bottom"/>
            </w:pPr>
            <w:r>
              <w:rPr>
                <w:rFonts w:ascii="Arial" w:eastAsia="宋体" w:hAnsi="Arial" w:cs="Arial"/>
                <w:color w:val="000000"/>
                <w:sz w:val="17"/>
                <w:szCs w:val="17"/>
              </w:rPr>
              <w:t>8,055 </w:t>
            </w:r>
          </w:p>
        </w:tc>
        <w:tc>
          <w:tcPr>
            <w:tcW w:w="0" w:type="auto"/>
            <w:tcBorders>
              <w:top w:val="single" w:sz="8" w:space="0" w:color="E87722"/>
            </w:tcBorders>
            <w:shd w:val="clear" w:color="auto" w:fill="auto"/>
            <w:tcMar>
              <w:top w:w="40" w:type="dxa"/>
              <w:bottom w:w="40" w:type="dxa"/>
              <w:right w:w="20" w:type="dxa"/>
            </w:tcMar>
            <w:vAlign w:val="bottom"/>
          </w:tcPr>
          <w:p w14:paraId="1D0250BE" w14:textId="77777777" w:rsidR="004421F6" w:rsidRDefault="004421F6">
            <w:pPr>
              <w:jc w:val="right"/>
              <w:rPr>
                <w:rFonts w:ascii="宋体"/>
              </w:rPr>
            </w:pPr>
          </w:p>
        </w:tc>
      </w:tr>
      <w:tr w:rsidR="004421F6" w14:paraId="1D0250C8"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0C0" w14:textId="77777777" w:rsidR="004421F6" w:rsidRDefault="00F15622">
            <w:pPr>
              <w:textAlignment w:val="bottom"/>
            </w:pPr>
            <w:r>
              <w:rPr>
                <w:rFonts w:ascii="Arial" w:eastAsia="宋体" w:hAnsi="Arial" w:cs="Arial"/>
                <w:b/>
                <w:bCs/>
                <w:color w:val="000000"/>
                <w:sz w:val="17"/>
                <w:szCs w:val="17"/>
              </w:rPr>
              <w:t>TOTAL LIABILITIES AND SHAREHOLDERS' EQUITY</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0C1"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0C2" w14:textId="77777777" w:rsidR="004421F6" w:rsidRDefault="00F15622">
            <w:pPr>
              <w:jc w:val="right"/>
              <w:textAlignment w:val="bottom"/>
            </w:pPr>
            <w:r>
              <w:rPr>
                <w:rFonts w:ascii="Arial" w:eastAsia="宋体" w:hAnsi="Arial" w:cs="Arial"/>
                <w:b/>
                <w:bCs/>
                <w:color w:val="000000"/>
                <w:sz w:val="17"/>
                <w:szCs w:val="17"/>
              </w:rPr>
              <w:t>33,258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0C3" w14:textId="77777777" w:rsidR="004421F6" w:rsidRDefault="004421F6">
            <w:pPr>
              <w:jc w:val="right"/>
              <w:rPr>
                <w:rFonts w:ascii="宋体"/>
              </w:rPr>
            </w:pPr>
          </w:p>
        </w:tc>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50C4" w14:textId="77777777" w:rsidR="004421F6" w:rsidRDefault="004421F6">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0C5"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0C6" w14:textId="77777777" w:rsidR="004421F6" w:rsidRDefault="00F15622">
            <w:pPr>
              <w:jc w:val="right"/>
              <w:textAlignment w:val="bottom"/>
            </w:pPr>
            <w:r>
              <w:rPr>
                <w:rFonts w:ascii="Arial" w:eastAsia="宋体" w:hAnsi="Arial" w:cs="Arial"/>
                <w:b/>
                <w:bCs/>
                <w:color w:val="000000"/>
                <w:sz w:val="17"/>
                <w:szCs w:val="17"/>
              </w:rPr>
              <w:t>31,342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0C7" w14:textId="77777777" w:rsidR="004421F6" w:rsidRDefault="004421F6">
            <w:pPr>
              <w:jc w:val="right"/>
              <w:rPr>
                <w:rFonts w:ascii="宋体"/>
              </w:rPr>
            </w:pPr>
          </w:p>
        </w:tc>
      </w:tr>
    </w:tbl>
    <w:p w14:paraId="1D0250C9" w14:textId="77777777" w:rsidR="004421F6" w:rsidRDefault="00F15622">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1D0250CA" w14:textId="77777777" w:rsidR="004421F6" w:rsidRDefault="00F15622">
      <w:pPr>
        <w:spacing w:before="120" w:after="120"/>
        <w:jc w:val="right"/>
      </w:pPr>
      <w:r>
        <w:rPr>
          <w:rFonts w:ascii="Arial" w:eastAsia="宋体" w:hAnsi="Arial" w:cs="Arial"/>
          <w:color w:val="E87722"/>
          <w:sz w:val="17"/>
          <w:szCs w:val="17"/>
        </w:rPr>
        <w:t>3</w:t>
      </w:r>
    </w:p>
    <w:p w14:paraId="1D0250CB" w14:textId="77777777" w:rsidR="004421F6" w:rsidRDefault="00F15622">
      <w:r>
        <w:pict w14:anchorId="1D02727E">
          <v:rect id="_x0000_i1029" style="width:415.3pt;height:1.5pt" o:hralign="center" o:hrstd="t" o:hr="t" fillcolor="#a0a0a0" stroked="f"/>
        </w:pict>
      </w:r>
    </w:p>
    <w:p w14:paraId="1D0250CC" w14:textId="77777777" w:rsidR="004421F6" w:rsidRDefault="004421F6"/>
    <w:p w14:paraId="1D0250CD" w14:textId="77777777" w:rsidR="004421F6" w:rsidRDefault="00F15622">
      <w:hyperlink r:id="rId46" w:anchor="i3e524f2e23844e81ba9d33a05ac3917c_7" w:history="1">
        <w:r>
          <w:rPr>
            <w:rStyle w:val="a5"/>
            <w:rFonts w:ascii="sans-serif" w:eastAsia="sans-serif" w:hAnsi="sans-serif" w:cs="sans-serif"/>
            <w:sz w:val="17"/>
            <w:szCs w:val="17"/>
          </w:rPr>
          <w:t>Table of Contents</w:t>
        </w:r>
      </w:hyperlink>
    </w:p>
    <w:p w14:paraId="1D0250CE" w14:textId="77777777" w:rsidR="004421F6" w:rsidRDefault="004421F6"/>
    <w:p w14:paraId="1D0250CF" w14:textId="77777777" w:rsidR="004421F6" w:rsidRDefault="00F15622">
      <w:pPr>
        <w:spacing w:before="300"/>
      </w:pPr>
      <w:r>
        <w:rPr>
          <w:rFonts w:ascii="sans-serif" w:eastAsia="sans-serif" w:hAnsi="sans-serif" w:cs="sans-serif"/>
          <w:b/>
          <w:bCs/>
          <w:color w:val="E87722"/>
          <w:sz w:val="36"/>
          <w:szCs w:val="36"/>
        </w:rPr>
        <w:t>NIKE, INC.</w:t>
      </w:r>
    </w:p>
    <w:p w14:paraId="1D0250D0" w14:textId="77777777" w:rsidR="004421F6" w:rsidRDefault="00F15622">
      <w:pPr>
        <w:spacing w:before="120" w:after="120"/>
      </w:pPr>
      <w:r>
        <w:rPr>
          <w:rFonts w:ascii="sans-serif" w:eastAsia="sans-serif" w:hAnsi="sans-serif" w:cs="sans-serif"/>
          <w:b/>
          <w:bCs/>
          <w:color w:val="000000"/>
          <w:sz w:val="28"/>
          <w:szCs w:val="28"/>
        </w:rPr>
        <w:t>UNAUDITED CONDENSED CONSOLIDATED STATEMENTS OF CASH FLOWS</w:t>
      </w:r>
    </w:p>
    <w:tbl>
      <w:tblPr>
        <w:tblW w:w="4992" w:type="pct"/>
        <w:tblCellMar>
          <w:top w:w="15" w:type="dxa"/>
          <w:left w:w="15" w:type="dxa"/>
          <w:bottom w:w="15" w:type="dxa"/>
          <w:right w:w="15" w:type="dxa"/>
        </w:tblCellMar>
        <w:tblLook w:val="04A0" w:firstRow="1" w:lastRow="0" w:firstColumn="1" w:lastColumn="0" w:noHBand="0" w:noVBand="1"/>
      </w:tblPr>
      <w:tblGrid>
        <w:gridCol w:w="41"/>
        <w:gridCol w:w="5708"/>
        <w:gridCol w:w="40"/>
        <w:gridCol w:w="130"/>
        <w:gridCol w:w="1042"/>
        <w:gridCol w:w="41"/>
        <w:gridCol w:w="130"/>
        <w:gridCol w:w="1042"/>
        <w:gridCol w:w="41"/>
        <w:gridCol w:w="36"/>
        <w:gridCol w:w="36"/>
        <w:gridCol w:w="36"/>
      </w:tblGrid>
      <w:tr w:rsidR="004421F6" w14:paraId="1D0250DA" w14:textId="77777777">
        <w:trPr>
          <w:gridAfter w:val="3"/>
        </w:trPr>
        <w:tc>
          <w:tcPr>
            <w:tcW w:w="50" w:type="pct"/>
            <w:shd w:val="clear" w:color="auto" w:fill="auto"/>
          </w:tcPr>
          <w:p w14:paraId="1D0250D1" w14:textId="77777777" w:rsidR="004421F6" w:rsidRDefault="004421F6">
            <w:pPr>
              <w:rPr>
                <w:rFonts w:ascii="宋体"/>
              </w:rPr>
            </w:pPr>
          </w:p>
        </w:tc>
        <w:tc>
          <w:tcPr>
            <w:tcW w:w="3507" w:type="pct"/>
            <w:shd w:val="clear" w:color="auto" w:fill="auto"/>
          </w:tcPr>
          <w:p w14:paraId="1D0250D2" w14:textId="77777777" w:rsidR="004421F6" w:rsidRDefault="004421F6">
            <w:pPr>
              <w:rPr>
                <w:rFonts w:ascii="宋体"/>
              </w:rPr>
            </w:pPr>
          </w:p>
        </w:tc>
        <w:tc>
          <w:tcPr>
            <w:tcW w:w="5" w:type="pct"/>
            <w:shd w:val="clear" w:color="auto" w:fill="auto"/>
          </w:tcPr>
          <w:p w14:paraId="1D0250D3" w14:textId="77777777" w:rsidR="004421F6" w:rsidRDefault="004421F6">
            <w:pPr>
              <w:rPr>
                <w:rFonts w:ascii="宋体"/>
              </w:rPr>
            </w:pPr>
          </w:p>
        </w:tc>
        <w:tc>
          <w:tcPr>
            <w:tcW w:w="50" w:type="pct"/>
            <w:shd w:val="clear" w:color="auto" w:fill="auto"/>
          </w:tcPr>
          <w:p w14:paraId="1D0250D4" w14:textId="77777777" w:rsidR="004421F6" w:rsidRDefault="004421F6">
            <w:pPr>
              <w:rPr>
                <w:rFonts w:ascii="宋体"/>
              </w:rPr>
            </w:pPr>
          </w:p>
        </w:tc>
        <w:tc>
          <w:tcPr>
            <w:tcW w:w="663" w:type="pct"/>
            <w:shd w:val="clear" w:color="auto" w:fill="auto"/>
          </w:tcPr>
          <w:p w14:paraId="1D0250D5" w14:textId="77777777" w:rsidR="004421F6" w:rsidRDefault="004421F6">
            <w:pPr>
              <w:rPr>
                <w:rFonts w:ascii="宋体"/>
              </w:rPr>
            </w:pPr>
          </w:p>
        </w:tc>
        <w:tc>
          <w:tcPr>
            <w:tcW w:w="5" w:type="pct"/>
            <w:shd w:val="clear" w:color="auto" w:fill="auto"/>
          </w:tcPr>
          <w:p w14:paraId="1D0250D6" w14:textId="77777777" w:rsidR="004421F6" w:rsidRDefault="004421F6">
            <w:pPr>
              <w:rPr>
                <w:rFonts w:ascii="宋体"/>
              </w:rPr>
            </w:pPr>
          </w:p>
        </w:tc>
        <w:tc>
          <w:tcPr>
            <w:tcW w:w="50" w:type="pct"/>
            <w:shd w:val="clear" w:color="auto" w:fill="auto"/>
          </w:tcPr>
          <w:p w14:paraId="1D0250D7" w14:textId="77777777" w:rsidR="004421F6" w:rsidRDefault="004421F6">
            <w:pPr>
              <w:rPr>
                <w:rFonts w:ascii="宋体"/>
              </w:rPr>
            </w:pPr>
          </w:p>
        </w:tc>
        <w:tc>
          <w:tcPr>
            <w:tcW w:w="663" w:type="pct"/>
            <w:shd w:val="clear" w:color="auto" w:fill="auto"/>
          </w:tcPr>
          <w:p w14:paraId="1D0250D8" w14:textId="77777777" w:rsidR="004421F6" w:rsidRDefault="004421F6">
            <w:pPr>
              <w:rPr>
                <w:rFonts w:ascii="宋体"/>
              </w:rPr>
            </w:pPr>
          </w:p>
        </w:tc>
        <w:tc>
          <w:tcPr>
            <w:tcW w:w="5" w:type="pct"/>
            <w:shd w:val="clear" w:color="auto" w:fill="auto"/>
          </w:tcPr>
          <w:p w14:paraId="1D0250D9" w14:textId="77777777" w:rsidR="004421F6" w:rsidRDefault="004421F6">
            <w:pPr>
              <w:rPr>
                <w:rFonts w:ascii="宋体"/>
              </w:rPr>
            </w:pPr>
          </w:p>
        </w:tc>
      </w:tr>
      <w:tr w:rsidR="004421F6" w14:paraId="1D0250DE" w14:textId="77777777">
        <w:tc>
          <w:tcPr>
            <w:tcW w:w="0" w:type="auto"/>
            <w:gridSpan w:val="3"/>
            <w:shd w:val="clear" w:color="auto" w:fill="auto"/>
            <w:tcMar>
              <w:left w:w="20" w:type="dxa"/>
              <w:right w:w="20" w:type="dxa"/>
            </w:tcMar>
            <w:vAlign w:val="bottom"/>
          </w:tcPr>
          <w:p w14:paraId="1D0250DB" w14:textId="77777777" w:rsidR="004421F6" w:rsidRDefault="004421F6">
            <w:pPr>
              <w:rPr>
                <w:rFonts w:ascii="宋体"/>
              </w:rPr>
            </w:pPr>
          </w:p>
        </w:tc>
        <w:tc>
          <w:tcPr>
            <w:tcW w:w="0" w:type="auto"/>
            <w:gridSpan w:val="6"/>
            <w:shd w:val="clear" w:color="auto" w:fill="auto"/>
            <w:tcMar>
              <w:top w:w="40" w:type="dxa"/>
              <w:left w:w="20" w:type="dxa"/>
              <w:bottom w:w="40" w:type="dxa"/>
              <w:right w:w="20" w:type="dxa"/>
            </w:tcMar>
            <w:vAlign w:val="bottom"/>
          </w:tcPr>
          <w:p w14:paraId="1D0250DC"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50DD" w14:textId="77777777" w:rsidR="004421F6" w:rsidRDefault="004421F6">
            <w:pPr>
              <w:rPr>
                <w:rFonts w:ascii="宋体"/>
                <w:vanish/>
              </w:rPr>
            </w:pPr>
          </w:p>
        </w:tc>
      </w:tr>
      <w:tr w:rsidR="004421F6" w14:paraId="1D0250E5" w14:textId="77777777">
        <w:tc>
          <w:tcPr>
            <w:tcW w:w="0" w:type="auto"/>
            <w:gridSpan w:val="3"/>
            <w:shd w:val="clear" w:color="auto" w:fill="auto"/>
            <w:tcMar>
              <w:top w:w="40" w:type="dxa"/>
              <w:left w:w="20" w:type="dxa"/>
              <w:bottom w:w="40" w:type="dxa"/>
              <w:right w:w="20" w:type="dxa"/>
            </w:tcMar>
            <w:vAlign w:val="bottom"/>
          </w:tcPr>
          <w:p w14:paraId="1D0250DF"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0E0"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0E1"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shd w:val="clear" w:color="auto" w:fill="auto"/>
          </w:tcPr>
          <w:p w14:paraId="1D0250E2" w14:textId="77777777" w:rsidR="004421F6" w:rsidRDefault="004421F6">
            <w:pPr>
              <w:rPr>
                <w:rFonts w:ascii="宋体"/>
              </w:rPr>
            </w:pPr>
          </w:p>
        </w:tc>
        <w:tc>
          <w:tcPr>
            <w:tcW w:w="0" w:type="auto"/>
            <w:shd w:val="clear" w:color="auto" w:fill="auto"/>
          </w:tcPr>
          <w:p w14:paraId="1D0250E3" w14:textId="77777777" w:rsidR="004421F6" w:rsidRDefault="004421F6">
            <w:pPr>
              <w:rPr>
                <w:rFonts w:ascii="宋体"/>
              </w:rPr>
            </w:pPr>
          </w:p>
        </w:tc>
        <w:tc>
          <w:tcPr>
            <w:tcW w:w="0" w:type="auto"/>
            <w:shd w:val="clear" w:color="auto" w:fill="auto"/>
          </w:tcPr>
          <w:p w14:paraId="1D0250E4" w14:textId="77777777" w:rsidR="004421F6" w:rsidRDefault="004421F6">
            <w:pPr>
              <w:rPr>
                <w:rFonts w:ascii="宋体"/>
              </w:rPr>
            </w:pPr>
          </w:p>
        </w:tc>
      </w:tr>
      <w:tr w:rsidR="004421F6" w14:paraId="1D0250E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0E6" w14:textId="77777777" w:rsidR="004421F6" w:rsidRDefault="00F15622">
            <w:pPr>
              <w:textAlignment w:val="bottom"/>
            </w:pPr>
            <w:r>
              <w:rPr>
                <w:rFonts w:ascii="Arial" w:eastAsia="宋体" w:hAnsi="Arial" w:cs="Arial"/>
                <w:b/>
                <w:bCs/>
                <w:color w:val="000000"/>
                <w:sz w:val="17"/>
                <w:szCs w:val="17"/>
              </w:rPr>
              <w:t>Cash provided (used) by operations:</w:t>
            </w:r>
          </w:p>
        </w:tc>
        <w:tc>
          <w:tcPr>
            <w:tcW w:w="0" w:type="auto"/>
            <w:gridSpan w:val="3"/>
            <w:tcBorders>
              <w:top w:val="single" w:sz="8" w:space="0" w:color="E87722"/>
            </w:tcBorders>
            <w:shd w:val="clear" w:color="auto" w:fill="FFF1E7"/>
            <w:tcMar>
              <w:left w:w="20" w:type="dxa"/>
              <w:right w:w="20" w:type="dxa"/>
            </w:tcMar>
            <w:vAlign w:val="bottom"/>
          </w:tcPr>
          <w:p w14:paraId="1D0250E7"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0E8" w14:textId="77777777" w:rsidR="004421F6" w:rsidRDefault="004421F6">
            <w:pPr>
              <w:rPr>
                <w:rFonts w:ascii="宋体"/>
              </w:rPr>
            </w:pPr>
          </w:p>
        </w:tc>
        <w:tc>
          <w:tcPr>
            <w:tcW w:w="0" w:type="auto"/>
            <w:shd w:val="clear" w:color="auto" w:fill="auto"/>
          </w:tcPr>
          <w:p w14:paraId="1D0250E9" w14:textId="77777777" w:rsidR="004421F6" w:rsidRDefault="004421F6">
            <w:pPr>
              <w:rPr>
                <w:rFonts w:ascii="宋体"/>
              </w:rPr>
            </w:pPr>
          </w:p>
        </w:tc>
        <w:tc>
          <w:tcPr>
            <w:tcW w:w="0" w:type="auto"/>
            <w:shd w:val="clear" w:color="auto" w:fill="auto"/>
          </w:tcPr>
          <w:p w14:paraId="1D0250EA" w14:textId="77777777" w:rsidR="004421F6" w:rsidRDefault="004421F6">
            <w:pPr>
              <w:rPr>
                <w:rFonts w:ascii="宋体"/>
              </w:rPr>
            </w:pPr>
          </w:p>
        </w:tc>
        <w:tc>
          <w:tcPr>
            <w:tcW w:w="0" w:type="auto"/>
            <w:shd w:val="clear" w:color="auto" w:fill="auto"/>
          </w:tcPr>
          <w:p w14:paraId="1D0250EB" w14:textId="77777777" w:rsidR="004421F6" w:rsidRDefault="004421F6">
            <w:pPr>
              <w:rPr>
                <w:rFonts w:ascii="宋体"/>
              </w:rPr>
            </w:pPr>
          </w:p>
        </w:tc>
      </w:tr>
      <w:tr w:rsidR="004421F6" w14:paraId="1D0250F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0ED" w14:textId="77777777" w:rsidR="004421F6" w:rsidRDefault="00F15622">
            <w:pPr>
              <w:textAlignment w:val="bottom"/>
            </w:pPr>
            <w:r>
              <w:rPr>
                <w:rFonts w:ascii="Arial" w:eastAsia="宋体" w:hAnsi="Arial" w:cs="Arial"/>
                <w:color w:val="000000"/>
                <w:sz w:val="17"/>
                <w:szCs w:val="17"/>
              </w:rPr>
              <w:t>Net income</w:t>
            </w:r>
          </w:p>
        </w:tc>
        <w:tc>
          <w:tcPr>
            <w:tcW w:w="0" w:type="auto"/>
            <w:tcBorders>
              <w:top w:val="single" w:sz="8" w:space="0" w:color="808080"/>
            </w:tcBorders>
            <w:shd w:val="clear" w:color="auto" w:fill="FFF1E7"/>
            <w:tcMar>
              <w:top w:w="40" w:type="dxa"/>
              <w:left w:w="20" w:type="dxa"/>
              <w:bottom w:w="40" w:type="dxa"/>
            </w:tcMar>
            <w:vAlign w:val="bottom"/>
          </w:tcPr>
          <w:p w14:paraId="1D0250EE"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50EF" w14:textId="77777777" w:rsidR="004421F6" w:rsidRDefault="00F15622">
            <w:pPr>
              <w:jc w:val="right"/>
              <w:textAlignment w:val="bottom"/>
            </w:pPr>
            <w:r>
              <w:rPr>
                <w:rFonts w:ascii="Arial" w:eastAsia="宋体" w:hAnsi="Arial" w:cs="Arial"/>
                <w:color w:val="000000"/>
                <w:sz w:val="17"/>
                <w:szCs w:val="17"/>
              </w:rPr>
              <w:t>1,518 </w:t>
            </w:r>
          </w:p>
        </w:tc>
        <w:tc>
          <w:tcPr>
            <w:tcW w:w="0" w:type="auto"/>
            <w:tcBorders>
              <w:top w:val="single" w:sz="8" w:space="0" w:color="808080"/>
            </w:tcBorders>
            <w:shd w:val="clear" w:color="auto" w:fill="FFF1E7"/>
            <w:tcMar>
              <w:top w:w="40" w:type="dxa"/>
              <w:bottom w:w="40" w:type="dxa"/>
              <w:right w:w="20" w:type="dxa"/>
            </w:tcMar>
            <w:vAlign w:val="bottom"/>
          </w:tcPr>
          <w:p w14:paraId="1D0250F0"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50F1"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50F2" w14:textId="77777777" w:rsidR="004421F6" w:rsidRDefault="00F15622">
            <w:pPr>
              <w:jc w:val="right"/>
              <w:textAlignment w:val="bottom"/>
            </w:pPr>
            <w:r>
              <w:rPr>
                <w:rFonts w:ascii="Arial" w:eastAsia="宋体" w:hAnsi="Arial" w:cs="Arial"/>
                <w:color w:val="000000"/>
                <w:sz w:val="17"/>
                <w:szCs w:val="17"/>
              </w:rPr>
              <w:t>1,367 </w:t>
            </w:r>
          </w:p>
        </w:tc>
        <w:tc>
          <w:tcPr>
            <w:tcW w:w="0" w:type="auto"/>
            <w:tcBorders>
              <w:top w:val="single" w:sz="8" w:space="0" w:color="808080"/>
            </w:tcBorders>
            <w:shd w:val="clear" w:color="auto" w:fill="auto"/>
            <w:tcMar>
              <w:top w:w="40" w:type="dxa"/>
              <w:bottom w:w="40" w:type="dxa"/>
              <w:right w:w="20" w:type="dxa"/>
            </w:tcMar>
            <w:vAlign w:val="bottom"/>
          </w:tcPr>
          <w:p w14:paraId="1D0250F3" w14:textId="77777777" w:rsidR="004421F6" w:rsidRDefault="004421F6">
            <w:pPr>
              <w:jc w:val="right"/>
              <w:rPr>
                <w:rFonts w:ascii="宋体"/>
              </w:rPr>
            </w:pPr>
          </w:p>
        </w:tc>
        <w:tc>
          <w:tcPr>
            <w:tcW w:w="0" w:type="auto"/>
            <w:shd w:val="clear" w:color="auto" w:fill="auto"/>
          </w:tcPr>
          <w:p w14:paraId="1D0250F4" w14:textId="77777777" w:rsidR="004421F6" w:rsidRDefault="004421F6">
            <w:pPr>
              <w:rPr>
                <w:rFonts w:ascii="宋体"/>
              </w:rPr>
            </w:pPr>
          </w:p>
        </w:tc>
        <w:tc>
          <w:tcPr>
            <w:tcW w:w="0" w:type="auto"/>
            <w:shd w:val="clear" w:color="auto" w:fill="auto"/>
          </w:tcPr>
          <w:p w14:paraId="1D0250F5" w14:textId="77777777" w:rsidR="004421F6" w:rsidRDefault="004421F6">
            <w:pPr>
              <w:rPr>
                <w:rFonts w:ascii="宋体"/>
              </w:rPr>
            </w:pPr>
          </w:p>
        </w:tc>
        <w:tc>
          <w:tcPr>
            <w:tcW w:w="0" w:type="auto"/>
            <w:shd w:val="clear" w:color="auto" w:fill="auto"/>
          </w:tcPr>
          <w:p w14:paraId="1D0250F6" w14:textId="77777777" w:rsidR="004421F6" w:rsidRDefault="004421F6">
            <w:pPr>
              <w:rPr>
                <w:rFonts w:ascii="宋体"/>
              </w:rPr>
            </w:pPr>
          </w:p>
        </w:tc>
      </w:tr>
      <w:tr w:rsidR="004421F6" w14:paraId="1D0250FE"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0F8" w14:textId="77777777" w:rsidR="004421F6" w:rsidRDefault="00F15622">
            <w:pPr>
              <w:textAlignment w:val="bottom"/>
            </w:pPr>
            <w:r>
              <w:rPr>
                <w:rFonts w:ascii="Arial" w:eastAsia="宋体" w:hAnsi="Arial" w:cs="Arial"/>
                <w:color w:val="000000"/>
                <w:sz w:val="17"/>
                <w:szCs w:val="17"/>
              </w:rPr>
              <w:t>Adjustments to reconcile net income to net cash provided (used) by operations:</w:t>
            </w:r>
          </w:p>
        </w:tc>
        <w:tc>
          <w:tcPr>
            <w:tcW w:w="0" w:type="auto"/>
            <w:gridSpan w:val="3"/>
            <w:tcBorders>
              <w:top w:val="single" w:sz="8" w:space="0" w:color="808080"/>
            </w:tcBorders>
            <w:shd w:val="clear" w:color="auto" w:fill="FFF1E7"/>
            <w:tcMar>
              <w:left w:w="20" w:type="dxa"/>
              <w:right w:w="20" w:type="dxa"/>
            </w:tcMar>
            <w:vAlign w:val="bottom"/>
          </w:tcPr>
          <w:p w14:paraId="1D0250F9"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0FA" w14:textId="77777777" w:rsidR="004421F6" w:rsidRDefault="004421F6">
            <w:pPr>
              <w:rPr>
                <w:rFonts w:ascii="宋体"/>
              </w:rPr>
            </w:pPr>
          </w:p>
        </w:tc>
        <w:tc>
          <w:tcPr>
            <w:tcW w:w="0" w:type="auto"/>
            <w:shd w:val="clear" w:color="auto" w:fill="auto"/>
          </w:tcPr>
          <w:p w14:paraId="1D0250FB" w14:textId="77777777" w:rsidR="004421F6" w:rsidRDefault="004421F6">
            <w:pPr>
              <w:rPr>
                <w:rFonts w:ascii="宋体"/>
              </w:rPr>
            </w:pPr>
          </w:p>
        </w:tc>
        <w:tc>
          <w:tcPr>
            <w:tcW w:w="0" w:type="auto"/>
            <w:shd w:val="clear" w:color="auto" w:fill="auto"/>
          </w:tcPr>
          <w:p w14:paraId="1D0250FC" w14:textId="77777777" w:rsidR="004421F6" w:rsidRDefault="004421F6">
            <w:pPr>
              <w:rPr>
                <w:rFonts w:ascii="宋体"/>
              </w:rPr>
            </w:pPr>
          </w:p>
        </w:tc>
        <w:tc>
          <w:tcPr>
            <w:tcW w:w="0" w:type="auto"/>
            <w:shd w:val="clear" w:color="auto" w:fill="auto"/>
          </w:tcPr>
          <w:p w14:paraId="1D0250FD" w14:textId="77777777" w:rsidR="004421F6" w:rsidRDefault="004421F6">
            <w:pPr>
              <w:rPr>
                <w:rFonts w:ascii="宋体"/>
              </w:rPr>
            </w:pPr>
          </w:p>
        </w:tc>
      </w:tr>
      <w:tr w:rsidR="004421F6" w14:paraId="1D025107"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0FF" w14:textId="77777777" w:rsidR="004421F6" w:rsidRDefault="00F15622">
            <w:pPr>
              <w:textAlignment w:val="bottom"/>
            </w:pPr>
            <w:r>
              <w:rPr>
                <w:rFonts w:ascii="Arial" w:eastAsia="宋体" w:hAnsi="Arial" w:cs="Arial"/>
                <w:color w:val="000000"/>
                <w:sz w:val="17"/>
                <w:szCs w:val="17"/>
              </w:rPr>
              <w:t>Depreciation</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00" w14:textId="77777777" w:rsidR="004421F6" w:rsidRDefault="00F15622">
            <w:pPr>
              <w:jc w:val="right"/>
              <w:textAlignment w:val="bottom"/>
            </w:pPr>
            <w:r>
              <w:rPr>
                <w:rFonts w:ascii="Arial" w:eastAsia="宋体" w:hAnsi="Arial" w:cs="Arial"/>
                <w:color w:val="000000"/>
                <w:sz w:val="17"/>
                <w:szCs w:val="17"/>
              </w:rPr>
              <w:t>176 </w:t>
            </w:r>
          </w:p>
        </w:tc>
        <w:tc>
          <w:tcPr>
            <w:tcW w:w="0" w:type="auto"/>
            <w:tcBorders>
              <w:top w:val="single" w:sz="8" w:space="0" w:color="808080"/>
            </w:tcBorders>
            <w:shd w:val="clear" w:color="auto" w:fill="FFF1E7"/>
            <w:tcMar>
              <w:top w:w="40" w:type="dxa"/>
              <w:bottom w:w="40" w:type="dxa"/>
              <w:right w:w="20" w:type="dxa"/>
            </w:tcMar>
            <w:vAlign w:val="bottom"/>
          </w:tcPr>
          <w:p w14:paraId="1D02510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02" w14:textId="77777777" w:rsidR="004421F6" w:rsidRDefault="00F15622">
            <w:pPr>
              <w:jc w:val="right"/>
              <w:textAlignment w:val="bottom"/>
            </w:pPr>
            <w:r>
              <w:rPr>
                <w:rFonts w:ascii="Arial" w:eastAsia="宋体" w:hAnsi="Arial" w:cs="Arial"/>
                <w:color w:val="000000"/>
                <w:sz w:val="17"/>
                <w:szCs w:val="17"/>
              </w:rPr>
              <w:t>169 </w:t>
            </w:r>
          </w:p>
        </w:tc>
        <w:tc>
          <w:tcPr>
            <w:tcW w:w="0" w:type="auto"/>
            <w:tcBorders>
              <w:top w:val="single" w:sz="8" w:space="0" w:color="808080"/>
            </w:tcBorders>
            <w:shd w:val="clear" w:color="auto" w:fill="auto"/>
            <w:tcMar>
              <w:top w:w="40" w:type="dxa"/>
              <w:bottom w:w="40" w:type="dxa"/>
              <w:right w:w="20" w:type="dxa"/>
            </w:tcMar>
            <w:vAlign w:val="bottom"/>
          </w:tcPr>
          <w:p w14:paraId="1D025103" w14:textId="77777777" w:rsidR="004421F6" w:rsidRDefault="004421F6">
            <w:pPr>
              <w:jc w:val="right"/>
              <w:rPr>
                <w:rFonts w:ascii="宋体"/>
              </w:rPr>
            </w:pPr>
          </w:p>
        </w:tc>
        <w:tc>
          <w:tcPr>
            <w:tcW w:w="0" w:type="auto"/>
            <w:shd w:val="clear" w:color="auto" w:fill="auto"/>
          </w:tcPr>
          <w:p w14:paraId="1D025104" w14:textId="77777777" w:rsidR="004421F6" w:rsidRDefault="004421F6">
            <w:pPr>
              <w:rPr>
                <w:rFonts w:ascii="宋体"/>
              </w:rPr>
            </w:pPr>
          </w:p>
        </w:tc>
        <w:tc>
          <w:tcPr>
            <w:tcW w:w="0" w:type="auto"/>
            <w:shd w:val="clear" w:color="auto" w:fill="auto"/>
          </w:tcPr>
          <w:p w14:paraId="1D025105" w14:textId="77777777" w:rsidR="004421F6" w:rsidRDefault="004421F6">
            <w:pPr>
              <w:rPr>
                <w:rFonts w:ascii="宋体"/>
              </w:rPr>
            </w:pPr>
          </w:p>
        </w:tc>
        <w:tc>
          <w:tcPr>
            <w:tcW w:w="0" w:type="auto"/>
            <w:shd w:val="clear" w:color="auto" w:fill="auto"/>
          </w:tcPr>
          <w:p w14:paraId="1D025106" w14:textId="77777777" w:rsidR="004421F6" w:rsidRDefault="004421F6">
            <w:pPr>
              <w:rPr>
                <w:rFonts w:ascii="宋体"/>
              </w:rPr>
            </w:pPr>
          </w:p>
        </w:tc>
      </w:tr>
      <w:tr w:rsidR="004421F6" w14:paraId="1D025110"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08" w14:textId="77777777" w:rsidR="004421F6" w:rsidRDefault="00F15622">
            <w:pPr>
              <w:textAlignment w:val="bottom"/>
            </w:pPr>
            <w:r>
              <w:rPr>
                <w:rFonts w:ascii="Arial" w:eastAsia="宋体" w:hAnsi="Arial" w:cs="Arial"/>
                <w:color w:val="000000"/>
                <w:sz w:val="17"/>
                <w:szCs w:val="17"/>
              </w:rPr>
              <w:t>Deferred income taxes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09" w14:textId="77777777" w:rsidR="004421F6" w:rsidRDefault="00F15622">
            <w:pPr>
              <w:jc w:val="right"/>
              <w:textAlignment w:val="bottom"/>
            </w:pPr>
            <w:r>
              <w:rPr>
                <w:rFonts w:ascii="Arial" w:eastAsia="宋体" w:hAnsi="Arial" w:cs="Arial"/>
                <w:color w:val="000000"/>
                <w:sz w:val="17"/>
                <w:szCs w:val="17"/>
              </w:rPr>
              <w:t>(220)</w:t>
            </w:r>
          </w:p>
        </w:tc>
        <w:tc>
          <w:tcPr>
            <w:tcW w:w="0" w:type="auto"/>
            <w:tcBorders>
              <w:top w:val="single" w:sz="8" w:space="0" w:color="808080"/>
            </w:tcBorders>
            <w:shd w:val="clear" w:color="auto" w:fill="FFF1E7"/>
            <w:tcMar>
              <w:top w:w="40" w:type="dxa"/>
              <w:bottom w:w="40" w:type="dxa"/>
              <w:right w:w="20" w:type="dxa"/>
            </w:tcMar>
            <w:vAlign w:val="bottom"/>
          </w:tcPr>
          <w:p w14:paraId="1D02510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0B" w14:textId="77777777" w:rsidR="004421F6" w:rsidRDefault="00F15622">
            <w:pPr>
              <w:jc w:val="right"/>
              <w:textAlignment w:val="bottom"/>
            </w:pPr>
            <w:r>
              <w:rPr>
                <w:rFonts w:ascii="Arial" w:eastAsia="宋体" w:hAnsi="Arial" w:cs="Arial"/>
                <w:color w:val="000000"/>
                <w:sz w:val="17"/>
                <w:szCs w:val="17"/>
              </w:rPr>
              <w:t>(42)</w:t>
            </w:r>
          </w:p>
        </w:tc>
        <w:tc>
          <w:tcPr>
            <w:tcW w:w="0" w:type="auto"/>
            <w:tcBorders>
              <w:top w:val="single" w:sz="8" w:space="0" w:color="808080"/>
            </w:tcBorders>
            <w:shd w:val="clear" w:color="auto" w:fill="auto"/>
            <w:tcMar>
              <w:top w:w="40" w:type="dxa"/>
              <w:bottom w:w="40" w:type="dxa"/>
              <w:right w:w="20" w:type="dxa"/>
            </w:tcMar>
            <w:vAlign w:val="bottom"/>
          </w:tcPr>
          <w:p w14:paraId="1D02510C" w14:textId="77777777" w:rsidR="004421F6" w:rsidRDefault="004421F6">
            <w:pPr>
              <w:jc w:val="right"/>
              <w:rPr>
                <w:rFonts w:ascii="宋体"/>
              </w:rPr>
            </w:pPr>
          </w:p>
        </w:tc>
        <w:tc>
          <w:tcPr>
            <w:tcW w:w="0" w:type="auto"/>
            <w:shd w:val="clear" w:color="auto" w:fill="auto"/>
          </w:tcPr>
          <w:p w14:paraId="1D02510D" w14:textId="77777777" w:rsidR="004421F6" w:rsidRDefault="004421F6">
            <w:pPr>
              <w:rPr>
                <w:rFonts w:ascii="宋体"/>
              </w:rPr>
            </w:pPr>
          </w:p>
        </w:tc>
        <w:tc>
          <w:tcPr>
            <w:tcW w:w="0" w:type="auto"/>
            <w:shd w:val="clear" w:color="auto" w:fill="auto"/>
          </w:tcPr>
          <w:p w14:paraId="1D02510E" w14:textId="77777777" w:rsidR="004421F6" w:rsidRDefault="004421F6">
            <w:pPr>
              <w:rPr>
                <w:rFonts w:ascii="宋体"/>
              </w:rPr>
            </w:pPr>
          </w:p>
        </w:tc>
        <w:tc>
          <w:tcPr>
            <w:tcW w:w="0" w:type="auto"/>
            <w:shd w:val="clear" w:color="auto" w:fill="auto"/>
          </w:tcPr>
          <w:p w14:paraId="1D02510F" w14:textId="77777777" w:rsidR="004421F6" w:rsidRDefault="004421F6">
            <w:pPr>
              <w:rPr>
                <w:rFonts w:ascii="宋体"/>
              </w:rPr>
            </w:pPr>
          </w:p>
        </w:tc>
      </w:tr>
      <w:tr w:rsidR="004421F6" w14:paraId="1D025119"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11" w14:textId="77777777" w:rsidR="004421F6" w:rsidRDefault="00F15622">
            <w:pPr>
              <w:textAlignment w:val="bottom"/>
            </w:pPr>
            <w:r>
              <w:rPr>
                <w:rFonts w:ascii="Arial" w:eastAsia="宋体" w:hAnsi="Arial" w:cs="Arial"/>
                <w:color w:val="000000"/>
                <w:sz w:val="17"/>
                <w:szCs w:val="17"/>
              </w:rPr>
              <w:t>Stock-based compensation</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12" w14:textId="77777777" w:rsidR="004421F6" w:rsidRDefault="00F15622">
            <w:pPr>
              <w:jc w:val="right"/>
              <w:textAlignment w:val="bottom"/>
            </w:pPr>
            <w:r>
              <w:rPr>
                <w:rFonts w:ascii="Arial" w:eastAsia="宋体" w:hAnsi="Arial" w:cs="Arial"/>
                <w:color w:val="000000"/>
                <w:sz w:val="17"/>
                <w:szCs w:val="17"/>
              </w:rPr>
              <w:t>136 </w:t>
            </w:r>
          </w:p>
        </w:tc>
        <w:tc>
          <w:tcPr>
            <w:tcW w:w="0" w:type="auto"/>
            <w:tcBorders>
              <w:top w:val="single" w:sz="8" w:space="0" w:color="808080"/>
            </w:tcBorders>
            <w:shd w:val="clear" w:color="auto" w:fill="FFF1E7"/>
            <w:tcMar>
              <w:top w:w="40" w:type="dxa"/>
              <w:bottom w:w="40" w:type="dxa"/>
              <w:right w:w="20" w:type="dxa"/>
            </w:tcMar>
            <w:vAlign w:val="bottom"/>
          </w:tcPr>
          <w:p w14:paraId="1D025113"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14" w14:textId="77777777" w:rsidR="004421F6" w:rsidRDefault="00F15622">
            <w:pPr>
              <w:jc w:val="right"/>
              <w:textAlignment w:val="bottom"/>
            </w:pPr>
            <w:r>
              <w:rPr>
                <w:rFonts w:ascii="Arial" w:eastAsia="宋体" w:hAnsi="Arial" w:cs="Arial"/>
                <w:color w:val="000000"/>
                <w:sz w:val="17"/>
                <w:szCs w:val="17"/>
              </w:rPr>
              <w:t>80 </w:t>
            </w:r>
          </w:p>
        </w:tc>
        <w:tc>
          <w:tcPr>
            <w:tcW w:w="0" w:type="auto"/>
            <w:tcBorders>
              <w:top w:val="single" w:sz="8" w:space="0" w:color="808080"/>
            </w:tcBorders>
            <w:shd w:val="clear" w:color="auto" w:fill="auto"/>
            <w:tcMar>
              <w:top w:w="40" w:type="dxa"/>
              <w:bottom w:w="40" w:type="dxa"/>
              <w:right w:w="20" w:type="dxa"/>
            </w:tcMar>
            <w:vAlign w:val="bottom"/>
          </w:tcPr>
          <w:p w14:paraId="1D025115" w14:textId="77777777" w:rsidR="004421F6" w:rsidRDefault="004421F6">
            <w:pPr>
              <w:jc w:val="right"/>
              <w:rPr>
                <w:rFonts w:ascii="宋体"/>
              </w:rPr>
            </w:pPr>
          </w:p>
        </w:tc>
        <w:tc>
          <w:tcPr>
            <w:tcW w:w="0" w:type="auto"/>
            <w:shd w:val="clear" w:color="auto" w:fill="auto"/>
          </w:tcPr>
          <w:p w14:paraId="1D025116" w14:textId="77777777" w:rsidR="004421F6" w:rsidRDefault="004421F6">
            <w:pPr>
              <w:rPr>
                <w:rFonts w:ascii="宋体"/>
              </w:rPr>
            </w:pPr>
          </w:p>
        </w:tc>
        <w:tc>
          <w:tcPr>
            <w:tcW w:w="0" w:type="auto"/>
            <w:shd w:val="clear" w:color="auto" w:fill="auto"/>
          </w:tcPr>
          <w:p w14:paraId="1D025117" w14:textId="77777777" w:rsidR="004421F6" w:rsidRDefault="004421F6">
            <w:pPr>
              <w:rPr>
                <w:rFonts w:ascii="宋体"/>
              </w:rPr>
            </w:pPr>
          </w:p>
        </w:tc>
        <w:tc>
          <w:tcPr>
            <w:tcW w:w="0" w:type="auto"/>
            <w:shd w:val="clear" w:color="auto" w:fill="auto"/>
          </w:tcPr>
          <w:p w14:paraId="1D025118" w14:textId="77777777" w:rsidR="004421F6" w:rsidRDefault="004421F6">
            <w:pPr>
              <w:rPr>
                <w:rFonts w:ascii="宋体"/>
              </w:rPr>
            </w:pPr>
          </w:p>
        </w:tc>
      </w:tr>
      <w:tr w:rsidR="004421F6" w14:paraId="1D025122"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1A" w14:textId="77777777" w:rsidR="004421F6" w:rsidRDefault="00F15622">
            <w:pPr>
              <w:textAlignment w:val="bottom"/>
            </w:pPr>
            <w:r>
              <w:rPr>
                <w:rFonts w:ascii="Arial" w:eastAsia="宋体" w:hAnsi="Arial" w:cs="Arial"/>
                <w:color w:val="000000"/>
                <w:sz w:val="17"/>
                <w:szCs w:val="17"/>
              </w:rPr>
              <w:t>Amortization, impairment and 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1B" w14:textId="77777777" w:rsidR="004421F6" w:rsidRDefault="00F15622">
            <w:pPr>
              <w:jc w:val="right"/>
              <w:textAlignment w:val="bottom"/>
            </w:pPr>
            <w:r>
              <w:rPr>
                <w:rFonts w:ascii="Arial" w:eastAsia="宋体" w:hAnsi="Arial" w:cs="Arial"/>
                <w:color w:val="000000"/>
                <w:sz w:val="17"/>
                <w:szCs w:val="17"/>
              </w:rPr>
              <w:t>41 </w:t>
            </w:r>
          </w:p>
        </w:tc>
        <w:tc>
          <w:tcPr>
            <w:tcW w:w="0" w:type="auto"/>
            <w:tcBorders>
              <w:top w:val="single" w:sz="8" w:space="0" w:color="808080"/>
            </w:tcBorders>
            <w:shd w:val="clear" w:color="auto" w:fill="FFF1E7"/>
            <w:tcMar>
              <w:top w:w="40" w:type="dxa"/>
              <w:bottom w:w="40" w:type="dxa"/>
              <w:right w:w="20" w:type="dxa"/>
            </w:tcMar>
            <w:vAlign w:val="bottom"/>
          </w:tcPr>
          <w:p w14:paraId="1D02511C"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1D" w14:textId="77777777" w:rsidR="004421F6" w:rsidRDefault="00F1562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bottom w:w="40" w:type="dxa"/>
              <w:right w:w="20" w:type="dxa"/>
            </w:tcMar>
            <w:vAlign w:val="bottom"/>
          </w:tcPr>
          <w:p w14:paraId="1D02511E" w14:textId="77777777" w:rsidR="004421F6" w:rsidRDefault="004421F6">
            <w:pPr>
              <w:jc w:val="right"/>
              <w:rPr>
                <w:rFonts w:ascii="宋体"/>
              </w:rPr>
            </w:pPr>
          </w:p>
        </w:tc>
        <w:tc>
          <w:tcPr>
            <w:tcW w:w="0" w:type="auto"/>
            <w:shd w:val="clear" w:color="auto" w:fill="auto"/>
          </w:tcPr>
          <w:p w14:paraId="1D02511F" w14:textId="77777777" w:rsidR="004421F6" w:rsidRDefault="004421F6">
            <w:pPr>
              <w:rPr>
                <w:rFonts w:ascii="宋体"/>
              </w:rPr>
            </w:pPr>
          </w:p>
        </w:tc>
        <w:tc>
          <w:tcPr>
            <w:tcW w:w="0" w:type="auto"/>
            <w:shd w:val="clear" w:color="auto" w:fill="auto"/>
          </w:tcPr>
          <w:p w14:paraId="1D025120" w14:textId="77777777" w:rsidR="004421F6" w:rsidRDefault="004421F6">
            <w:pPr>
              <w:rPr>
                <w:rFonts w:ascii="宋体"/>
              </w:rPr>
            </w:pPr>
          </w:p>
        </w:tc>
        <w:tc>
          <w:tcPr>
            <w:tcW w:w="0" w:type="auto"/>
            <w:shd w:val="clear" w:color="auto" w:fill="auto"/>
          </w:tcPr>
          <w:p w14:paraId="1D025121" w14:textId="77777777" w:rsidR="004421F6" w:rsidRDefault="004421F6">
            <w:pPr>
              <w:rPr>
                <w:rFonts w:ascii="宋体"/>
              </w:rPr>
            </w:pPr>
          </w:p>
        </w:tc>
      </w:tr>
      <w:tr w:rsidR="004421F6" w14:paraId="1D02512B"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23" w14:textId="77777777" w:rsidR="004421F6" w:rsidRDefault="00F15622">
            <w:pPr>
              <w:textAlignment w:val="bottom"/>
            </w:pPr>
            <w:r>
              <w:rPr>
                <w:rFonts w:ascii="Arial" w:eastAsia="宋体" w:hAnsi="Arial" w:cs="Arial"/>
                <w:color w:val="000000"/>
                <w:sz w:val="17"/>
                <w:szCs w:val="17"/>
              </w:rPr>
              <w:t>Net foreign currency adjustments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24" w14:textId="77777777" w:rsidR="004421F6" w:rsidRDefault="00F15622">
            <w:pPr>
              <w:jc w:val="right"/>
              <w:textAlignment w:val="bottom"/>
            </w:pPr>
            <w:r>
              <w:rPr>
                <w:rFonts w:ascii="Arial" w:eastAsia="宋体" w:hAnsi="Arial" w:cs="Arial"/>
                <w:color w:val="000000"/>
                <w:sz w:val="17"/>
                <w:szCs w:val="17"/>
              </w:rPr>
              <w:t>(45)</w:t>
            </w:r>
          </w:p>
        </w:tc>
        <w:tc>
          <w:tcPr>
            <w:tcW w:w="0" w:type="auto"/>
            <w:tcBorders>
              <w:top w:val="single" w:sz="8" w:space="0" w:color="808080"/>
            </w:tcBorders>
            <w:shd w:val="clear" w:color="auto" w:fill="FFF1E7"/>
            <w:tcMar>
              <w:top w:w="40" w:type="dxa"/>
              <w:bottom w:w="40" w:type="dxa"/>
              <w:right w:w="20" w:type="dxa"/>
            </w:tcMar>
            <w:vAlign w:val="bottom"/>
          </w:tcPr>
          <w:p w14:paraId="1D025125"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26" w14:textId="77777777" w:rsidR="004421F6" w:rsidRDefault="00F15622">
            <w:pPr>
              <w:jc w:val="right"/>
              <w:textAlignment w:val="bottom"/>
            </w:pPr>
            <w:r>
              <w:rPr>
                <w:rFonts w:ascii="Arial" w:eastAsia="宋体" w:hAnsi="Arial" w:cs="Arial"/>
                <w:color w:val="000000"/>
                <w:sz w:val="17"/>
                <w:szCs w:val="17"/>
              </w:rPr>
              <w:t>49 </w:t>
            </w:r>
          </w:p>
        </w:tc>
        <w:tc>
          <w:tcPr>
            <w:tcW w:w="0" w:type="auto"/>
            <w:tcBorders>
              <w:top w:val="single" w:sz="8" w:space="0" w:color="808080"/>
            </w:tcBorders>
            <w:shd w:val="clear" w:color="auto" w:fill="auto"/>
            <w:tcMar>
              <w:top w:w="40" w:type="dxa"/>
              <w:bottom w:w="40" w:type="dxa"/>
              <w:right w:w="20" w:type="dxa"/>
            </w:tcMar>
            <w:vAlign w:val="bottom"/>
          </w:tcPr>
          <w:p w14:paraId="1D025127" w14:textId="77777777" w:rsidR="004421F6" w:rsidRDefault="004421F6">
            <w:pPr>
              <w:jc w:val="right"/>
              <w:rPr>
                <w:rFonts w:ascii="宋体"/>
              </w:rPr>
            </w:pPr>
          </w:p>
        </w:tc>
        <w:tc>
          <w:tcPr>
            <w:tcW w:w="0" w:type="auto"/>
            <w:shd w:val="clear" w:color="auto" w:fill="auto"/>
          </w:tcPr>
          <w:p w14:paraId="1D025128" w14:textId="77777777" w:rsidR="004421F6" w:rsidRDefault="004421F6">
            <w:pPr>
              <w:rPr>
                <w:rFonts w:ascii="宋体"/>
              </w:rPr>
            </w:pPr>
          </w:p>
        </w:tc>
        <w:tc>
          <w:tcPr>
            <w:tcW w:w="0" w:type="auto"/>
            <w:shd w:val="clear" w:color="auto" w:fill="auto"/>
          </w:tcPr>
          <w:p w14:paraId="1D025129" w14:textId="77777777" w:rsidR="004421F6" w:rsidRDefault="004421F6">
            <w:pPr>
              <w:rPr>
                <w:rFonts w:ascii="宋体"/>
              </w:rPr>
            </w:pPr>
          </w:p>
        </w:tc>
        <w:tc>
          <w:tcPr>
            <w:tcW w:w="0" w:type="auto"/>
            <w:shd w:val="clear" w:color="auto" w:fill="auto"/>
          </w:tcPr>
          <w:p w14:paraId="1D02512A" w14:textId="77777777" w:rsidR="004421F6" w:rsidRDefault="004421F6">
            <w:pPr>
              <w:rPr>
                <w:rFonts w:ascii="宋体"/>
              </w:rPr>
            </w:pPr>
          </w:p>
        </w:tc>
      </w:tr>
      <w:tr w:rsidR="004421F6" w14:paraId="1D025132"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12C" w14:textId="77777777" w:rsidR="004421F6" w:rsidRDefault="00F15622">
            <w:pPr>
              <w:textAlignment w:val="bottom"/>
            </w:pPr>
            <w:r>
              <w:rPr>
                <w:rFonts w:ascii="Arial" w:eastAsia="宋体" w:hAnsi="Arial" w:cs="Arial"/>
                <w:color w:val="000000"/>
                <w:sz w:val="17"/>
                <w:szCs w:val="17"/>
              </w:rPr>
              <w:t xml:space="preserve">Changes in certain working capital components and other assets and </w:t>
            </w:r>
            <w:r>
              <w:rPr>
                <w:rFonts w:ascii="Arial" w:eastAsia="宋体" w:hAnsi="Arial" w:cs="Arial"/>
                <w:color w:val="000000"/>
                <w:sz w:val="17"/>
                <w:szCs w:val="17"/>
              </w:rPr>
              <w:t>liabilities:</w:t>
            </w:r>
          </w:p>
        </w:tc>
        <w:tc>
          <w:tcPr>
            <w:tcW w:w="0" w:type="auto"/>
            <w:gridSpan w:val="3"/>
            <w:tcBorders>
              <w:top w:val="single" w:sz="8" w:space="0" w:color="808080"/>
            </w:tcBorders>
            <w:shd w:val="clear" w:color="auto" w:fill="FFF1E7"/>
            <w:tcMar>
              <w:left w:w="20" w:type="dxa"/>
              <w:right w:w="20" w:type="dxa"/>
            </w:tcMar>
            <w:vAlign w:val="bottom"/>
          </w:tcPr>
          <w:p w14:paraId="1D02512D"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12E" w14:textId="77777777" w:rsidR="004421F6" w:rsidRDefault="004421F6">
            <w:pPr>
              <w:rPr>
                <w:rFonts w:ascii="宋体"/>
              </w:rPr>
            </w:pPr>
          </w:p>
        </w:tc>
        <w:tc>
          <w:tcPr>
            <w:tcW w:w="0" w:type="auto"/>
            <w:shd w:val="clear" w:color="auto" w:fill="auto"/>
          </w:tcPr>
          <w:p w14:paraId="1D02512F" w14:textId="77777777" w:rsidR="004421F6" w:rsidRDefault="004421F6">
            <w:pPr>
              <w:rPr>
                <w:rFonts w:ascii="宋体"/>
              </w:rPr>
            </w:pPr>
          </w:p>
        </w:tc>
        <w:tc>
          <w:tcPr>
            <w:tcW w:w="0" w:type="auto"/>
            <w:shd w:val="clear" w:color="auto" w:fill="auto"/>
          </w:tcPr>
          <w:p w14:paraId="1D025130" w14:textId="77777777" w:rsidR="004421F6" w:rsidRDefault="004421F6">
            <w:pPr>
              <w:rPr>
                <w:rFonts w:ascii="宋体"/>
              </w:rPr>
            </w:pPr>
          </w:p>
        </w:tc>
        <w:tc>
          <w:tcPr>
            <w:tcW w:w="0" w:type="auto"/>
            <w:shd w:val="clear" w:color="auto" w:fill="auto"/>
          </w:tcPr>
          <w:p w14:paraId="1D025131" w14:textId="77777777" w:rsidR="004421F6" w:rsidRDefault="004421F6">
            <w:pPr>
              <w:rPr>
                <w:rFonts w:ascii="宋体"/>
              </w:rPr>
            </w:pPr>
          </w:p>
        </w:tc>
      </w:tr>
      <w:tr w:rsidR="004421F6" w14:paraId="1D02513B"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33" w14:textId="77777777" w:rsidR="004421F6" w:rsidRDefault="00F15622">
            <w:pPr>
              <w:textAlignment w:val="bottom"/>
            </w:pPr>
            <w:r>
              <w:rPr>
                <w:rFonts w:ascii="Arial" w:eastAsia="宋体" w:hAnsi="Arial" w:cs="Arial"/>
                <w:color w:val="000000"/>
                <w:sz w:val="17"/>
                <w:szCs w:val="17"/>
              </w:rPr>
              <w:t>(Increase) decrease in accounts receivable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34" w14:textId="77777777" w:rsidR="004421F6" w:rsidRDefault="00F15622">
            <w:pPr>
              <w:jc w:val="right"/>
              <w:textAlignment w:val="bottom"/>
            </w:pPr>
            <w:r>
              <w:rPr>
                <w:rFonts w:ascii="Arial" w:eastAsia="宋体" w:hAnsi="Arial" w:cs="Arial"/>
                <w:color w:val="000000"/>
                <w:sz w:val="17"/>
                <w:szCs w:val="17"/>
              </w:rPr>
              <w:t>(990)</w:t>
            </w:r>
          </w:p>
        </w:tc>
        <w:tc>
          <w:tcPr>
            <w:tcW w:w="0" w:type="auto"/>
            <w:tcBorders>
              <w:top w:val="single" w:sz="8" w:space="0" w:color="808080"/>
            </w:tcBorders>
            <w:shd w:val="clear" w:color="auto" w:fill="FFF1E7"/>
            <w:tcMar>
              <w:top w:w="40" w:type="dxa"/>
              <w:bottom w:w="40" w:type="dxa"/>
              <w:right w:w="20" w:type="dxa"/>
            </w:tcMar>
            <w:vAlign w:val="bottom"/>
          </w:tcPr>
          <w:p w14:paraId="1D025135"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36" w14:textId="77777777" w:rsidR="004421F6" w:rsidRDefault="00F15622">
            <w:pPr>
              <w:jc w:val="right"/>
              <w:textAlignment w:val="bottom"/>
            </w:pPr>
            <w:r>
              <w:rPr>
                <w:rFonts w:ascii="Arial" w:eastAsia="宋体" w:hAnsi="Arial" w:cs="Arial"/>
                <w:color w:val="000000"/>
                <w:sz w:val="17"/>
                <w:szCs w:val="17"/>
              </w:rPr>
              <w:t>(456)</w:t>
            </w:r>
          </w:p>
        </w:tc>
        <w:tc>
          <w:tcPr>
            <w:tcW w:w="0" w:type="auto"/>
            <w:tcBorders>
              <w:top w:val="single" w:sz="8" w:space="0" w:color="808080"/>
            </w:tcBorders>
            <w:shd w:val="clear" w:color="auto" w:fill="auto"/>
            <w:tcMar>
              <w:top w:w="40" w:type="dxa"/>
              <w:bottom w:w="40" w:type="dxa"/>
              <w:right w:w="20" w:type="dxa"/>
            </w:tcMar>
            <w:vAlign w:val="bottom"/>
          </w:tcPr>
          <w:p w14:paraId="1D025137" w14:textId="77777777" w:rsidR="004421F6" w:rsidRDefault="004421F6">
            <w:pPr>
              <w:jc w:val="right"/>
              <w:rPr>
                <w:rFonts w:ascii="宋体"/>
              </w:rPr>
            </w:pPr>
          </w:p>
        </w:tc>
        <w:tc>
          <w:tcPr>
            <w:tcW w:w="0" w:type="auto"/>
            <w:shd w:val="clear" w:color="auto" w:fill="auto"/>
          </w:tcPr>
          <w:p w14:paraId="1D025138" w14:textId="77777777" w:rsidR="004421F6" w:rsidRDefault="004421F6">
            <w:pPr>
              <w:rPr>
                <w:rFonts w:ascii="宋体"/>
              </w:rPr>
            </w:pPr>
          </w:p>
        </w:tc>
        <w:tc>
          <w:tcPr>
            <w:tcW w:w="0" w:type="auto"/>
            <w:shd w:val="clear" w:color="auto" w:fill="auto"/>
          </w:tcPr>
          <w:p w14:paraId="1D025139" w14:textId="77777777" w:rsidR="004421F6" w:rsidRDefault="004421F6">
            <w:pPr>
              <w:rPr>
                <w:rFonts w:ascii="宋体"/>
              </w:rPr>
            </w:pPr>
          </w:p>
        </w:tc>
        <w:tc>
          <w:tcPr>
            <w:tcW w:w="0" w:type="auto"/>
            <w:shd w:val="clear" w:color="auto" w:fill="auto"/>
          </w:tcPr>
          <w:p w14:paraId="1D02513A" w14:textId="77777777" w:rsidR="004421F6" w:rsidRDefault="004421F6">
            <w:pPr>
              <w:rPr>
                <w:rFonts w:ascii="宋体"/>
              </w:rPr>
            </w:pPr>
          </w:p>
        </w:tc>
      </w:tr>
      <w:tr w:rsidR="004421F6" w14:paraId="1D025144"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3C" w14:textId="77777777" w:rsidR="004421F6" w:rsidRDefault="00F15622">
            <w:pPr>
              <w:textAlignment w:val="bottom"/>
            </w:pPr>
            <w:r>
              <w:rPr>
                <w:rFonts w:ascii="Arial" w:eastAsia="宋体" w:hAnsi="Arial" w:cs="Arial"/>
                <w:color w:val="000000"/>
                <w:sz w:val="17"/>
                <w:szCs w:val="17"/>
              </w:rPr>
              <w:t>(Increase) decrease in inventories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3D" w14:textId="77777777" w:rsidR="004421F6" w:rsidRDefault="00F15622">
            <w:pPr>
              <w:jc w:val="right"/>
              <w:textAlignment w:val="bottom"/>
            </w:pPr>
            <w:r>
              <w:rPr>
                <w:rFonts w:ascii="Arial" w:eastAsia="宋体" w:hAnsi="Arial" w:cs="Arial"/>
                <w:color w:val="000000"/>
                <w:sz w:val="17"/>
                <w:szCs w:val="17"/>
              </w:rPr>
              <w:t>689 </w:t>
            </w:r>
          </w:p>
        </w:tc>
        <w:tc>
          <w:tcPr>
            <w:tcW w:w="0" w:type="auto"/>
            <w:tcBorders>
              <w:top w:val="single" w:sz="8" w:space="0" w:color="808080"/>
            </w:tcBorders>
            <w:shd w:val="clear" w:color="auto" w:fill="FFF1E7"/>
            <w:tcMar>
              <w:top w:w="40" w:type="dxa"/>
              <w:bottom w:w="40" w:type="dxa"/>
              <w:right w:w="20" w:type="dxa"/>
            </w:tcMar>
            <w:vAlign w:val="bottom"/>
          </w:tcPr>
          <w:p w14:paraId="1D02513E"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3F" w14:textId="77777777" w:rsidR="004421F6" w:rsidRDefault="00F15622">
            <w:pPr>
              <w:jc w:val="right"/>
              <w:textAlignment w:val="bottom"/>
            </w:pPr>
            <w:r>
              <w:rPr>
                <w:rFonts w:ascii="Arial" w:eastAsia="宋体" w:hAnsi="Arial" w:cs="Arial"/>
                <w:color w:val="000000"/>
                <w:sz w:val="17"/>
                <w:szCs w:val="17"/>
              </w:rPr>
              <w:t>(270)</w:t>
            </w:r>
          </w:p>
        </w:tc>
        <w:tc>
          <w:tcPr>
            <w:tcW w:w="0" w:type="auto"/>
            <w:tcBorders>
              <w:top w:val="single" w:sz="8" w:space="0" w:color="808080"/>
            </w:tcBorders>
            <w:shd w:val="clear" w:color="auto" w:fill="auto"/>
            <w:tcMar>
              <w:top w:w="40" w:type="dxa"/>
              <w:bottom w:w="40" w:type="dxa"/>
              <w:right w:w="20" w:type="dxa"/>
            </w:tcMar>
            <w:vAlign w:val="bottom"/>
          </w:tcPr>
          <w:p w14:paraId="1D025140" w14:textId="77777777" w:rsidR="004421F6" w:rsidRDefault="004421F6">
            <w:pPr>
              <w:jc w:val="right"/>
              <w:rPr>
                <w:rFonts w:ascii="宋体"/>
              </w:rPr>
            </w:pPr>
          </w:p>
        </w:tc>
        <w:tc>
          <w:tcPr>
            <w:tcW w:w="0" w:type="auto"/>
            <w:shd w:val="clear" w:color="auto" w:fill="auto"/>
          </w:tcPr>
          <w:p w14:paraId="1D025141" w14:textId="77777777" w:rsidR="004421F6" w:rsidRDefault="004421F6">
            <w:pPr>
              <w:rPr>
                <w:rFonts w:ascii="宋体"/>
              </w:rPr>
            </w:pPr>
          </w:p>
        </w:tc>
        <w:tc>
          <w:tcPr>
            <w:tcW w:w="0" w:type="auto"/>
            <w:shd w:val="clear" w:color="auto" w:fill="auto"/>
          </w:tcPr>
          <w:p w14:paraId="1D025142" w14:textId="77777777" w:rsidR="004421F6" w:rsidRDefault="004421F6">
            <w:pPr>
              <w:rPr>
                <w:rFonts w:ascii="宋体"/>
              </w:rPr>
            </w:pPr>
          </w:p>
        </w:tc>
        <w:tc>
          <w:tcPr>
            <w:tcW w:w="0" w:type="auto"/>
            <w:shd w:val="clear" w:color="auto" w:fill="auto"/>
          </w:tcPr>
          <w:p w14:paraId="1D025143" w14:textId="77777777" w:rsidR="004421F6" w:rsidRDefault="004421F6">
            <w:pPr>
              <w:rPr>
                <w:rFonts w:ascii="宋体"/>
              </w:rPr>
            </w:pPr>
          </w:p>
        </w:tc>
      </w:tr>
      <w:tr w:rsidR="004421F6" w14:paraId="1D02514D"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45" w14:textId="77777777" w:rsidR="004421F6" w:rsidRDefault="00F15622">
            <w:pPr>
              <w:textAlignment w:val="bottom"/>
            </w:pPr>
            <w:r>
              <w:rPr>
                <w:rFonts w:ascii="Arial" w:eastAsia="宋体" w:hAnsi="Arial" w:cs="Arial"/>
                <w:color w:val="000000"/>
                <w:sz w:val="17"/>
                <w:szCs w:val="17"/>
              </w:rPr>
              <w:t>(Increase) decrease in prepaid expenses, operating lease right-of-use assets and other current and non-current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46" w14:textId="77777777" w:rsidR="004421F6" w:rsidRDefault="00F15622">
            <w:pPr>
              <w:jc w:val="right"/>
              <w:textAlignment w:val="bottom"/>
            </w:pPr>
            <w:r>
              <w:rPr>
                <w:rFonts w:ascii="Arial" w:eastAsia="宋体" w:hAnsi="Arial" w:cs="Arial"/>
                <w:color w:val="000000"/>
                <w:sz w:val="17"/>
                <w:szCs w:val="17"/>
              </w:rPr>
              <w:t>(338)</w:t>
            </w:r>
          </w:p>
        </w:tc>
        <w:tc>
          <w:tcPr>
            <w:tcW w:w="0" w:type="auto"/>
            <w:tcBorders>
              <w:top w:val="single" w:sz="8" w:space="0" w:color="808080"/>
            </w:tcBorders>
            <w:shd w:val="clear" w:color="auto" w:fill="FFF1E7"/>
            <w:tcMar>
              <w:top w:w="40" w:type="dxa"/>
              <w:bottom w:w="40" w:type="dxa"/>
              <w:right w:w="20" w:type="dxa"/>
            </w:tcMar>
            <w:vAlign w:val="bottom"/>
          </w:tcPr>
          <w:p w14:paraId="1D025147"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48" w14:textId="77777777" w:rsidR="004421F6" w:rsidRDefault="00F15622">
            <w:pPr>
              <w:jc w:val="right"/>
              <w:textAlignment w:val="bottom"/>
            </w:pPr>
            <w:r>
              <w:rPr>
                <w:rFonts w:ascii="Arial" w:eastAsia="宋体" w:hAnsi="Arial" w:cs="Arial"/>
                <w:color w:val="000000"/>
                <w:sz w:val="17"/>
                <w:szCs w:val="17"/>
              </w:rPr>
              <w:t>38 </w:t>
            </w:r>
          </w:p>
        </w:tc>
        <w:tc>
          <w:tcPr>
            <w:tcW w:w="0" w:type="auto"/>
            <w:tcBorders>
              <w:top w:val="single" w:sz="8" w:space="0" w:color="808080"/>
            </w:tcBorders>
            <w:shd w:val="clear" w:color="auto" w:fill="auto"/>
            <w:tcMar>
              <w:top w:w="40" w:type="dxa"/>
              <w:bottom w:w="40" w:type="dxa"/>
              <w:right w:w="20" w:type="dxa"/>
            </w:tcMar>
            <w:vAlign w:val="bottom"/>
          </w:tcPr>
          <w:p w14:paraId="1D025149" w14:textId="77777777" w:rsidR="004421F6" w:rsidRDefault="004421F6">
            <w:pPr>
              <w:jc w:val="right"/>
              <w:rPr>
                <w:rFonts w:ascii="宋体"/>
              </w:rPr>
            </w:pPr>
          </w:p>
        </w:tc>
        <w:tc>
          <w:tcPr>
            <w:tcW w:w="0" w:type="auto"/>
            <w:shd w:val="clear" w:color="auto" w:fill="auto"/>
          </w:tcPr>
          <w:p w14:paraId="1D02514A" w14:textId="77777777" w:rsidR="004421F6" w:rsidRDefault="004421F6">
            <w:pPr>
              <w:rPr>
                <w:rFonts w:ascii="宋体"/>
              </w:rPr>
            </w:pPr>
          </w:p>
        </w:tc>
        <w:tc>
          <w:tcPr>
            <w:tcW w:w="0" w:type="auto"/>
            <w:shd w:val="clear" w:color="auto" w:fill="auto"/>
          </w:tcPr>
          <w:p w14:paraId="1D02514B" w14:textId="77777777" w:rsidR="004421F6" w:rsidRDefault="004421F6">
            <w:pPr>
              <w:rPr>
                <w:rFonts w:ascii="宋体"/>
              </w:rPr>
            </w:pPr>
          </w:p>
        </w:tc>
        <w:tc>
          <w:tcPr>
            <w:tcW w:w="0" w:type="auto"/>
            <w:shd w:val="clear" w:color="auto" w:fill="auto"/>
          </w:tcPr>
          <w:p w14:paraId="1D02514C" w14:textId="77777777" w:rsidR="004421F6" w:rsidRDefault="004421F6">
            <w:pPr>
              <w:rPr>
                <w:rFonts w:ascii="宋体"/>
              </w:rPr>
            </w:pPr>
          </w:p>
        </w:tc>
      </w:tr>
      <w:tr w:rsidR="004421F6" w14:paraId="1D025156"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4E" w14:textId="77777777" w:rsidR="004421F6" w:rsidRDefault="00F15622">
            <w:pPr>
              <w:textAlignment w:val="bottom"/>
            </w:pPr>
            <w:r>
              <w:rPr>
                <w:rFonts w:ascii="Arial" w:eastAsia="宋体" w:hAnsi="Arial" w:cs="Arial"/>
                <w:color w:val="000000"/>
                <w:sz w:val="17"/>
                <w:szCs w:val="17"/>
              </w:rPr>
              <w:t>Increase (decrease) in accounts payable, accrued liabilities, operating lease liabilities and other current and non-current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4F" w14:textId="77777777" w:rsidR="004421F6" w:rsidRDefault="00F15622">
            <w:pPr>
              <w:jc w:val="right"/>
              <w:textAlignment w:val="bottom"/>
            </w:pPr>
            <w:r>
              <w:rPr>
                <w:rFonts w:ascii="Arial" w:eastAsia="宋体" w:hAnsi="Arial" w:cs="Arial"/>
                <w:color w:val="000000"/>
                <w:sz w:val="17"/>
                <w:szCs w:val="17"/>
              </w:rPr>
              <w:t>(85)</w:t>
            </w:r>
          </w:p>
        </w:tc>
        <w:tc>
          <w:tcPr>
            <w:tcW w:w="0" w:type="auto"/>
            <w:tcBorders>
              <w:top w:val="single" w:sz="8" w:space="0" w:color="808080"/>
            </w:tcBorders>
            <w:shd w:val="clear" w:color="auto" w:fill="FFF1E7"/>
            <w:tcMar>
              <w:top w:w="40" w:type="dxa"/>
              <w:bottom w:w="40" w:type="dxa"/>
              <w:right w:w="20" w:type="dxa"/>
            </w:tcMar>
            <w:vAlign w:val="bottom"/>
          </w:tcPr>
          <w:p w14:paraId="1D025150"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51" w14:textId="77777777" w:rsidR="004421F6" w:rsidRDefault="00F15622">
            <w:pPr>
              <w:jc w:val="right"/>
              <w:textAlignment w:val="bottom"/>
            </w:pPr>
            <w:r>
              <w:rPr>
                <w:rFonts w:ascii="Arial" w:eastAsia="宋体" w:hAnsi="Arial" w:cs="Arial"/>
                <w:color w:val="000000"/>
                <w:sz w:val="17"/>
                <w:szCs w:val="17"/>
              </w:rPr>
              <w:t>(547)</w:t>
            </w:r>
          </w:p>
        </w:tc>
        <w:tc>
          <w:tcPr>
            <w:tcW w:w="0" w:type="auto"/>
            <w:tcBorders>
              <w:top w:val="single" w:sz="8" w:space="0" w:color="808080"/>
            </w:tcBorders>
            <w:shd w:val="clear" w:color="auto" w:fill="auto"/>
            <w:tcMar>
              <w:top w:w="40" w:type="dxa"/>
              <w:bottom w:w="40" w:type="dxa"/>
              <w:right w:w="20" w:type="dxa"/>
            </w:tcMar>
            <w:vAlign w:val="bottom"/>
          </w:tcPr>
          <w:p w14:paraId="1D025152" w14:textId="77777777" w:rsidR="004421F6" w:rsidRDefault="004421F6">
            <w:pPr>
              <w:jc w:val="right"/>
              <w:rPr>
                <w:rFonts w:ascii="宋体"/>
              </w:rPr>
            </w:pPr>
          </w:p>
        </w:tc>
        <w:tc>
          <w:tcPr>
            <w:tcW w:w="0" w:type="auto"/>
            <w:shd w:val="clear" w:color="auto" w:fill="auto"/>
          </w:tcPr>
          <w:p w14:paraId="1D025153" w14:textId="77777777" w:rsidR="004421F6" w:rsidRDefault="004421F6">
            <w:pPr>
              <w:rPr>
                <w:rFonts w:ascii="宋体"/>
              </w:rPr>
            </w:pPr>
          </w:p>
        </w:tc>
        <w:tc>
          <w:tcPr>
            <w:tcW w:w="0" w:type="auto"/>
            <w:shd w:val="clear" w:color="auto" w:fill="auto"/>
          </w:tcPr>
          <w:p w14:paraId="1D025154" w14:textId="77777777" w:rsidR="004421F6" w:rsidRDefault="004421F6">
            <w:pPr>
              <w:rPr>
                <w:rFonts w:ascii="宋体"/>
              </w:rPr>
            </w:pPr>
          </w:p>
        </w:tc>
        <w:tc>
          <w:tcPr>
            <w:tcW w:w="0" w:type="auto"/>
            <w:shd w:val="clear" w:color="auto" w:fill="auto"/>
          </w:tcPr>
          <w:p w14:paraId="1D025155" w14:textId="77777777" w:rsidR="004421F6" w:rsidRDefault="004421F6">
            <w:pPr>
              <w:rPr>
                <w:rFonts w:ascii="宋体"/>
              </w:rPr>
            </w:pPr>
          </w:p>
        </w:tc>
      </w:tr>
      <w:tr w:rsidR="004421F6" w14:paraId="1D02515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157" w14:textId="77777777" w:rsidR="004421F6" w:rsidRDefault="00F15622">
            <w:pPr>
              <w:textAlignment w:val="bottom"/>
            </w:pPr>
            <w:r>
              <w:rPr>
                <w:rFonts w:ascii="Arial" w:eastAsia="宋体" w:hAnsi="Arial" w:cs="Arial"/>
                <w:color w:val="000000"/>
                <w:sz w:val="17"/>
                <w:szCs w:val="17"/>
              </w:rPr>
              <w:t>Cash provided (used) by operations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158" w14:textId="77777777" w:rsidR="004421F6" w:rsidRDefault="00F15622">
            <w:pPr>
              <w:jc w:val="right"/>
              <w:textAlignment w:val="bottom"/>
            </w:pPr>
            <w:r>
              <w:rPr>
                <w:rFonts w:ascii="Arial" w:eastAsia="宋体" w:hAnsi="Arial" w:cs="Arial"/>
                <w:color w:val="000000"/>
                <w:sz w:val="17"/>
                <w:szCs w:val="17"/>
              </w:rPr>
              <w:t>882 </w:t>
            </w:r>
          </w:p>
        </w:tc>
        <w:tc>
          <w:tcPr>
            <w:tcW w:w="0" w:type="auto"/>
            <w:tcBorders>
              <w:top w:val="single" w:sz="8" w:space="0" w:color="E87722"/>
            </w:tcBorders>
            <w:shd w:val="clear" w:color="auto" w:fill="FFF1E7"/>
            <w:tcMar>
              <w:top w:w="40" w:type="dxa"/>
              <w:bottom w:w="40" w:type="dxa"/>
              <w:right w:w="20" w:type="dxa"/>
            </w:tcMar>
            <w:vAlign w:val="bottom"/>
          </w:tcPr>
          <w:p w14:paraId="1D025159"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15A" w14:textId="77777777" w:rsidR="004421F6" w:rsidRDefault="00F15622">
            <w:pPr>
              <w:jc w:val="right"/>
              <w:textAlignment w:val="bottom"/>
            </w:pPr>
            <w:r>
              <w:rPr>
                <w:rFonts w:ascii="Arial" w:eastAsia="宋体" w:hAnsi="Arial" w:cs="Arial"/>
                <w:color w:val="000000"/>
                <w:sz w:val="17"/>
                <w:szCs w:val="17"/>
              </w:rPr>
              <w:t>394 </w:t>
            </w:r>
          </w:p>
        </w:tc>
        <w:tc>
          <w:tcPr>
            <w:tcW w:w="0" w:type="auto"/>
            <w:tcBorders>
              <w:top w:val="single" w:sz="8" w:space="0" w:color="E87722"/>
            </w:tcBorders>
            <w:shd w:val="clear" w:color="auto" w:fill="auto"/>
            <w:tcMar>
              <w:top w:w="40" w:type="dxa"/>
              <w:bottom w:w="40" w:type="dxa"/>
              <w:right w:w="20" w:type="dxa"/>
            </w:tcMar>
            <w:vAlign w:val="bottom"/>
          </w:tcPr>
          <w:p w14:paraId="1D02515B" w14:textId="77777777" w:rsidR="004421F6" w:rsidRDefault="004421F6">
            <w:pPr>
              <w:jc w:val="right"/>
              <w:rPr>
                <w:rFonts w:ascii="宋体"/>
              </w:rPr>
            </w:pPr>
          </w:p>
        </w:tc>
        <w:tc>
          <w:tcPr>
            <w:tcW w:w="0" w:type="auto"/>
            <w:shd w:val="clear" w:color="auto" w:fill="auto"/>
          </w:tcPr>
          <w:p w14:paraId="1D02515C" w14:textId="77777777" w:rsidR="004421F6" w:rsidRDefault="004421F6">
            <w:pPr>
              <w:rPr>
                <w:rFonts w:ascii="宋体"/>
              </w:rPr>
            </w:pPr>
          </w:p>
        </w:tc>
        <w:tc>
          <w:tcPr>
            <w:tcW w:w="0" w:type="auto"/>
            <w:shd w:val="clear" w:color="auto" w:fill="auto"/>
          </w:tcPr>
          <w:p w14:paraId="1D02515D" w14:textId="77777777" w:rsidR="004421F6" w:rsidRDefault="004421F6">
            <w:pPr>
              <w:rPr>
                <w:rFonts w:ascii="宋体"/>
              </w:rPr>
            </w:pPr>
          </w:p>
        </w:tc>
        <w:tc>
          <w:tcPr>
            <w:tcW w:w="0" w:type="auto"/>
            <w:shd w:val="clear" w:color="auto" w:fill="auto"/>
          </w:tcPr>
          <w:p w14:paraId="1D02515E" w14:textId="77777777" w:rsidR="004421F6" w:rsidRDefault="004421F6">
            <w:pPr>
              <w:rPr>
                <w:rFonts w:ascii="宋体"/>
              </w:rPr>
            </w:pPr>
          </w:p>
        </w:tc>
      </w:tr>
      <w:tr w:rsidR="004421F6" w14:paraId="1D025166"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160" w14:textId="77777777" w:rsidR="004421F6" w:rsidRDefault="00F15622">
            <w:pPr>
              <w:textAlignment w:val="bottom"/>
            </w:pPr>
            <w:r>
              <w:rPr>
                <w:rFonts w:ascii="Arial" w:eastAsia="宋体" w:hAnsi="Arial" w:cs="Arial"/>
                <w:b/>
                <w:bCs/>
                <w:color w:val="000000"/>
                <w:sz w:val="17"/>
                <w:szCs w:val="17"/>
              </w:rPr>
              <w:t xml:space="preserve">Cash provided (used) by </w:t>
            </w:r>
            <w:r>
              <w:rPr>
                <w:rFonts w:ascii="Arial" w:eastAsia="宋体" w:hAnsi="Arial" w:cs="Arial"/>
                <w:b/>
                <w:bCs/>
                <w:color w:val="000000"/>
                <w:sz w:val="17"/>
                <w:szCs w:val="17"/>
              </w:rPr>
              <w:t>investing activities:</w:t>
            </w:r>
          </w:p>
        </w:tc>
        <w:tc>
          <w:tcPr>
            <w:tcW w:w="0" w:type="auto"/>
            <w:gridSpan w:val="3"/>
            <w:tcBorders>
              <w:top w:val="single" w:sz="8" w:space="0" w:color="808080"/>
            </w:tcBorders>
            <w:shd w:val="clear" w:color="auto" w:fill="FFF1E7"/>
            <w:tcMar>
              <w:left w:w="20" w:type="dxa"/>
              <w:right w:w="20" w:type="dxa"/>
            </w:tcMar>
            <w:vAlign w:val="bottom"/>
          </w:tcPr>
          <w:p w14:paraId="1D025161"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162" w14:textId="77777777" w:rsidR="004421F6" w:rsidRDefault="004421F6">
            <w:pPr>
              <w:rPr>
                <w:rFonts w:ascii="宋体"/>
              </w:rPr>
            </w:pPr>
          </w:p>
        </w:tc>
        <w:tc>
          <w:tcPr>
            <w:tcW w:w="0" w:type="auto"/>
            <w:shd w:val="clear" w:color="auto" w:fill="auto"/>
          </w:tcPr>
          <w:p w14:paraId="1D025163" w14:textId="77777777" w:rsidR="004421F6" w:rsidRDefault="004421F6">
            <w:pPr>
              <w:rPr>
                <w:rFonts w:ascii="宋体"/>
              </w:rPr>
            </w:pPr>
          </w:p>
        </w:tc>
        <w:tc>
          <w:tcPr>
            <w:tcW w:w="0" w:type="auto"/>
            <w:shd w:val="clear" w:color="auto" w:fill="auto"/>
          </w:tcPr>
          <w:p w14:paraId="1D025164" w14:textId="77777777" w:rsidR="004421F6" w:rsidRDefault="004421F6">
            <w:pPr>
              <w:rPr>
                <w:rFonts w:ascii="宋体"/>
              </w:rPr>
            </w:pPr>
          </w:p>
        </w:tc>
        <w:tc>
          <w:tcPr>
            <w:tcW w:w="0" w:type="auto"/>
            <w:shd w:val="clear" w:color="auto" w:fill="auto"/>
          </w:tcPr>
          <w:p w14:paraId="1D025165" w14:textId="77777777" w:rsidR="004421F6" w:rsidRDefault="004421F6">
            <w:pPr>
              <w:rPr>
                <w:rFonts w:ascii="宋体"/>
              </w:rPr>
            </w:pPr>
          </w:p>
        </w:tc>
      </w:tr>
      <w:tr w:rsidR="004421F6" w14:paraId="1D02516F"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67" w14:textId="77777777" w:rsidR="004421F6" w:rsidRDefault="00F15622">
            <w:pPr>
              <w:textAlignment w:val="bottom"/>
            </w:pPr>
            <w:r>
              <w:rPr>
                <w:rFonts w:ascii="Arial" w:eastAsia="宋体" w:hAnsi="Arial" w:cs="Arial"/>
                <w:color w:val="000000"/>
                <w:sz w:val="17"/>
                <w:szCs w:val="17"/>
              </w:rPr>
              <w:t>Purchases of short-term investments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68" w14:textId="77777777" w:rsidR="004421F6" w:rsidRDefault="00F15622">
            <w:pPr>
              <w:jc w:val="right"/>
              <w:textAlignment w:val="bottom"/>
            </w:pPr>
            <w:r>
              <w:rPr>
                <w:rFonts w:ascii="Arial" w:eastAsia="宋体" w:hAnsi="Arial" w:cs="Arial"/>
                <w:color w:val="000000"/>
                <w:sz w:val="17"/>
                <w:szCs w:val="17"/>
              </w:rPr>
              <w:t>(1,401)</w:t>
            </w:r>
          </w:p>
        </w:tc>
        <w:tc>
          <w:tcPr>
            <w:tcW w:w="0" w:type="auto"/>
            <w:tcBorders>
              <w:top w:val="single" w:sz="8" w:space="0" w:color="808080"/>
            </w:tcBorders>
            <w:shd w:val="clear" w:color="auto" w:fill="FFF1E7"/>
            <w:tcMar>
              <w:top w:w="40" w:type="dxa"/>
              <w:bottom w:w="40" w:type="dxa"/>
              <w:right w:w="20" w:type="dxa"/>
            </w:tcMar>
            <w:vAlign w:val="bottom"/>
          </w:tcPr>
          <w:p w14:paraId="1D025169"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6A" w14:textId="77777777" w:rsidR="004421F6" w:rsidRDefault="00F15622">
            <w:pPr>
              <w:jc w:val="right"/>
              <w:textAlignment w:val="bottom"/>
            </w:pPr>
            <w:r>
              <w:rPr>
                <w:rFonts w:ascii="Arial" w:eastAsia="宋体" w:hAnsi="Arial" w:cs="Arial"/>
                <w:color w:val="000000"/>
                <w:sz w:val="17"/>
                <w:szCs w:val="17"/>
              </w:rPr>
              <w:t>(504)</w:t>
            </w:r>
          </w:p>
        </w:tc>
        <w:tc>
          <w:tcPr>
            <w:tcW w:w="0" w:type="auto"/>
            <w:tcBorders>
              <w:top w:val="single" w:sz="8" w:space="0" w:color="808080"/>
            </w:tcBorders>
            <w:shd w:val="clear" w:color="auto" w:fill="auto"/>
            <w:tcMar>
              <w:top w:w="40" w:type="dxa"/>
              <w:bottom w:w="40" w:type="dxa"/>
              <w:right w:w="20" w:type="dxa"/>
            </w:tcMar>
            <w:vAlign w:val="bottom"/>
          </w:tcPr>
          <w:p w14:paraId="1D02516B" w14:textId="77777777" w:rsidR="004421F6" w:rsidRDefault="004421F6">
            <w:pPr>
              <w:jc w:val="right"/>
              <w:rPr>
                <w:rFonts w:ascii="宋体"/>
              </w:rPr>
            </w:pPr>
          </w:p>
        </w:tc>
        <w:tc>
          <w:tcPr>
            <w:tcW w:w="0" w:type="auto"/>
            <w:shd w:val="clear" w:color="auto" w:fill="auto"/>
          </w:tcPr>
          <w:p w14:paraId="1D02516C" w14:textId="77777777" w:rsidR="004421F6" w:rsidRDefault="004421F6">
            <w:pPr>
              <w:rPr>
                <w:rFonts w:ascii="宋体"/>
              </w:rPr>
            </w:pPr>
          </w:p>
        </w:tc>
        <w:tc>
          <w:tcPr>
            <w:tcW w:w="0" w:type="auto"/>
            <w:shd w:val="clear" w:color="auto" w:fill="auto"/>
          </w:tcPr>
          <w:p w14:paraId="1D02516D" w14:textId="77777777" w:rsidR="004421F6" w:rsidRDefault="004421F6">
            <w:pPr>
              <w:rPr>
                <w:rFonts w:ascii="宋体"/>
              </w:rPr>
            </w:pPr>
          </w:p>
        </w:tc>
        <w:tc>
          <w:tcPr>
            <w:tcW w:w="0" w:type="auto"/>
            <w:shd w:val="clear" w:color="auto" w:fill="auto"/>
          </w:tcPr>
          <w:p w14:paraId="1D02516E" w14:textId="77777777" w:rsidR="004421F6" w:rsidRDefault="004421F6">
            <w:pPr>
              <w:rPr>
                <w:rFonts w:ascii="宋体"/>
              </w:rPr>
            </w:pPr>
          </w:p>
        </w:tc>
      </w:tr>
      <w:tr w:rsidR="004421F6" w14:paraId="1D025178"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70" w14:textId="77777777" w:rsidR="004421F6" w:rsidRDefault="00F15622">
            <w:pPr>
              <w:textAlignment w:val="bottom"/>
            </w:pPr>
            <w:r>
              <w:rPr>
                <w:rFonts w:ascii="Arial" w:eastAsia="宋体" w:hAnsi="Arial" w:cs="Arial"/>
                <w:color w:val="000000"/>
                <w:sz w:val="17"/>
                <w:szCs w:val="17"/>
              </w:rPr>
              <w:t>Maturities of short-term investments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71" w14:textId="77777777" w:rsidR="004421F6" w:rsidRDefault="00F15622">
            <w:pPr>
              <w:jc w:val="right"/>
              <w:textAlignment w:val="bottom"/>
            </w:pPr>
            <w:r>
              <w:rPr>
                <w:rFonts w:ascii="Arial" w:eastAsia="宋体" w:hAnsi="Arial" w:cs="Arial"/>
                <w:color w:val="000000"/>
                <w:sz w:val="17"/>
                <w:szCs w:val="17"/>
              </w:rPr>
              <w:t>302 </w:t>
            </w:r>
          </w:p>
        </w:tc>
        <w:tc>
          <w:tcPr>
            <w:tcW w:w="0" w:type="auto"/>
            <w:tcBorders>
              <w:top w:val="single" w:sz="8" w:space="0" w:color="808080"/>
            </w:tcBorders>
            <w:shd w:val="clear" w:color="auto" w:fill="FFF1E7"/>
            <w:tcMar>
              <w:top w:w="40" w:type="dxa"/>
              <w:bottom w:w="40" w:type="dxa"/>
              <w:right w:w="20" w:type="dxa"/>
            </w:tcMar>
            <w:vAlign w:val="bottom"/>
          </w:tcPr>
          <w:p w14:paraId="1D025172"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73" w14:textId="77777777" w:rsidR="004421F6" w:rsidRDefault="00F1562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bottom w:w="40" w:type="dxa"/>
              <w:right w:w="20" w:type="dxa"/>
            </w:tcMar>
            <w:vAlign w:val="bottom"/>
          </w:tcPr>
          <w:p w14:paraId="1D025174" w14:textId="77777777" w:rsidR="004421F6" w:rsidRDefault="004421F6">
            <w:pPr>
              <w:jc w:val="right"/>
              <w:rPr>
                <w:rFonts w:ascii="宋体"/>
              </w:rPr>
            </w:pPr>
          </w:p>
        </w:tc>
        <w:tc>
          <w:tcPr>
            <w:tcW w:w="0" w:type="auto"/>
            <w:shd w:val="clear" w:color="auto" w:fill="auto"/>
          </w:tcPr>
          <w:p w14:paraId="1D025175" w14:textId="77777777" w:rsidR="004421F6" w:rsidRDefault="004421F6">
            <w:pPr>
              <w:rPr>
                <w:rFonts w:ascii="宋体"/>
              </w:rPr>
            </w:pPr>
          </w:p>
        </w:tc>
        <w:tc>
          <w:tcPr>
            <w:tcW w:w="0" w:type="auto"/>
            <w:shd w:val="clear" w:color="auto" w:fill="auto"/>
          </w:tcPr>
          <w:p w14:paraId="1D025176" w14:textId="77777777" w:rsidR="004421F6" w:rsidRDefault="004421F6">
            <w:pPr>
              <w:rPr>
                <w:rFonts w:ascii="宋体"/>
              </w:rPr>
            </w:pPr>
          </w:p>
        </w:tc>
        <w:tc>
          <w:tcPr>
            <w:tcW w:w="0" w:type="auto"/>
            <w:shd w:val="clear" w:color="auto" w:fill="auto"/>
          </w:tcPr>
          <w:p w14:paraId="1D025177" w14:textId="77777777" w:rsidR="004421F6" w:rsidRDefault="004421F6">
            <w:pPr>
              <w:rPr>
                <w:rFonts w:ascii="宋体"/>
              </w:rPr>
            </w:pPr>
          </w:p>
        </w:tc>
      </w:tr>
      <w:tr w:rsidR="004421F6" w14:paraId="1D025181"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79" w14:textId="77777777" w:rsidR="004421F6" w:rsidRDefault="00F15622">
            <w:pPr>
              <w:textAlignment w:val="bottom"/>
            </w:pPr>
            <w:r>
              <w:rPr>
                <w:rFonts w:ascii="Arial" w:eastAsia="宋体" w:hAnsi="Arial" w:cs="Arial"/>
                <w:color w:val="000000"/>
                <w:sz w:val="17"/>
                <w:szCs w:val="17"/>
              </w:rPr>
              <w:t>Sales of short-term investments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7A" w14:textId="77777777" w:rsidR="004421F6" w:rsidRDefault="00F15622">
            <w:pPr>
              <w:jc w:val="right"/>
              <w:textAlignment w:val="bottom"/>
            </w:pPr>
            <w:r>
              <w:rPr>
                <w:rFonts w:ascii="Arial" w:eastAsia="宋体" w:hAnsi="Arial" w:cs="Arial"/>
                <w:color w:val="000000"/>
                <w:sz w:val="17"/>
                <w:szCs w:val="17"/>
              </w:rPr>
              <w:t>384 </w:t>
            </w:r>
          </w:p>
        </w:tc>
        <w:tc>
          <w:tcPr>
            <w:tcW w:w="0" w:type="auto"/>
            <w:tcBorders>
              <w:top w:val="single" w:sz="8" w:space="0" w:color="808080"/>
            </w:tcBorders>
            <w:shd w:val="clear" w:color="auto" w:fill="FFF1E7"/>
            <w:tcMar>
              <w:top w:w="40" w:type="dxa"/>
              <w:bottom w:w="40" w:type="dxa"/>
              <w:right w:w="20" w:type="dxa"/>
            </w:tcMar>
            <w:vAlign w:val="bottom"/>
          </w:tcPr>
          <w:p w14:paraId="1D02517B"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7C" w14:textId="77777777" w:rsidR="004421F6" w:rsidRDefault="00F15622">
            <w:pPr>
              <w:jc w:val="right"/>
              <w:textAlignment w:val="bottom"/>
            </w:pPr>
            <w:r>
              <w:rPr>
                <w:rFonts w:ascii="Arial" w:eastAsia="宋体" w:hAnsi="Arial" w:cs="Arial"/>
                <w:color w:val="000000"/>
                <w:sz w:val="17"/>
                <w:szCs w:val="17"/>
              </w:rPr>
              <w:t>533 </w:t>
            </w:r>
          </w:p>
        </w:tc>
        <w:tc>
          <w:tcPr>
            <w:tcW w:w="0" w:type="auto"/>
            <w:tcBorders>
              <w:top w:val="single" w:sz="8" w:space="0" w:color="808080"/>
            </w:tcBorders>
            <w:shd w:val="clear" w:color="auto" w:fill="auto"/>
            <w:tcMar>
              <w:top w:w="40" w:type="dxa"/>
              <w:bottom w:w="40" w:type="dxa"/>
              <w:right w:w="20" w:type="dxa"/>
            </w:tcMar>
            <w:vAlign w:val="bottom"/>
          </w:tcPr>
          <w:p w14:paraId="1D02517D" w14:textId="77777777" w:rsidR="004421F6" w:rsidRDefault="004421F6">
            <w:pPr>
              <w:jc w:val="right"/>
              <w:rPr>
                <w:rFonts w:ascii="宋体"/>
              </w:rPr>
            </w:pPr>
          </w:p>
        </w:tc>
        <w:tc>
          <w:tcPr>
            <w:tcW w:w="0" w:type="auto"/>
            <w:shd w:val="clear" w:color="auto" w:fill="auto"/>
          </w:tcPr>
          <w:p w14:paraId="1D02517E" w14:textId="77777777" w:rsidR="004421F6" w:rsidRDefault="004421F6">
            <w:pPr>
              <w:rPr>
                <w:rFonts w:ascii="宋体"/>
              </w:rPr>
            </w:pPr>
          </w:p>
        </w:tc>
        <w:tc>
          <w:tcPr>
            <w:tcW w:w="0" w:type="auto"/>
            <w:shd w:val="clear" w:color="auto" w:fill="auto"/>
          </w:tcPr>
          <w:p w14:paraId="1D02517F" w14:textId="77777777" w:rsidR="004421F6" w:rsidRDefault="004421F6">
            <w:pPr>
              <w:rPr>
                <w:rFonts w:ascii="宋体"/>
              </w:rPr>
            </w:pPr>
          </w:p>
        </w:tc>
        <w:tc>
          <w:tcPr>
            <w:tcW w:w="0" w:type="auto"/>
            <w:shd w:val="clear" w:color="auto" w:fill="auto"/>
          </w:tcPr>
          <w:p w14:paraId="1D025180" w14:textId="77777777" w:rsidR="004421F6" w:rsidRDefault="004421F6">
            <w:pPr>
              <w:rPr>
                <w:rFonts w:ascii="宋体"/>
              </w:rPr>
            </w:pPr>
          </w:p>
        </w:tc>
      </w:tr>
      <w:tr w:rsidR="004421F6" w14:paraId="1D02518A"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82" w14:textId="77777777" w:rsidR="004421F6" w:rsidRDefault="00F15622">
            <w:pPr>
              <w:textAlignment w:val="bottom"/>
            </w:pPr>
            <w:r>
              <w:rPr>
                <w:rFonts w:ascii="Arial" w:eastAsia="宋体" w:hAnsi="Arial" w:cs="Arial"/>
                <w:color w:val="000000"/>
                <w:sz w:val="17"/>
                <w:szCs w:val="17"/>
              </w:rPr>
              <w:t>Additions to property, plant and 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83" w14:textId="77777777" w:rsidR="004421F6" w:rsidRDefault="00F15622">
            <w:pPr>
              <w:jc w:val="right"/>
              <w:textAlignment w:val="bottom"/>
            </w:pPr>
            <w:r>
              <w:rPr>
                <w:rFonts w:ascii="Arial" w:eastAsia="宋体" w:hAnsi="Arial" w:cs="Arial"/>
                <w:color w:val="000000"/>
                <w:sz w:val="17"/>
                <w:szCs w:val="17"/>
              </w:rPr>
              <w:t>(176)</w:t>
            </w:r>
          </w:p>
        </w:tc>
        <w:tc>
          <w:tcPr>
            <w:tcW w:w="0" w:type="auto"/>
            <w:tcBorders>
              <w:top w:val="single" w:sz="8" w:space="0" w:color="808080"/>
            </w:tcBorders>
            <w:shd w:val="clear" w:color="auto" w:fill="FFF1E7"/>
            <w:tcMar>
              <w:top w:w="40" w:type="dxa"/>
              <w:bottom w:w="40" w:type="dxa"/>
              <w:right w:w="20" w:type="dxa"/>
            </w:tcMar>
            <w:vAlign w:val="bottom"/>
          </w:tcPr>
          <w:p w14:paraId="1D025184"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85" w14:textId="77777777" w:rsidR="004421F6" w:rsidRDefault="00F15622">
            <w:pPr>
              <w:jc w:val="right"/>
              <w:textAlignment w:val="bottom"/>
            </w:pPr>
            <w:r>
              <w:rPr>
                <w:rFonts w:ascii="Arial" w:eastAsia="宋体" w:hAnsi="Arial" w:cs="Arial"/>
                <w:color w:val="000000"/>
                <w:sz w:val="17"/>
                <w:szCs w:val="17"/>
              </w:rPr>
              <w:t>(284)</w:t>
            </w:r>
          </w:p>
        </w:tc>
        <w:tc>
          <w:tcPr>
            <w:tcW w:w="0" w:type="auto"/>
            <w:tcBorders>
              <w:top w:val="single" w:sz="8" w:space="0" w:color="808080"/>
            </w:tcBorders>
            <w:shd w:val="clear" w:color="auto" w:fill="auto"/>
            <w:tcMar>
              <w:top w:w="40" w:type="dxa"/>
              <w:bottom w:w="40" w:type="dxa"/>
              <w:right w:w="20" w:type="dxa"/>
            </w:tcMar>
            <w:vAlign w:val="bottom"/>
          </w:tcPr>
          <w:p w14:paraId="1D025186" w14:textId="77777777" w:rsidR="004421F6" w:rsidRDefault="004421F6">
            <w:pPr>
              <w:jc w:val="right"/>
              <w:rPr>
                <w:rFonts w:ascii="宋体"/>
              </w:rPr>
            </w:pPr>
          </w:p>
        </w:tc>
        <w:tc>
          <w:tcPr>
            <w:tcW w:w="0" w:type="auto"/>
            <w:shd w:val="clear" w:color="auto" w:fill="auto"/>
          </w:tcPr>
          <w:p w14:paraId="1D025187" w14:textId="77777777" w:rsidR="004421F6" w:rsidRDefault="004421F6">
            <w:pPr>
              <w:rPr>
                <w:rFonts w:ascii="宋体"/>
              </w:rPr>
            </w:pPr>
          </w:p>
        </w:tc>
        <w:tc>
          <w:tcPr>
            <w:tcW w:w="0" w:type="auto"/>
            <w:shd w:val="clear" w:color="auto" w:fill="auto"/>
          </w:tcPr>
          <w:p w14:paraId="1D025188" w14:textId="77777777" w:rsidR="004421F6" w:rsidRDefault="004421F6">
            <w:pPr>
              <w:rPr>
                <w:rFonts w:ascii="宋体"/>
              </w:rPr>
            </w:pPr>
          </w:p>
        </w:tc>
        <w:tc>
          <w:tcPr>
            <w:tcW w:w="0" w:type="auto"/>
            <w:shd w:val="clear" w:color="auto" w:fill="auto"/>
          </w:tcPr>
          <w:p w14:paraId="1D025189" w14:textId="77777777" w:rsidR="004421F6" w:rsidRDefault="004421F6">
            <w:pPr>
              <w:rPr>
                <w:rFonts w:ascii="宋体"/>
              </w:rPr>
            </w:pPr>
          </w:p>
        </w:tc>
      </w:tr>
      <w:tr w:rsidR="004421F6" w14:paraId="1D025193"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8B" w14:textId="77777777" w:rsidR="004421F6" w:rsidRDefault="00F15622">
            <w:pPr>
              <w:textAlignment w:val="bottom"/>
            </w:pPr>
            <w:r>
              <w:rPr>
                <w:rFonts w:ascii="Arial" w:eastAsia="宋体" w:hAnsi="Arial" w:cs="Arial"/>
                <w:color w:val="000000"/>
                <w:sz w:val="17"/>
                <w:szCs w:val="17"/>
              </w:rPr>
              <w:t xml:space="preserve">Other </w:t>
            </w:r>
            <w:r>
              <w:rPr>
                <w:rFonts w:ascii="Arial" w:eastAsia="宋体" w:hAnsi="Arial" w:cs="Arial"/>
                <w:color w:val="000000"/>
                <w:sz w:val="17"/>
                <w:szCs w:val="17"/>
              </w:rPr>
              <w:t>investing activities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8C" w14:textId="77777777" w:rsidR="004421F6" w:rsidRDefault="00F1562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FFF1E7"/>
            <w:tcMar>
              <w:top w:w="40" w:type="dxa"/>
              <w:bottom w:w="40" w:type="dxa"/>
              <w:right w:w="20" w:type="dxa"/>
            </w:tcMar>
            <w:vAlign w:val="bottom"/>
          </w:tcPr>
          <w:p w14:paraId="1D02518D"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8E" w14:textId="77777777" w:rsidR="004421F6" w:rsidRDefault="00F15622">
            <w:pPr>
              <w:jc w:val="right"/>
              <w:textAlignment w:val="bottom"/>
            </w:pPr>
            <w:r>
              <w:rPr>
                <w:rFonts w:ascii="Arial" w:eastAsia="宋体" w:hAnsi="Arial" w:cs="Arial"/>
                <w:color w:val="000000"/>
                <w:sz w:val="17"/>
                <w:szCs w:val="17"/>
              </w:rPr>
              <w:t>(109)</w:t>
            </w:r>
          </w:p>
        </w:tc>
        <w:tc>
          <w:tcPr>
            <w:tcW w:w="0" w:type="auto"/>
            <w:tcBorders>
              <w:top w:val="single" w:sz="8" w:space="0" w:color="808080"/>
            </w:tcBorders>
            <w:shd w:val="clear" w:color="auto" w:fill="auto"/>
            <w:tcMar>
              <w:top w:w="40" w:type="dxa"/>
              <w:bottom w:w="40" w:type="dxa"/>
              <w:right w:w="20" w:type="dxa"/>
            </w:tcMar>
            <w:vAlign w:val="bottom"/>
          </w:tcPr>
          <w:p w14:paraId="1D02518F" w14:textId="77777777" w:rsidR="004421F6" w:rsidRDefault="004421F6">
            <w:pPr>
              <w:jc w:val="right"/>
              <w:rPr>
                <w:rFonts w:ascii="宋体"/>
              </w:rPr>
            </w:pPr>
          </w:p>
        </w:tc>
        <w:tc>
          <w:tcPr>
            <w:tcW w:w="0" w:type="auto"/>
            <w:shd w:val="clear" w:color="auto" w:fill="auto"/>
          </w:tcPr>
          <w:p w14:paraId="1D025190" w14:textId="77777777" w:rsidR="004421F6" w:rsidRDefault="004421F6">
            <w:pPr>
              <w:rPr>
                <w:rFonts w:ascii="宋体"/>
              </w:rPr>
            </w:pPr>
          </w:p>
        </w:tc>
        <w:tc>
          <w:tcPr>
            <w:tcW w:w="0" w:type="auto"/>
            <w:shd w:val="clear" w:color="auto" w:fill="auto"/>
          </w:tcPr>
          <w:p w14:paraId="1D025191" w14:textId="77777777" w:rsidR="004421F6" w:rsidRDefault="004421F6">
            <w:pPr>
              <w:rPr>
                <w:rFonts w:ascii="宋体"/>
              </w:rPr>
            </w:pPr>
          </w:p>
        </w:tc>
        <w:tc>
          <w:tcPr>
            <w:tcW w:w="0" w:type="auto"/>
            <w:shd w:val="clear" w:color="auto" w:fill="auto"/>
          </w:tcPr>
          <w:p w14:paraId="1D025192" w14:textId="77777777" w:rsidR="004421F6" w:rsidRDefault="004421F6">
            <w:pPr>
              <w:rPr>
                <w:rFonts w:ascii="宋体"/>
              </w:rPr>
            </w:pPr>
          </w:p>
        </w:tc>
      </w:tr>
      <w:tr w:rsidR="004421F6" w14:paraId="1D02519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194" w14:textId="77777777" w:rsidR="004421F6" w:rsidRDefault="00F15622">
            <w:pPr>
              <w:textAlignment w:val="bottom"/>
            </w:pPr>
            <w:r>
              <w:rPr>
                <w:rFonts w:ascii="Arial" w:eastAsia="宋体" w:hAnsi="Arial" w:cs="Arial"/>
                <w:color w:val="000000"/>
                <w:sz w:val="17"/>
                <w:szCs w:val="17"/>
              </w:rPr>
              <w:t>Cash provided (used) by investing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195" w14:textId="77777777" w:rsidR="004421F6" w:rsidRDefault="00F15622">
            <w:pPr>
              <w:jc w:val="right"/>
              <w:textAlignment w:val="bottom"/>
            </w:pPr>
            <w:r>
              <w:rPr>
                <w:rFonts w:ascii="Arial" w:eastAsia="宋体" w:hAnsi="Arial" w:cs="Arial"/>
                <w:color w:val="000000"/>
                <w:sz w:val="17"/>
                <w:szCs w:val="17"/>
              </w:rPr>
              <w:t>(889)</w:t>
            </w:r>
          </w:p>
        </w:tc>
        <w:tc>
          <w:tcPr>
            <w:tcW w:w="0" w:type="auto"/>
            <w:tcBorders>
              <w:top w:val="single" w:sz="8" w:space="0" w:color="E87722"/>
            </w:tcBorders>
            <w:shd w:val="clear" w:color="auto" w:fill="FFF1E7"/>
            <w:tcMar>
              <w:top w:w="40" w:type="dxa"/>
              <w:bottom w:w="40" w:type="dxa"/>
              <w:right w:w="20" w:type="dxa"/>
            </w:tcMar>
            <w:vAlign w:val="bottom"/>
          </w:tcPr>
          <w:p w14:paraId="1D025196"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197" w14:textId="77777777" w:rsidR="004421F6" w:rsidRDefault="00F15622">
            <w:pPr>
              <w:jc w:val="right"/>
              <w:textAlignment w:val="bottom"/>
            </w:pPr>
            <w:r>
              <w:rPr>
                <w:rFonts w:ascii="Arial" w:eastAsia="宋体" w:hAnsi="Arial" w:cs="Arial"/>
                <w:color w:val="000000"/>
                <w:sz w:val="17"/>
                <w:szCs w:val="17"/>
              </w:rPr>
              <w:t>(348)</w:t>
            </w:r>
          </w:p>
        </w:tc>
        <w:tc>
          <w:tcPr>
            <w:tcW w:w="0" w:type="auto"/>
            <w:tcBorders>
              <w:top w:val="single" w:sz="8" w:space="0" w:color="E87722"/>
            </w:tcBorders>
            <w:shd w:val="clear" w:color="auto" w:fill="auto"/>
            <w:tcMar>
              <w:top w:w="40" w:type="dxa"/>
              <w:bottom w:w="40" w:type="dxa"/>
              <w:right w:w="20" w:type="dxa"/>
            </w:tcMar>
            <w:vAlign w:val="bottom"/>
          </w:tcPr>
          <w:p w14:paraId="1D025198" w14:textId="77777777" w:rsidR="004421F6" w:rsidRDefault="004421F6">
            <w:pPr>
              <w:jc w:val="right"/>
              <w:rPr>
                <w:rFonts w:ascii="宋体"/>
              </w:rPr>
            </w:pPr>
          </w:p>
        </w:tc>
        <w:tc>
          <w:tcPr>
            <w:tcW w:w="0" w:type="auto"/>
            <w:shd w:val="clear" w:color="auto" w:fill="auto"/>
          </w:tcPr>
          <w:p w14:paraId="1D025199" w14:textId="77777777" w:rsidR="004421F6" w:rsidRDefault="004421F6">
            <w:pPr>
              <w:rPr>
                <w:rFonts w:ascii="宋体"/>
              </w:rPr>
            </w:pPr>
          </w:p>
        </w:tc>
        <w:tc>
          <w:tcPr>
            <w:tcW w:w="0" w:type="auto"/>
            <w:shd w:val="clear" w:color="auto" w:fill="auto"/>
          </w:tcPr>
          <w:p w14:paraId="1D02519A" w14:textId="77777777" w:rsidR="004421F6" w:rsidRDefault="004421F6">
            <w:pPr>
              <w:rPr>
                <w:rFonts w:ascii="宋体"/>
              </w:rPr>
            </w:pPr>
          </w:p>
        </w:tc>
        <w:tc>
          <w:tcPr>
            <w:tcW w:w="0" w:type="auto"/>
            <w:shd w:val="clear" w:color="auto" w:fill="auto"/>
          </w:tcPr>
          <w:p w14:paraId="1D02519B" w14:textId="77777777" w:rsidR="004421F6" w:rsidRDefault="004421F6">
            <w:pPr>
              <w:rPr>
                <w:rFonts w:ascii="宋体"/>
              </w:rPr>
            </w:pPr>
          </w:p>
        </w:tc>
      </w:tr>
      <w:tr w:rsidR="004421F6" w14:paraId="1D0251A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19D" w14:textId="77777777" w:rsidR="004421F6" w:rsidRDefault="00F15622">
            <w:pPr>
              <w:textAlignment w:val="bottom"/>
            </w:pPr>
            <w:r>
              <w:rPr>
                <w:rFonts w:ascii="Arial" w:eastAsia="宋体" w:hAnsi="Arial" w:cs="Arial"/>
                <w:b/>
                <w:bCs/>
                <w:color w:val="000000"/>
                <w:sz w:val="17"/>
                <w:szCs w:val="17"/>
              </w:rPr>
              <w:t>Cash provided (used) by financing activities:</w:t>
            </w:r>
          </w:p>
        </w:tc>
        <w:tc>
          <w:tcPr>
            <w:tcW w:w="0" w:type="auto"/>
            <w:gridSpan w:val="3"/>
            <w:tcBorders>
              <w:top w:val="single" w:sz="8" w:space="0" w:color="808080"/>
            </w:tcBorders>
            <w:shd w:val="clear" w:color="auto" w:fill="FFF1E7"/>
            <w:tcMar>
              <w:left w:w="20" w:type="dxa"/>
              <w:right w:w="20" w:type="dxa"/>
            </w:tcMar>
            <w:vAlign w:val="bottom"/>
          </w:tcPr>
          <w:p w14:paraId="1D02519E"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19F" w14:textId="77777777" w:rsidR="004421F6" w:rsidRDefault="004421F6">
            <w:pPr>
              <w:rPr>
                <w:rFonts w:ascii="宋体"/>
              </w:rPr>
            </w:pPr>
          </w:p>
        </w:tc>
        <w:tc>
          <w:tcPr>
            <w:tcW w:w="0" w:type="auto"/>
            <w:shd w:val="clear" w:color="auto" w:fill="auto"/>
          </w:tcPr>
          <w:p w14:paraId="1D0251A0" w14:textId="77777777" w:rsidR="004421F6" w:rsidRDefault="004421F6">
            <w:pPr>
              <w:rPr>
                <w:rFonts w:ascii="宋体"/>
              </w:rPr>
            </w:pPr>
          </w:p>
        </w:tc>
        <w:tc>
          <w:tcPr>
            <w:tcW w:w="0" w:type="auto"/>
            <w:shd w:val="clear" w:color="auto" w:fill="auto"/>
          </w:tcPr>
          <w:p w14:paraId="1D0251A1" w14:textId="77777777" w:rsidR="004421F6" w:rsidRDefault="004421F6">
            <w:pPr>
              <w:rPr>
                <w:rFonts w:ascii="宋体"/>
              </w:rPr>
            </w:pPr>
          </w:p>
        </w:tc>
        <w:tc>
          <w:tcPr>
            <w:tcW w:w="0" w:type="auto"/>
            <w:shd w:val="clear" w:color="auto" w:fill="auto"/>
          </w:tcPr>
          <w:p w14:paraId="1D0251A2" w14:textId="77777777" w:rsidR="004421F6" w:rsidRDefault="004421F6">
            <w:pPr>
              <w:rPr>
                <w:rFonts w:ascii="宋体"/>
              </w:rPr>
            </w:pPr>
          </w:p>
        </w:tc>
      </w:tr>
      <w:tr w:rsidR="004421F6" w14:paraId="1D0251AC"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A4" w14:textId="77777777" w:rsidR="004421F6" w:rsidRDefault="00F15622">
            <w:pPr>
              <w:textAlignment w:val="bottom"/>
            </w:pPr>
            <w:r>
              <w:rPr>
                <w:rFonts w:ascii="Arial" w:eastAsia="宋体" w:hAnsi="Arial" w:cs="Arial"/>
                <w:color w:val="000000"/>
                <w:sz w:val="17"/>
                <w:szCs w:val="17"/>
              </w:rPr>
              <w:t>Increase (decrease) in notes payable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A5" w14:textId="77777777" w:rsidR="004421F6" w:rsidRDefault="00F15622">
            <w:pPr>
              <w:jc w:val="right"/>
              <w:textAlignment w:val="bottom"/>
            </w:pPr>
            <w:r>
              <w:rPr>
                <w:rFonts w:ascii="Arial" w:eastAsia="宋体" w:hAnsi="Arial" w:cs="Arial"/>
                <w:color w:val="000000"/>
                <w:sz w:val="17"/>
                <w:szCs w:val="17"/>
              </w:rPr>
              <w:t>(30)</w:t>
            </w:r>
          </w:p>
        </w:tc>
        <w:tc>
          <w:tcPr>
            <w:tcW w:w="0" w:type="auto"/>
            <w:tcBorders>
              <w:top w:val="single" w:sz="8" w:space="0" w:color="808080"/>
            </w:tcBorders>
            <w:shd w:val="clear" w:color="auto" w:fill="FFF1E7"/>
            <w:tcMar>
              <w:top w:w="40" w:type="dxa"/>
              <w:bottom w:w="40" w:type="dxa"/>
              <w:right w:w="20" w:type="dxa"/>
            </w:tcMar>
            <w:vAlign w:val="bottom"/>
          </w:tcPr>
          <w:p w14:paraId="1D0251A6"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A7" w14:textId="77777777" w:rsidR="004421F6" w:rsidRDefault="00F15622">
            <w:pPr>
              <w:jc w:val="right"/>
              <w:textAlignment w:val="bottom"/>
            </w:pPr>
            <w:r>
              <w:rPr>
                <w:rFonts w:ascii="Arial" w:eastAsia="宋体" w:hAnsi="Arial" w:cs="Arial"/>
                <w:color w:val="000000"/>
                <w:sz w:val="17"/>
                <w:szCs w:val="17"/>
              </w:rPr>
              <w:t>241 </w:t>
            </w:r>
          </w:p>
        </w:tc>
        <w:tc>
          <w:tcPr>
            <w:tcW w:w="0" w:type="auto"/>
            <w:tcBorders>
              <w:top w:val="single" w:sz="8" w:space="0" w:color="808080"/>
            </w:tcBorders>
            <w:shd w:val="clear" w:color="auto" w:fill="auto"/>
            <w:tcMar>
              <w:top w:w="40" w:type="dxa"/>
              <w:bottom w:w="40" w:type="dxa"/>
              <w:right w:w="20" w:type="dxa"/>
            </w:tcMar>
            <w:vAlign w:val="bottom"/>
          </w:tcPr>
          <w:p w14:paraId="1D0251A8" w14:textId="77777777" w:rsidR="004421F6" w:rsidRDefault="004421F6">
            <w:pPr>
              <w:jc w:val="right"/>
              <w:rPr>
                <w:rFonts w:ascii="宋体"/>
              </w:rPr>
            </w:pPr>
          </w:p>
        </w:tc>
        <w:tc>
          <w:tcPr>
            <w:tcW w:w="0" w:type="auto"/>
            <w:shd w:val="clear" w:color="auto" w:fill="auto"/>
          </w:tcPr>
          <w:p w14:paraId="1D0251A9" w14:textId="77777777" w:rsidR="004421F6" w:rsidRDefault="004421F6">
            <w:pPr>
              <w:rPr>
                <w:rFonts w:ascii="宋体"/>
              </w:rPr>
            </w:pPr>
          </w:p>
        </w:tc>
        <w:tc>
          <w:tcPr>
            <w:tcW w:w="0" w:type="auto"/>
            <w:shd w:val="clear" w:color="auto" w:fill="auto"/>
          </w:tcPr>
          <w:p w14:paraId="1D0251AA" w14:textId="77777777" w:rsidR="004421F6" w:rsidRDefault="004421F6">
            <w:pPr>
              <w:rPr>
                <w:rFonts w:ascii="宋体"/>
              </w:rPr>
            </w:pPr>
          </w:p>
        </w:tc>
        <w:tc>
          <w:tcPr>
            <w:tcW w:w="0" w:type="auto"/>
            <w:shd w:val="clear" w:color="auto" w:fill="auto"/>
          </w:tcPr>
          <w:p w14:paraId="1D0251AB" w14:textId="77777777" w:rsidR="004421F6" w:rsidRDefault="004421F6">
            <w:pPr>
              <w:rPr>
                <w:rFonts w:ascii="宋体"/>
              </w:rPr>
            </w:pPr>
          </w:p>
        </w:tc>
      </w:tr>
      <w:tr w:rsidR="004421F6" w14:paraId="1D0251B5"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AD" w14:textId="77777777" w:rsidR="004421F6" w:rsidRDefault="00F15622">
            <w:pPr>
              <w:textAlignment w:val="bottom"/>
            </w:pPr>
            <w:r>
              <w:rPr>
                <w:rFonts w:ascii="Arial" w:eastAsia="宋体" w:hAnsi="Arial" w:cs="Arial"/>
                <w:color w:val="000000"/>
                <w:sz w:val="17"/>
                <w:szCs w:val="17"/>
              </w:rPr>
              <w:t>Repayment of borrowings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AE" w14:textId="77777777" w:rsidR="004421F6" w:rsidRDefault="00F15622">
            <w:pPr>
              <w:jc w:val="right"/>
              <w:textAlignment w:val="bottom"/>
            </w:pPr>
            <w:r>
              <w:rPr>
                <w:rFonts w:ascii="Arial" w:eastAsia="宋体" w:hAnsi="Arial" w:cs="Arial"/>
                <w:color w:val="000000"/>
                <w:sz w:val="17"/>
                <w:szCs w:val="17"/>
              </w:rPr>
              <w:t>(83)</w:t>
            </w:r>
          </w:p>
        </w:tc>
        <w:tc>
          <w:tcPr>
            <w:tcW w:w="0" w:type="auto"/>
            <w:tcBorders>
              <w:top w:val="single" w:sz="8" w:space="0" w:color="808080"/>
            </w:tcBorders>
            <w:shd w:val="clear" w:color="auto" w:fill="FFF1E7"/>
            <w:tcMar>
              <w:top w:w="40" w:type="dxa"/>
              <w:bottom w:w="40" w:type="dxa"/>
              <w:right w:w="20" w:type="dxa"/>
            </w:tcMar>
            <w:vAlign w:val="bottom"/>
          </w:tcPr>
          <w:p w14:paraId="1D0251AF"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B0" w14:textId="77777777" w:rsidR="004421F6" w:rsidRDefault="00F15622">
            <w:pPr>
              <w:jc w:val="right"/>
              <w:textAlignment w:val="bottom"/>
            </w:pPr>
            <w:r>
              <w:rPr>
                <w:rFonts w:ascii="Arial" w:eastAsia="宋体" w:hAnsi="Arial" w:cs="Arial"/>
                <w:color w:val="000000"/>
                <w:sz w:val="17"/>
                <w:szCs w:val="17"/>
              </w:rPr>
              <w:t>(2)</w:t>
            </w:r>
          </w:p>
        </w:tc>
        <w:tc>
          <w:tcPr>
            <w:tcW w:w="0" w:type="auto"/>
            <w:tcBorders>
              <w:top w:val="single" w:sz="8" w:space="0" w:color="808080"/>
            </w:tcBorders>
            <w:shd w:val="clear" w:color="auto" w:fill="auto"/>
            <w:tcMar>
              <w:top w:w="40" w:type="dxa"/>
              <w:bottom w:w="40" w:type="dxa"/>
              <w:right w:w="20" w:type="dxa"/>
            </w:tcMar>
            <w:vAlign w:val="bottom"/>
          </w:tcPr>
          <w:p w14:paraId="1D0251B1" w14:textId="77777777" w:rsidR="004421F6" w:rsidRDefault="004421F6">
            <w:pPr>
              <w:jc w:val="right"/>
              <w:rPr>
                <w:rFonts w:ascii="宋体"/>
              </w:rPr>
            </w:pPr>
          </w:p>
        </w:tc>
        <w:tc>
          <w:tcPr>
            <w:tcW w:w="0" w:type="auto"/>
            <w:shd w:val="clear" w:color="auto" w:fill="auto"/>
          </w:tcPr>
          <w:p w14:paraId="1D0251B2" w14:textId="77777777" w:rsidR="004421F6" w:rsidRDefault="004421F6">
            <w:pPr>
              <w:rPr>
                <w:rFonts w:ascii="宋体"/>
              </w:rPr>
            </w:pPr>
          </w:p>
        </w:tc>
        <w:tc>
          <w:tcPr>
            <w:tcW w:w="0" w:type="auto"/>
            <w:shd w:val="clear" w:color="auto" w:fill="auto"/>
          </w:tcPr>
          <w:p w14:paraId="1D0251B3" w14:textId="77777777" w:rsidR="004421F6" w:rsidRDefault="004421F6">
            <w:pPr>
              <w:rPr>
                <w:rFonts w:ascii="宋体"/>
              </w:rPr>
            </w:pPr>
          </w:p>
        </w:tc>
        <w:tc>
          <w:tcPr>
            <w:tcW w:w="0" w:type="auto"/>
            <w:shd w:val="clear" w:color="auto" w:fill="auto"/>
          </w:tcPr>
          <w:p w14:paraId="1D0251B4" w14:textId="77777777" w:rsidR="004421F6" w:rsidRDefault="004421F6">
            <w:pPr>
              <w:rPr>
                <w:rFonts w:ascii="宋体"/>
              </w:rPr>
            </w:pPr>
          </w:p>
        </w:tc>
      </w:tr>
      <w:tr w:rsidR="004421F6" w14:paraId="1D0251BE"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B6" w14:textId="77777777" w:rsidR="004421F6" w:rsidRDefault="00F15622">
            <w:pPr>
              <w:textAlignment w:val="bottom"/>
            </w:pPr>
            <w:r>
              <w:rPr>
                <w:rFonts w:ascii="Arial" w:eastAsia="宋体" w:hAnsi="Arial" w:cs="Arial"/>
                <w:color w:val="000000"/>
                <w:sz w:val="17"/>
                <w:szCs w:val="17"/>
              </w:rPr>
              <w:t>Proceeds from exercise of stock options and other stock issuances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B7" w14:textId="77777777" w:rsidR="004421F6" w:rsidRDefault="00F15622">
            <w:pPr>
              <w:jc w:val="right"/>
              <w:textAlignment w:val="bottom"/>
            </w:pPr>
            <w:r>
              <w:rPr>
                <w:rFonts w:ascii="Arial" w:eastAsia="宋体" w:hAnsi="Arial" w:cs="Arial"/>
                <w:color w:val="000000"/>
                <w:sz w:val="17"/>
                <w:szCs w:val="17"/>
              </w:rPr>
              <w:t>302 </w:t>
            </w:r>
          </w:p>
        </w:tc>
        <w:tc>
          <w:tcPr>
            <w:tcW w:w="0" w:type="auto"/>
            <w:tcBorders>
              <w:top w:val="single" w:sz="8" w:space="0" w:color="808080"/>
            </w:tcBorders>
            <w:shd w:val="clear" w:color="auto" w:fill="FFF1E7"/>
            <w:tcMar>
              <w:top w:w="40" w:type="dxa"/>
              <w:bottom w:w="40" w:type="dxa"/>
              <w:right w:w="20" w:type="dxa"/>
            </w:tcMar>
            <w:vAlign w:val="bottom"/>
          </w:tcPr>
          <w:p w14:paraId="1D0251B8"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B9" w14:textId="77777777" w:rsidR="004421F6" w:rsidRDefault="00F15622">
            <w:pPr>
              <w:jc w:val="right"/>
              <w:textAlignment w:val="bottom"/>
            </w:pPr>
            <w:r>
              <w:rPr>
                <w:rFonts w:ascii="Arial" w:eastAsia="宋体" w:hAnsi="Arial" w:cs="Arial"/>
                <w:color w:val="000000"/>
                <w:sz w:val="17"/>
                <w:szCs w:val="17"/>
              </w:rPr>
              <w:t>111 </w:t>
            </w:r>
          </w:p>
        </w:tc>
        <w:tc>
          <w:tcPr>
            <w:tcW w:w="0" w:type="auto"/>
            <w:tcBorders>
              <w:top w:val="single" w:sz="8" w:space="0" w:color="808080"/>
            </w:tcBorders>
            <w:shd w:val="clear" w:color="auto" w:fill="auto"/>
            <w:tcMar>
              <w:top w:w="40" w:type="dxa"/>
              <w:bottom w:w="40" w:type="dxa"/>
              <w:right w:w="20" w:type="dxa"/>
            </w:tcMar>
            <w:vAlign w:val="bottom"/>
          </w:tcPr>
          <w:p w14:paraId="1D0251BA" w14:textId="77777777" w:rsidR="004421F6" w:rsidRDefault="004421F6">
            <w:pPr>
              <w:jc w:val="right"/>
              <w:rPr>
                <w:rFonts w:ascii="宋体"/>
              </w:rPr>
            </w:pPr>
          </w:p>
        </w:tc>
        <w:tc>
          <w:tcPr>
            <w:tcW w:w="0" w:type="auto"/>
            <w:shd w:val="clear" w:color="auto" w:fill="auto"/>
          </w:tcPr>
          <w:p w14:paraId="1D0251BB" w14:textId="77777777" w:rsidR="004421F6" w:rsidRDefault="004421F6">
            <w:pPr>
              <w:rPr>
                <w:rFonts w:ascii="宋体"/>
              </w:rPr>
            </w:pPr>
          </w:p>
        </w:tc>
        <w:tc>
          <w:tcPr>
            <w:tcW w:w="0" w:type="auto"/>
            <w:shd w:val="clear" w:color="auto" w:fill="auto"/>
          </w:tcPr>
          <w:p w14:paraId="1D0251BC" w14:textId="77777777" w:rsidR="004421F6" w:rsidRDefault="004421F6">
            <w:pPr>
              <w:rPr>
                <w:rFonts w:ascii="宋体"/>
              </w:rPr>
            </w:pPr>
          </w:p>
        </w:tc>
        <w:tc>
          <w:tcPr>
            <w:tcW w:w="0" w:type="auto"/>
            <w:shd w:val="clear" w:color="auto" w:fill="auto"/>
          </w:tcPr>
          <w:p w14:paraId="1D0251BD" w14:textId="77777777" w:rsidR="004421F6" w:rsidRDefault="004421F6">
            <w:pPr>
              <w:rPr>
                <w:rFonts w:ascii="宋体"/>
              </w:rPr>
            </w:pPr>
          </w:p>
        </w:tc>
      </w:tr>
      <w:tr w:rsidR="004421F6" w14:paraId="1D0251C7"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BF" w14:textId="77777777" w:rsidR="004421F6" w:rsidRDefault="00F15622">
            <w:pPr>
              <w:textAlignment w:val="bottom"/>
            </w:pPr>
            <w:r>
              <w:rPr>
                <w:rFonts w:ascii="Arial" w:eastAsia="宋体" w:hAnsi="Arial" w:cs="Arial"/>
                <w:color w:val="000000"/>
                <w:sz w:val="17"/>
                <w:szCs w:val="17"/>
              </w:rPr>
              <w:t>Repurchase of common stock</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C0"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51C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C2" w14:textId="77777777" w:rsidR="004421F6" w:rsidRDefault="00F15622">
            <w:pPr>
              <w:jc w:val="right"/>
              <w:textAlignment w:val="bottom"/>
            </w:pPr>
            <w:r>
              <w:rPr>
                <w:rFonts w:ascii="Arial" w:eastAsia="宋体" w:hAnsi="Arial" w:cs="Arial"/>
                <w:color w:val="000000"/>
                <w:sz w:val="17"/>
                <w:szCs w:val="17"/>
              </w:rPr>
              <w:t>(999)</w:t>
            </w:r>
          </w:p>
        </w:tc>
        <w:tc>
          <w:tcPr>
            <w:tcW w:w="0" w:type="auto"/>
            <w:tcBorders>
              <w:top w:val="single" w:sz="8" w:space="0" w:color="808080"/>
            </w:tcBorders>
            <w:shd w:val="clear" w:color="auto" w:fill="auto"/>
            <w:tcMar>
              <w:top w:w="40" w:type="dxa"/>
              <w:bottom w:w="40" w:type="dxa"/>
              <w:right w:w="20" w:type="dxa"/>
            </w:tcMar>
            <w:vAlign w:val="bottom"/>
          </w:tcPr>
          <w:p w14:paraId="1D0251C3" w14:textId="77777777" w:rsidR="004421F6" w:rsidRDefault="004421F6">
            <w:pPr>
              <w:jc w:val="right"/>
              <w:rPr>
                <w:rFonts w:ascii="宋体"/>
              </w:rPr>
            </w:pPr>
          </w:p>
        </w:tc>
        <w:tc>
          <w:tcPr>
            <w:tcW w:w="0" w:type="auto"/>
            <w:shd w:val="clear" w:color="auto" w:fill="auto"/>
          </w:tcPr>
          <w:p w14:paraId="1D0251C4" w14:textId="77777777" w:rsidR="004421F6" w:rsidRDefault="004421F6">
            <w:pPr>
              <w:rPr>
                <w:rFonts w:ascii="宋体"/>
              </w:rPr>
            </w:pPr>
          </w:p>
        </w:tc>
        <w:tc>
          <w:tcPr>
            <w:tcW w:w="0" w:type="auto"/>
            <w:shd w:val="clear" w:color="auto" w:fill="auto"/>
          </w:tcPr>
          <w:p w14:paraId="1D0251C5" w14:textId="77777777" w:rsidR="004421F6" w:rsidRDefault="004421F6">
            <w:pPr>
              <w:rPr>
                <w:rFonts w:ascii="宋体"/>
              </w:rPr>
            </w:pPr>
          </w:p>
        </w:tc>
        <w:tc>
          <w:tcPr>
            <w:tcW w:w="0" w:type="auto"/>
            <w:shd w:val="clear" w:color="auto" w:fill="auto"/>
          </w:tcPr>
          <w:p w14:paraId="1D0251C6" w14:textId="77777777" w:rsidR="004421F6" w:rsidRDefault="004421F6">
            <w:pPr>
              <w:rPr>
                <w:rFonts w:ascii="宋体"/>
              </w:rPr>
            </w:pPr>
          </w:p>
        </w:tc>
      </w:tr>
      <w:tr w:rsidR="004421F6" w14:paraId="1D0251D0"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C8" w14:textId="77777777" w:rsidR="004421F6" w:rsidRDefault="00F15622">
            <w:pPr>
              <w:textAlignment w:val="bottom"/>
            </w:pPr>
            <w:r>
              <w:rPr>
                <w:rFonts w:ascii="Arial" w:eastAsia="宋体" w:hAnsi="Arial" w:cs="Arial"/>
                <w:color w:val="000000"/>
                <w:sz w:val="17"/>
                <w:szCs w:val="17"/>
              </w:rPr>
              <w:t>Dividends — common and preferred</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C9" w14:textId="77777777" w:rsidR="004421F6" w:rsidRDefault="00F15622">
            <w:pPr>
              <w:jc w:val="right"/>
              <w:textAlignment w:val="bottom"/>
            </w:pPr>
            <w:r>
              <w:rPr>
                <w:rFonts w:ascii="Arial" w:eastAsia="宋体" w:hAnsi="Arial" w:cs="Arial"/>
                <w:color w:val="000000"/>
                <w:sz w:val="17"/>
                <w:szCs w:val="17"/>
              </w:rPr>
              <w:t>(384)</w:t>
            </w:r>
          </w:p>
        </w:tc>
        <w:tc>
          <w:tcPr>
            <w:tcW w:w="0" w:type="auto"/>
            <w:tcBorders>
              <w:top w:val="single" w:sz="8" w:space="0" w:color="808080"/>
            </w:tcBorders>
            <w:shd w:val="clear" w:color="auto" w:fill="FFF1E7"/>
            <w:tcMar>
              <w:top w:w="40" w:type="dxa"/>
              <w:bottom w:w="40" w:type="dxa"/>
              <w:right w:w="20" w:type="dxa"/>
            </w:tcMar>
            <w:vAlign w:val="bottom"/>
          </w:tcPr>
          <w:p w14:paraId="1D0251C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CB" w14:textId="77777777" w:rsidR="004421F6" w:rsidRDefault="00F15622">
            <w:pPr>
              <w:jc w:val="right"/>
              <w:textAlignment w:val="bottom"/>
            </w:pPr>
            <w:r>
              <w:rPr>
                <w:rFonts w:ascii="Arial" w:eastAsia="宋体" w:hAnsi="Arial" w:cs="Arial"/>
                <w:color w:val="000000"/>
                <w:sz w:val="17"/>
                <w:szCs w:val="17"/>
              </w:rPr>
              <w:t>(345)</w:t>
            </w:r>
          </w:p>
        </w:tc>
        <w:tc>
          <w:tcPr>
            <w:tcW w:w="0" w:type="auto"/>
            <w:tcBorders>
              <w:top w:val="single" w:sz="8" w:space="0" w:color="808080"/>
            </w:tcBorders>
            <w:shd w:val="clear" w:color="auto" w:fill="auto"/>
            <w:tcMar>
              <w:top w:w="40" w:type="dxa"/>
              <w:bottom w:w="40" w:type="dxa"/>
              <w:right w:w="20" w:type="dxa"/>
            </w:tcMar>
            <w:vAlign w:val="bottom"/>
          </w:tcPr>
          <w:p w14:paraId="1D0251CC" w14:textId="77777777" w:rsidR="004421F6" w:rsidRDefault="004421F6">
            <w:pPr>
              <w:jc w:val="right"/>
              <w:rPr>
                <w:rFonts w:ascii="宋体"/>
              </w:rPr>
            </w:pPr>
          </w:p>
        </w:tc>
        <w:tc>
          <w:tcPr>
            <w:tcW w:w="0" w:type="auto"/>
            <w:shd w:val="clear" w:color="auto" w:fill="auto"/>
          </w:tcPr>
          <w:p w14:paraId="1D0251CD" w14:textId="77777777" w:rsidR="004421F6" w:rsidRDefault="004421F6">
            <w:pPr>
              <w:rPr>
                <w:rFonts w:ascii="宋体"/>
              </w:rPr>
            </w:pPr>
          </w:p>
        </w:tc>
        <w:tc>
          <w:tcPr>
            <w:tcW w:w="0" w:type="auto"/>
            <w:shd w:val="clear" w:color="auto" w:fill="auto"/>
          </w:tcPr>
          <w:p w14:paraId="1D0251CE" w14:textId="77777777" w:rsidR="004421F6" w:rsidRDefault="004421F6">
            <w:pPr>
              <w:rPr>
                <w:rFonts w:ascii="宋体"/>
              </w:rPr>
            </w:pPr>
          </w:p>
        </w:tc>
        <w:tc>
          <w:tcPr>
            <w:tcW w:w="0" w:type="auto"/>
            <w:shd w:val="clear" w:color="auto" w:fill="auto"/>
          </w:tcPr>
          <w:p w14:paraId="1D0251CF" w14:textId="77777777" w:rsidR="004421F6" w:rsidRDefault="004421F6">
            <w:pPr>
              <w:rPr>
                <w:rFonts w:ascii="宋体"/>
              </w:rPr>
            </w:pPr>
          </w:p>
        </w:tc>
      </w:tr>
      <w:tr w:rsidR="004421F6" w14:paraId="1D0251D9"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1D1" w14:textId="77777777" w:rsidR="004421F6" w:rsidRDefault="00F15622">
            <w:pPr>
              <w:textAlignment w:val="bottom"/>
            </w:pPr>
            <w:r>
              <w:rPr>
                <w:rFonts w:ascii="Arial" w:eastAsia="宋体" w:hAnsi="Arial" w:cs="Arial"/>
                <w:color w:val="000000"/>
                <w:sz w:val="17"/>
                <w:szCs w:val="17"/>
              </w:rPr>
              <w:t>Other financing activities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D2" w14:textId="77777777" w:rsidR="004421F6" w:rsidRDefault="00F15622">
            <w:pPr>
              <w:jc w:val="right"/>
              <w:textAlignment w:val="bottom"/>
            </w:pPr>
            <w:r>
              <w:rPr>
                <w:rFonts w:ascii="Arial" w:eastAsia="宋体" w:hAnsi="Arial" w:cs="Arial"/>
                <w:color w:val="000000"/>
                <w:sz w:val="17"/>
                <w:szCs w:val="17"/>
              </w:rPr>
              <w:t>(53)</w:t>
            </w:r>
          </w:p>
        </w:tc>
        <w:tc>
          <w:tcPr>
            <w:tcW w:w="0" w:type="auto"/>
            <w:tcBorders>
              <w:top w:val="single" w:sz="8" w:space="0" w:color="808080"/>
            </w:tcBorders>
            <w:shd w:val="clear" w:color="auto" w:fill="FFF1E7"/>
            <w:tcMar>
              <w:top w:w="40" w:type="dxa"/>
              <w:bottom w:w="40" w:type="dxa"/>
              <w:right w:w="20" w:type="dxa"/>
            </w:tcMar>
            <w:vAlign w:val="bottom"/>
          </w:tcPr>
          <w:p w14:paraId="1D0251D3"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D4" w14:textId="77777777" w:rsidR="004421F6" w:rsidRDefault="00F15622">
            <w:pPr>
              <w:jc w:val="right"/>
              <w:textAlignment w:val="bottom"/>
            </w:pPr>
            <w:r>
              <w:rPr>
                <w:rFonts w:ascii="Arial" w:eastAsia="宋体" w:hAnsi="Arial" w:cs="Arial"/>
                <w:color w:val="000000"/>
                <w:sz w:val="17"/>
                <w:szCs w:val="17"/>
              </w:rPr>
              <w:t>(16)</w:t>
            </w:r>
          </w:p>
        </w:tc>
        <w:tc>
          <w:tcPr>
            <w:tcW w:w="0" w:type="auto"/>
            <w:tcBorders>
              <w:top w:val="single" w:sz="8" w:space="0" w:color="808080"/>
            </w:tcBorders>
            <w:shd w:val="clear" w:color="auto" w:fill="auto"/>
            <w:tcMar>
              <w:top w:w="40" w:type="dxa"/>
              <w:bottom w:w="40" w:type="dxa"/>
              <w:right w:w="20" w:type="dxa"/>
            </w:tcMar>
            <w:vAlign w:val="bottom"/>
          </w:tcPr>
          <w:p w14:paraId="1D0251D5" w14:textId="77777777" w:rsidR="004421F6" w:rsidRDefault="004421F6">
            <w:pPr>
              <w:jc w:val="right"/>
              <w:rPr>
                <w:rFonts w:ascii="宋体"/>
              </w:rPr>
            </w:pPr>
          </w:p>
        </w:tc>
        <w:tc>
          <w:tcPr>
            <w:tcW w:w="0" w:type="auto"/>
            <w:shd w:val="clear" w:color="auto" w:fill="auto"/>
          </w:tcPr>
          <w:p w14:paraId="1D0251D6" w14:textId="77777777" w:rsidR="004421F6" w:rsidRDefault="004421F6">
            <w:pPr>
              <w:rPr>
                <w:rFonts w:ascii="宋体"/>
              </w:rPr>
            </w:pPr>
          </w:p>
        </w:tc>
        <w:tc>
          <w:tcPr>
            <w:tcW w:w="0" w:type="auto"/>
            <w:shd w:val="clear" w:color="auto" w:fill="auto"/>
          </w:tcPr>
          <w:p w14:paraId="1D0251D7" w14:textId="77777777" w:rsidR="004421F6" w:rsidRDefault="004421F6">
            <w:pPr>
              <w:rPr>
                <w:rFonts w:ascii="宋体"/>
              </w:rPr>
            </w:pPr>
          </w:p>
        </w:tc>
        <w:tc>
          <w:tcPr>
            <w:tcW w:w="0" w:type="auto"/>
            <w:shd w:val="clear" w:color="auto" w:fill="auto"/>
          </w:tcPr>
          <w:p w14:paraId="1D0251D8" w14:textId="77777777" w:rsidR="004421F6" w:rsidRDefault="004421F6">
            <w:pPr>
              <w:rPr>
                <w:rFonts w:ascii="宋体"/>
              </w:rPr>
            </w:pPr>
          </w:p>
        </w:tc>
      </w:tr>
      <w:tr w:rsidR="004421F6" w14:paraId="1D0251E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1DA" w14:textId="77777777" w:rsidR="004421F6" w:rsidRDefault="00F15622">
            <w:pPr>
              <w:textAlignment w:val="bottom"/>
            </w:pPr>
            <w:r>
              <w:rPr>
                <w:rFonts w:ascii="Arial" w:eastAsia="宋体" w:hAnsi="Arial" w:cs="Arial"/>
                <w:color w:val="000000"/>
                <w:sz w:val="17"/>
                <w:szCs w:val="17"/>
              </w:rPr>
              <w:t xml:space="preserve">Cash provided (used) by </w:t>
            </w:r>
            <w:r>
              <w:rPr>
                <w:rFonts w:ascii="Arial" w:eastAsia="宋体" w:hAnsi="Arial" w:cs="Arial"/>
                <w:color w:val="000000"/>
                <w:sz w:val="17"/>
                <w:szCs w:val="17"/>
              </w:rPr>
              <w:t>financing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1DB" w14:textId="77777777" w:rsidR="004421F6" w:rsidRDefault="00F15622">
            <w:pPr>
              <w:jc w:val="right"/>
              <w:textAlignment w:val="bottom"/>
            </w:pPr>
            <w:r>
              <w:rPr>
                <w:rFonts w:ascii="Arial" w:eastAsia="宋体" w:hAnsi="Arial" w:cs="Arial"/>
                <w:color w:val="000000"/>
                <w:sz w:val="17"/>
                <w:szCs w:val="17"/>
              </w:rPr>
              <w:t>(248)</w:t>
            </w:r>
          </w:p>
        </w:tc>
        <w:tc>
          <w:tcPr>
            <w:tcW w:w="0" w:type="auto"/>
            <w:tcBorders>
              <w:top w:val="single" w:sz="8" w:space="0" w:color="E87722"/>
            </w:tcBorders>
            <w:shd w:val="clear" w:color="auto" w:fill="FFF1E7"/>
            <w:tcMar>
              <w:top w:w="40" w:type="dxa"/>
              <w:bottom w:w="40" w:type="dxa"/>
              <w:right w:w="20" w:type="dxa"/>
            </w:tcMar>
            <w:vAlign w:val="bottom"/>
          </w:tcPr>
          <w:p w14:paraId="1D0251DC"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1DD" w14:textId="77777777" w:rsidR="004421F6" w:rsidRDefault="00F15622">
            <w:pPr>
              <w:jc w:val="right"/>
              <w:textAlignment w:val="bottom"/>
            </w:pPr>
            <w:r>
              <w:rPr>
                <w:rFonts w:ascii="Arial" w:eastAsia="宋体" w:hAnsi="Arial" w:cs="Arial"/>
                <w:color w:val="000000"/>
                <w:sz w:val="17"/>
                <w:szCs w:val="17"/>
              </w:rPr>
              <w:t>(1,010)</w:t>
            </w:r>
          </w:p>
        </w:tc>
        <w:tc>
          <w:tcPr>
            <w:tcW w:w="0" w:type="auto"/>
            <w:tcBorders>
              <w:top w:val="single" w:sz="8" w:space="0" w:color="E87722"/>
            </w:tcBorders>
            <w:shd w:val="clear" w:color="auto" w:fill="auto"/>
            <w:tcMar>
              <w:top w:w="40" w:type="dxa"/>
              <w:bottom w:w="40" w:type="dxa"/>
              <w:right w:w="20" w:type="dxa"/>
            </w:tcMar>
            <w:vAlign w:val="bottom"/>
          </w:tcPr>
          <w:p w14:paraId="1D0251DE" w14:textId="77777777" w:rsidR="004421F6" w:rsidRDefault="004421F6">
            <w:pPr>
              <w:jc w:val="right"/>
              <w:rPr>
                <w:rFonts w:ascii="宋体"/>
              </w:rPr>
            </w:pPr>
          </w:p>
        </w:tc>
        <w:tc>
          <w:tcPr>
            <w:tcW w:w="0" w:type="auto"/>
            <w:shd w:val="clear" w:color="auto" w:fill="auto"/>
          </w:tcPr>
          <w:p w14:paraId="1D0251DF" w14:textId="77777777" w:rsidR="004421F6" w:rsidRDefault="004421F6">
            <w:pPr>
              <w:rPr>
                <w:rFonts w:ascii="宋体"/>
              </w:rPr>
            </w:pPr>
          </w:p>
        </w:tc>
        <w:tc>
          <w:tcPr>
            <w:tcW w:w="0" w:type="auto"/>
            <w:shd w:val="clear" w:color="auto" w:fill="auto"/>
          </w:tcPr>
          <w:p w14:paraId="1D0251E0" w14:textId="77777777" w:rsidR="004421F6" w:rsidRDefault="004421F6">
            <w:pPr>
              <w:rPr>
                <w:rFonts w:ascii="宋体"/>
              </w:rPr>
            </w:pPr>
          </w:p>
        </w:tc>
        <w:tc>
          <w:tcPr>
            <w:tcW w:w="0" w:type="auto"/>
            <w:shd w:val="clear" w:color="auto" w:fill="auto"/>
          </w:tcPr>
          <w:p w14:paraId="1D0251E1" w14:textId="77777777" w:rsidR="004421F6" w:rsidRDefault="004421F6">
            <w:pPr>
              <w:rPr>
                <w:rFonts w:ascii="宋体"/>
              </w:rPr>
            </w:pPr>
          </w:p>
        </w:tc>
      </w:tr>
      <w:tr w:rsidR="004421F6" w14:paraId="1D0251EB"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1E3" w14:textId="77777777" w:rsidR="004421F6" w:rsidRDefault="00F15622">
            <w:pPr>
              <w:textAlignment w:val="bottom"/>
            </w:pPr>
            <w:r>
              <w:rPr>
                <w:rFonts w:ascii="Arial" w:eastAsia="宋体" w:hAnsi="Arial" w:cs="Arial"/>
                <w:color w:val="000000"/>
                <w:sz w:val="17"/>
                <w:szCs w:val="17"/>
              </w:rPr>
              <w:t>Effect of exchange rate changes on cash and equivalents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E4" w14:textId="77777777" w:rsidR="004421F6" w:rsidRDefault="00F15622">
            <w:pPr>
              <w:jc w:val="right"/>
              <w:textAlignment w:val="bottom"/>
            </w:pPr>
            <w:r>
              <w:rPr>
                <w:rFonts w:ascii="Arial" w:eastAsia="宋体" w:hAnsi="Arial" w:cs="Arial"/>
                <w:color w:val="000000"/>
                <w:sz w:val="17"/>
                <w:szCs w:val="17"/>
              </w:rPr>
              <w:t>55 </w:t>
            </w:r>
          </w:p>
        </w:tc>
        <w:tc>
          <w:tcPr>
            <w:tcW w:w="0" w:type="auto"/>
            <w:tcBorders>
              <w:top w:val="single" w:sz="8" w:space="0" w:color="808080"/>
            </w:tcBorders>
            <w:shd w:val="clear" w:color="auto" w:fill="FFF1E7"/>
            <w:tcMar>
              <w:top w:w="40" w:type="dxa"/>
              <w:bottom w:w="40" w:type="dxa"/>
              <w:right w:w="20" w:type="dxa"/>
            </w:tcMar>
            <w:vAlign w:val="bottom"/>
          </w:tcPr>
          <w:p w14:paraId="1D0251E5"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E6" w14:textId="77777777" w:rsidR="004421F6" w:rsidRDefault="00F15622">
            <w:pPr>
              <w:jc w:val="right"/>
              <w:textAlignment w:val="bottom"/>
            </w:pPr>
            <w:r>
              <w:rPr>
                <w:rFonts w:ascii="Arial" w:eastAsia="宋体" w:hAnsi="Arial" w:cs="Arial"/>
                <w:color w:val="000000"/>
                <w:sz w:val="17"/>
                <w:szCs w:val="17"/>
              </w:rPr>
              <w:t>(56)</w:t>
            </w:r>
          </w:p>
        </w:tc>
        <w:tc>
          <w:tcPr>
            <w:tcW w:w="0" w:type="auto"/>
            <w:tcBorders>
              <w:top w:val="single" w:sz="8" w:space="0" w:color="808080"/>
            </w:tcBorders>
            <w:shd w:val="clear" w:color="auto" w:fill="auto"/>
            <w:tcMar>
              <w:top w:w="40" w:type="dxa"/>
              <w:bottom w:w="40" w:type="dxa"/>
              <w:right w:w="20" w:type="dxa"/>
            </w:tcMar>
            <w:vAlign w:val="bottom"/>
          </w:tcPr>
          <w:p w14:paraId="1D0251E7" w14:textId="77777777" w:rsidR="004421F6" w:rsidRDefault="004421F6">
            <w:pPr>
              <w:jc w:val="right"/>
              <w:rPr>
                <w:rFonts w:ascii="宋体"/>
              </w:rPr>
            </w:pPr>
          </w:p>
        </w:tc>
        <w:tc>
          <w:tcPr>
            <w:tcW w:w="0" w:type="auto"/>
            <w:shd w:val="clear" w:color="auto" w:fill="auto"/>
          </w:tcPr>
          <w:p w14:paraId="1D0251E8" w14:textId="77777777" w:rsidR="004421F6" w:rsidRDefault="004421F6">
            <w:pPr>
              <w:rPr>
                <w:rFonts w:ascii="宋体"/>
              </w:rPr>
            </w:pPr>
          </w:p>
        </w:tc>
        <w:tc>
          <w:tcPr>
            <w:tcW w:w="0" w:type="auto"/>
            <w:shd w:val="clear" w:color="auto" w:fill="auto"/>
          </w:tcPr>
          <w:p w14:paraId="1D0251E9" w14:textId="77777777" w:rsidR="004421F6" w:rsidRDefault="004421F6">
            <w:pPr>
              <w:rPr>
                <w:rFonts w:ascii="宋体"/>
              </w:rPr>
            </w:pPr>
          </w:p>
        </w:tc>
        <w:tc>
          <w:tcPr>
            <w:tcW w:w="0" w:type="auto"/>
            <w:shd w:val="clear" w:color="auto" w:fill="auto"/>
          </w:tcPr>
          <w:p w14:paraId="1D0251EA" w14:textId="77777777" w:rsidR="004421F6" w:rsidRDefault="004421F6">
            <w:pPr>
              <w:rPr>
                <w:rFonts w:ascii="宋体"/>
              </w:rPr>
            </w:pPr>
          </w:p>
        </w:tc>
      </w:tr>
      <w:tr w:rsidR="004421F6" w14:paraId="1D0251F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1EC" w14:textId="77777777" w:rsidR="004421F6" w:rsidRDefault="00F15622">
            <w:pPr>
              <w:textAlignment w:val="bottom"/>
            </w:pPr>
            <w:r>
              <w:rPr>
                <w:rFonts w:ascii="Arial" w:eastAsia="宋体" w:hAnsi="Arial" w:cs="Arial"/>
                <w:color w:val="000000"/>
                <w:sz w:val="17"/>
                <w:szCs w:val="17"/>
              </w:rPr>
              <w:t>Net increase (decrease) in cash and equivalents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1ED" w14:textId="77777777" w:rsidR="004421F6" w:rsidRDefault="00F15622">
            <w:pPr>
              <w:jc w:val="right"/>
              <w:textAlignment w:val="bottom"/>
            </w:pPr>
            <w:r>
              <w:rPr>
                <w:rFonts w:ascii="Arial" w:eastAsia="宋体" w:hAnsi="Arial" w:cs="Arial"/>
                <w:color w:val="000000"/>
                <w:sz w:val="17"/>
                <w:szCs w:val="17"/>
              </w:rPr>
              <w:t>(200)</w:t>
            </w:r>
          </w:p>
        </w:tc>
        <w:tc>
          <w:tcPr>
            <w:tcW w:w="0" w:type="auto"/>
            <w:tcBorders>
              <w:top w:val="single" w:sz="8" w:space="0" w:color="E87722"/>
            </w:tcBorders>
            <w:shd w:val="clear" w:color="auto" w:fill="FFF1E7"/>
            <w:tcMar>
              <w:top w:w="40" w:type="dxa"/>
              <w:bottom w:w="40" w:type="dxa"/>
              <w:right w:w="20" w:type="dxa"/>
            </w:tcMar>
            <w:vAlign w:val="bottom"/>
          </w:tcPr>
          <w:p w14:paraId="1D0251EE"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1EF" w14:textId="77777777" w:rsidR="004421F6" w:rsidRDefault="00F15622">
            <w:pPr>
              <w:jc w:val="right"/>
              <w:textAlignment w:val="bottom"/>
            </w:pPr>
            <w:r>
              <w:rPr>
                <w:rFonts w:ascii="Arial" w:eastAsia="宋体" w:hAnsi="Arial" w:cs="Arial"/>
                <w:color w:val="000000"/>
                <w:sz w:val="17"/>
                <w:szCs w:val="17"/>
              </w:rPr>
              <w:t>(1,020)</w:t>
            </w:r>
          </w:p>
        </w:tc>
        <w:tc>
          <w:tcPr>
            <w:tcW w:w="0" w:type="auto"/>
            <w:tcBorders>
              <w:top w:val="single" w:sz="8" w:space="0" w:color="E87722"/>
            </w:tcBorders>
            <w:shd w:val="clear" w:color="auto" w:fill="auto"/>
            <w:tcMar>
              <w:top w:w="40" w:type="dxa"/>
              <w:bottom w:w="40" w:type="dxa"/>
              <w:right w:w="20" w:type="dxa"/>
            </w:tcMar>
            <w:vAlign w:val="bottom"/>
          </w:tcPr>
          <w:p w14:paraId="1D0251F0" w14:textId="77777777" w:rsidR="004421F6" w:rsidRDefault="004421F6">
            <w:pPr>
              <w:jc w:val="right"/>
              <w:rPr>
                <w:rFonts w:ascii="宋体"/>
              </w:rPr>
            </w:pPr>
          </w:p>
        </w:tc>
        <w:tc>
          <w:tcPr>
            <w:tcW w:w="0" w:type="auto"/>
            <w:shd w:val="clear" w:color="auto" w:fill="auto"/>
          </w:tcPr>
          <w:p w14:paraId="1D0251F1" w14:textId="77777777" w:rsidR="004421F6" w:rsidRDefault="004421F6">
            <w:pPr>
              <w:rPr>
                <w:rFonts w:ascii="宋体"/>
              </w:rPr>
            </w:pPr>
          </w:p>
        </w:tc>
        <w:tc>
          <w:tcPr>
            <w:tcW w:w="0" w:type="auto"/>
            <w:shd w:val="clear" w:color="auto" w:fill="auto"/>
          </w:tcPr>
          <w:p w14:paraId="1D0251F2" w14:textId="77777777" w:rsidR="004421F6" w:rsidRDefault="004421F6">
            <w:pPr>
              <w:rPr>
                <w:rFonts w:ascii="宋体"/>
              </w:rPr>
            </w:pPr>
          </w:p>
        </w:tc>
        <w:tc>
          <w:tcPr>
            <w:tcW w:w="0" w:type="auto"/>
            <w:shd w:val="clear" w:color="auto" w:fill="auto"/>
          </w:tcPr>
          <w:p w14:paraId="1D0251F3" w14:textId="77777777" w:rsidR="004421F6" w:rsidRDefault="004421F6">
            <w:pPr>
              <w:rPr>
                <w:rFonts w:ascii="宋体"/>
              </w:rPr>
            </w:pPr>
          </w:p>
        </w:tc>
      </w:tr>
      <w:tr w:rsidR="004421F6" w14:paraId="1D0251F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1F5" w14:textId="77777777" w:rsidR="004421F6" w:rsidRDefault="00F15622">
            <w:pPr>
              <w:textAlignment w:val="bottom"/>
            </w:pPr>
            <w:r>
              <w:rPr>
                <w:rFonts w:ascii="Arial" w:eastAsia="宋体" w:hAnsi="Arial" w:cs="Arial"/>
                <w:color w:val="000000"/>
                <w:sz w:val="17"/>
                <w:szCs w:val="17"/>
              </w:rPr>
              <w:t>Cash and equivalents, beginning of period</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1F6" w14:textId="77777777" w:rsidR="004421F6" w:rsidRDefault="00F15622">
            <w:pPr>
              <w:jc w:val="right"/>
              <w:textAlignment w:val="bottom"/>
            </w:pPr>
            <w:r>
              <w:rPr>
                <w:rFonts w:ascii="Arial" w:eastAsia="宋体" w:hAnsi="Arial" w:cs="Arial"/>
                <w:color w:val="000000"/>
                <w:sz w:val="17"/>
                <w:szCs w:val="17"/>
              </w:rPr>
              <w:t>8,348 </w:t>
            </w:r>
          </w:p>
        </w:tc>
        <w:tc>
          <w:tcPr>
            <w:tcW w:w="0" w:type="auto"/>
            <w:tcBorders>
              <w:top w:val="single" w:sz="8" w:space="0" w:color="808080"/>
            </w:tcBorders>
            <w:shd w:val="clear" w:color="auto" w:fill="FFF1E7"/>
            <w:tcMar>
              <w:top w:w="40" w:type="dxa"/>
              <w:bottom w:w="40" w:type="dxa"/>
              <w:right w:w="20" w:type="dxa"/>
            </w:tcMar>
            <w:vAlign w:val="bottom"/>
          </w:tcPr>
          <w:p w14:paraId="1D0251F7"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1F8" w14:textId="77777777" w:rsidR="004421F6" w:rsidRDefault="00F15622">
            <w:pPr>
              <w:jc w:val="right"/>
              <w:textAlignment w:val="bottom"/>
            </w:pPr>
            <w:r>
              <w:rPr>
                <w:rFonts w:ascii="Arial" w:eastAsia="宋体" w:hAnsi="Arial" w:cs="Arial"/>
                <w:color w:val="000000"/>
                <w:sz w:val="17"/>
                <w:szCs w:val="17"/>
              </w:rPr>
              <w:t>4,466 </w:t>
            </w:r>
          </w:p>
        </w:tc>
        <w:tc>
          <w:tcPr>
            <w:tcW w:w="0" w:type="auto"/>
            <w:tcBorders>
              <w:top w:val="single" w:sz="8" w:space="0" w:color="808080"/>
            </w:tcBorders>
            <w:shd w:val="clear" w:color="auto" w:fill="auto"/>
            <w:tcMar>
              <w:top w:w="40" w:type="dxa"/>
              <w:bottom w:w="40" w:type="dxa"/>
              <w:right w:w="20" w:type="dxa"/>
            </w:tcMar>
            <w:vAlign w:val="bottom"/>
          </w:tcPr>
          <w:p w14:paraId="1D0251F9" w14:textId="77777777" w:rsidR="004421F6" w:rsidRDefault="004421F6">
            <w:pPr>
              <w:jc w:val="right"/>
              <w:rPr>
                <w:rFonts w:ascii="宋体"/>
              </w:rPr>
            </w:pPr>
          </w:p>
        </w:tc>
        <w:tc>
          <w:tcPr>
            <w:tcW w:w="0" w:type="auto"/>
            <w:shd w:val="clear" w:color="auto" w:fill="auto"/>
          </w:tcPr>
          <w:p w14:paraId="1D0251FA" w14:textId="77777777" w:rsidR="004421F6" w:rsidRDefault="004421F6">
            <w:pPr>
              <w:rPr>
                <w:rFonts w:ascii="宋体"/>
              </w:rPr>
            </w:pPr>
          </w:p>
        </w:tc>
        <w:tc>
          <w:tcPr>
            <w:tcW w:w="0" w:type="auto"/>
            <w:shd w:val="clear" w:color="auto" w:fill="auto"/>
          </w:tcPr>
          <w:p w14:paraId="1D0251FB" w14:textId="77777777" w:rsidR="004421F6" w:rsidRDefault="004421F6">
            <w:pPr>
              <w:rPr>
                <w:rFonts w:ascii="宋体"/>
              </w:rPr>
            </w:pPr>
          </w:p>
        </w:tc>
        <w:tc>
          <w:tcPr>
            <w:tcW w:w="0" w:type="auto"/>
            <w:shd w:val="clear" w:color="auto" w:fill="auto"/>
          </w:tcPr>
          <w:p w14:paraId="1D0251FC" w14:textId="77777777" w:rsidR="004421F6" w:rsidRDefault="004421F6">
            <w:pPr>
              <w:rPr>
                <w:rFonts w:ascii="宋体"/>
              </w:rPr>
            </w:pPr>
          </w:p>
        </w:tc>
      </w:tr>
      <w:tr w:rsidR="004421F6" w14:paraId="1D02520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1FE" w14:textId="77777777" w:rsidR="004421F6" w:rsidRDefault="00F15622">
            <w:pPr>
              <w:textAlignment w:val="bottom"/>
            </w:pPr>
            <w:r>
              <w:rPr>
                <w:rFonts w:ascii="Arial" w:eastAsia="宋体" w:hAnsi="Arial" w:cs="Arial"/>
                <w:b/>
                <w:bCs/>
                <w:color w:val="000000"/>
                <w:sz w:val="17"/>
                <w:szCs w:val="17"/>
              </w:rPr>
              <w:t xml:space="preserve">CASH AND </w:t>
            </w:r>
            <w:r>
              <w:rPr>
                <w:rFonts w:ascii="Arial" w:eastAsia="宋体" w:hAnsi="Arial" w:cs="Arial"/>
                <w:b/>
                <w:bCs/>
                <w:color w:val="000000"/>
                <w:sz w:val="17"/>
                <w:szCs w:val="17"/>
              </w:rPr>
              <w:t>EQUIVALENTS, END OF PERIOD</w:t>
            </w:r>
          </w:p>
        </w:tc>
        <w:tc>
          <w:tcPr>
            <w:tcW w:w="0" w:type="auto"/>
            <w:tcBorders>
              <w:top w:val="single" w:sz="8" w:space="0" w:color="E87722"/>
            </w:tcBorders>
            <w:shd w:val="clear" w:color="auto" w:fill="FFF1E7"/>
            <w:tcMar>
              <w:top w:w="40" w:type="dxa"/>
              <w:left w:w="20" w:type="dxa"/>
              <w:bottom w:w="40" w:type="dxa"/>
            </w:tcMar>
            <w:vAlign w:val="bottom"/>
          </w:tcPr>
          <w:p w14:paraId="1D0251FF"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5200" w14:textId="77777777" w:rsidR="004421F6" w:rsidRDefault="00F15622">
            <w:pPr>
              <w:jc w:val="right"/>
              <w:textAlignment w:val="bottom"/>
            </w:pPr>
            <w:r>
              <w:rPr>
                <w:rFonts w:ascii="Arial" w:eastAsia="宋体" w:hAnsi="Arial" w:cs="Arial"/>
                <w:b/>
                <w:bCs/>
                <w:color w:val="000000"/>
                <w:sz w:val="17"/>
                <w:szCs w:val="17"/>
              </w:rPr>
              <w:t>8,148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5201"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202"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203" w14:textId="77777777" w:rsidR="004421F6" w:rsidRDefault="00F15622">
            <w:pPr>
              <w:jc w:val="right"/>
              <w:textAlignment w:val="bottom"/>
            </w:pPr>
            <w:r>
              <w:rPr>
                <w:rFonts w:ascii="Arial" w:eastAsia="宋体" w:hAnsi="Arial" w:cs="Arial"/>
                <w:b/>
                <w:bCs/>
                <w:color w:val="000000"/>
                <w:sz w:val="17"/>
                <w:szCs w:val="17"/>
              </w:rPr>
              <w:t>3,446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204" w14:textId="77777777" w:rsidR="004421F6" w:rsidRDefault="004421F6">
            <w:pPr>
              <w:jc w:val="right"/>
              <w:rPr>
                <w:rFonts w:ascii="宋体"/>
              </w:rPr>
            </w:pPr>
          </w:p>
        </w:tc>
        <w:tc>
          <w:tcPr>
            <w:tcW w:w="0" w:type="auto"/>
            <w:shd w:val="clear" w:color="auto" w:fill="auto"/>
          </w:tcPr>
          <w:p w14:paraId="1D025205" w14:textId="77777777" w:rsidR="004421F6" w:rsidRDefault="004421F6">
            <w:pPr>
              <w:rPr>
                <w:rFonts w:ascii="宋体"/>
              </w:rPr>
            </w:pPr>
          </w:p>
        </w:tc>
        <w:tc>
          <w:tcPr>
            <w:tcW w:w="0" w:type="auto"/>
            <w:shd w:val="clear" w:color="auto" w:fill="auto"/>
          </w:tcPr>
          <w:p w14:paraId="1D025206" w14:textId="77777777" w:rsidR="004421F6" w:rsidRDefault="004421F6">
            <w:pPr>
              <w:rPr>
                <w:rFonts w:ascii="宋体"/>
              </w:rPr>
            </w:pPr>
          </w:p>
        </w:tc>
        <w:tc>
          <w:tcPr>
            <w:tcW w:w="0" w:type="auto"/>
            <w:shd w:val="clear" w:color="auto" w:fill="auto"/>
          </w:tcPr>
          <w:p w14:paraId="1D025207" w14:textId="77777777" w:rsidR="004421F6" w:rsidRDefault="004421F6">
            <w:pPr>
              <w:rPr>
                <w:rFonts w:ascii="宋体"/>
              </w:rPr>
            </w:pPr>
          </w:p>
        </w:tc>
      </w:tr>
      <w:tr w:rsidR="004421F6" w14:paraId="1D02520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209" w14:textId="77777777" w:rsidR="004421F6" w:rsidRDefault="00F15622">
            <w:pPr>
              <w:textAlignment w:val="bottom"/>
            </w:pPr>
            <w:r>
              <w:rPr>
                <w:rFonts w:ascii="Arial" w:eastAsia="宋体" w:hAnsi="Arial" w:cs="Arial"/>
                <w:b/>
                <w:bCs/>
                <w:color w:val="000000"/>
                <w:sz w:val="17"/>
                <w:szCs w:val="17"/>
              </w:rPr>
              <w:t>Supplemental disclosure of cash flow information:</w:t>
            </w:r>
          </w:p>
        </w:tc>
        <w:tc>
          <w:tcPr>
            <w:tcW w:w="0" w:type="auto"/>
            <w:gridSpan w:val="3"/>
            <w:tcBorders>
              <w:top w:val="single" w:sz="8" w:space="0" w:color="E87722"/>
            </w:tcBorders>
            <w:shd w:val="clear" w:color="auto" w:fill="FFF1E7"/>
            <w:tcMar>
              <w:left w:w="20" w:type="dxa"/>
              <w:right w:w="20" w:type="dxa"/>
            </w:tcMar>
            <w:vAlign w:val="bottom"/>
          </w:tcPr>
          <w:p w14:paraId="1D02520A"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20B" w14:textId="77777777" w:rsidR="004421F6" w:rsidRDefault="004421F6">
            <w:pPr>
              <w:rPr>
                <w:rFonts w:ascii="宋体"/>
              </w:rPr>
            </w:pPr>
          </w:p>
        </w:tc>
        <w:tc>
          <w:tcPr>
            <w:tcW w:w="0" w:type="auto"/>
            <w:shd w:val="clear" w:color="auto" w:fill="auto"/>
          </w:tcPr>
          <w:p w14:paraId="1D02520C" w14:textId="77777777" w:rsidR="004421F6" w:rsidRDefault="004421F6">
            <w:pPr>
              <w:rPr>
                <w:rFonts w:ascii="宋体"/>
              </w:rPr>
            </w:pPr>
          </w:p>
        </w:tc>
        <w:tc>
          <w:tcPr>
            <w:tcW w:w="0" w:type="auto"/>
            <w:shd w:val="clear" w:color="auto" w:fill="auto"/>
          </w:tcPr>
          <w:p w14:paraId="1D02520D" w14:textId="77777777" w:rsidR="004421F6" w:rsidRDefault="004421F6">
            <w:pPr>
              <w:rPr>
                <w:rFonts w:ascii="宋体"/>
              </w:rPr>
            </w:pPr>
          </w:p>
        </w:tc>
        <w:tc>
          <w:tcPr>
            <w:tcW w:w="0" w:type="auto"/>
            <w:shd w:val="clear" w:color="auto" w:fill="auto"/>
          </w:tcPr>
          <w:p w14:paraId="1D02520E" w14:textId="77777777" w:rsidR="004421F6" w:rsidRDefault="004421F6">
            <w:pPr>
              <w:rPr>
                <w:rFonts w:ascii="宋体"/>
              </w:rPr>
            </w:pPr>
          </w:p>
        </w:tc>
      </w:tr>
      <w:tr w:rsidR="004421F6" w14:paraId="1D02521A"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210" w14:textId="77777777" w:rsidR="004421F6" w:rsidRDefault="00F15622">
            <w:pPr>
              <w:textAlignment w:val="bottom"/>
            </w:pPr>
            <w:r>
              <w:rPr>
                <w:rFonts w:ascii="Arial" w:eastAsia="宋体" w:hAnsi="Arial" w:cs="Arial"/>
                <w:color w:val="000000"/>
                <w:sz w:val="17"/>
                <w:szCs w:val="17"/>
              </w:rPr>
              <w:t>Non-cash additions to property, plant and equipment</w:t>
            </w:r>
          </w:p>
        </w:tc>
        <w:tc>
          <w:tcPr>
            <w:tcW w:w="0" w:type="auto"/>
            <w:tcBorders>
              <w:top w:val="single" w:sz="8" w:space="0" w:color="808080"/>
            </w:tcBorders>
            <w:shd w:val="clear" w:color="auto" w:fill="FFF1E7"/>
            <w:tcMar>
              <w:top w:w="40" w:type="dxa"/>
              <w:left w:w="20" w:type="dxa"/>
              <w:bottom w:w="40" w:type="dxa"/>
            </w:tcMar>
            <w:vAlign w:val="bottom"/>
          </w:tcPr>
          <w:p w14:paraId="1D025211"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5212" w14:textId="77777777" w:rsidR="004421F6" w:rsidRDefault="00F15622">
            <w:pPr>
              <w:jc w:val="right"/>
              <w:textAlignment w:val="bottom"/>
            </w:pPr>
            <w:r>
              <w:rPr>
                <w:rFonts w:ascii="Arial" w:eastAsia="宋体" w:hAnsi="Arial" w:cs="Arial"/>
                <w:color w:val="000000"/>
                <w:sz w:val="17"/>
                <w:szCs w:val="17"/>
              </w:rPr>
              <w:t>114 </w:t>
            </w:r>
          </w:p>
        </w:tc>
        <w:tc>
          <w:tcPr>
            <w:tcW w:w="0" w:type="auto"/>
            <w:tcBorders>
              <w:top w:val="single" w:sz="8" w:space="0" w:color="808080"/>
            </w:tcBorders>
            <w:shd w:val="clear" w:color="auto" w:fill="FFF1E7"/>
            <w:tcMar>
              <w:top w:w="40" w:type="dxa"/>
              <w:bottom w:w="40" w:type="dxa"/>
              <w:right w:w="20" w:type="dxa"/>
            </w:tcMar>
            <w:vAlign w:val="bottom"/>
          </w:tcPr>
          <w:p w14:paraId="1D025213"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5214"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5215" w14:textId="77777777" w:rsidR="004421F6" w:rsidRDefault="00F15622">
            <w:pPr>
              <w:jc w:val="right"/>
              <w:textAlignment w:val="bottom"/>
            </w:pPr>
            <w:r>
              <w:rPr>
                <w:rFonts w:ascii="Arial" w:eastAsia="宋体" w:hAnsi="Arial" w:cs="Arial"/>
                <w:color w:val="000000"/>
                <w:sz w:val="17"/>
                <w:szCs w:val="17"/>
              </w:rPr>
              <w:t>90 </w:t>
            </w:r>
          </w:p>
        </w:tc>
        <w:tc>
          <w:tcPr>
            <w:tcW w:w="0" w:type="auto"/>
            <w:tcBorders>
              <w:top w:val="single" w:sz="8" w:space="0" w:color="808080"/>
            </w:tcBorders>
            <w:shd w:val="clear" w:color="auto" w:fill="auto"/>
            <w:tcMar>
              <w:top w:w="40" w:type="dxa"/>
              <w:bottom w:w="40" w:type="dxa"/>
              <w:right w:w="20" w:type="dxa"/>
            </w:tcMar>
            <w:vAlign w:val="bottom"/>
          </w:tcPr>
          <w:p w14:paraId="1D025216" w14:textId="77777777" w:rsidR="004421F6" w:rsidRDefault="004421F6">
            <w:pPr>
              <w:jc w:val="right"/>
              <w:rPr>
                <w:rFonts w:ascii="宋体"/>
              </w:rPr>
            </w:pPr>
          </w:p>
        </w:tc>
        <w:tc>
          <w:tcPr>
            <w:tcW w:w="0" w:type="auto"/>
            <w:shd w:val="clear" w:color="auto" w:fill="auto"/>
          </w:tcPr>
          <w:p w14:paraId="1D025217" w14:textId="77777777" w:rsidR="004421F6" w:rsidRDefault="004421F6">
            <w:pPr>
              <w:rPr>
                <w:rFonts w:ascii="宋体"/>
              </w:rPr>
            </w:pPr>
          </w:p>
        </w:tc>
        <w:tc>
          <w:tcPr>
            <w:tcW w:w="0" w:type="auto"/>
            <w:shd w:val="clear" w:color="auto" w:fill="auto"/>
          </w:tcPr>
          <w:p w14:paraId="1D025218" w14:textId="77777777" w:rsidR="004421F6" w:rsidRDefault="004421F6">
            <w:pPr>
              <w:rPr>
                <w:rFonts w:ascii="宋体"/>
              </w:rPr>
            </w:pPr>
          </w:p>
        </w:tc>
        <w:tc>
          <w:tcPr>
            <w:tcW w:w="0" w:type="auto"/>
            <w:shd w:val="clear" w:color="auto" w:fill="auto"/>
          </w:tcPr>
          <w:p w14:paraId="1D025219" w14:textId="77777777" w:rsidR="004421F6" w:rsidRDefault="004421F6">
            <w:pPr>
              <w:rPr>
                <w:rFonts w:ascii="宋体"/>
              </w:rPr>
            </w:pPr>
          </w:p>
        </w:tc>
      </w:tr>
      <w:tr w:rsidR="004421F6" w14:paraId="1D025223"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1D02521B" w14:textId="77777777" w:rsidR="004421F6" w:rsidRDefault="00F15622">
            <w:pPr>
              <w:textAlignment w:val="bottom"/>
            </w:pPr>
            <w:r>
              <w:rPr>
                <w:rFonts w:ascii="Arial" w:eastAsia="宋体" w:hAnsi="Arial" w:cs="Arial"/>
                <w:color w:val="000000"/>
                <w:sz w:val="17"/>
                <w:szCs w:val="17"/>
              </w:rPr>
              <w:t>Dividends declared and not paid</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1D02521C" w14:textId="77777777" w:rsidR="004421F6" w:rsidRDefault="00F15622">
            <w:pPr>
              <w:jc w:val="right"/>
              <w:textAlignment w:val="bottom"/>
            </w:pPr>
            <w:r>
              <w:rPr>
                <w:rFonts w:ascii="Arial" w:eastAsia="宋体" w:hAnsi="Arial" w:cs="Arial"/>
                <w:color w:val="000000"/>
                <w:sz w:val="17"/>
                <w:szCs w:val="17"/>
              </w:rPr>
              <w:t>383 </w:t>
            </w:r>
          </w:p>
        </w:tc>
        <w:tc>
          <w:tcPr>
            <w:tcW w:w="0" w:type="auto"/>
            <w:tcBorders>
              <w:top w:val="single" w:sz="8" w:space="0" w:color="808080"/>
              <w:bottom w:val="single" w:sz="8" w:space="0" w:color="E87722"/>
            </w:tcBorders>
            <w:shd w:val="clear" w:color="auto" w:fill="FFF1E7"/>
            <w:tcMar>
              <w:top w:w="40" w:type="dxa"/>
              <w:bottom w:w="40" w:type="dxa"/>
              <w:right w:w="20" w:type="dxa"/>
            </w:tcMar>
            <w:vAlign w:val="bottom"/>
          </w:tcPr>
          <w:p w14:paraId="1D02521D" w14:textId="77777777" w:rsidR="004421F6" w:rsidRDefault="004421F6">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1D02521E" w14:textId="77777777" w:rsidR="004421F6" w:rsidRDefault="00F15622">
            <w:pPr>
              <w:jc w:val="right"/>
              <w:textAlignment w:val="bottom"/>
            </w:pPr>
            <w:r>
              <w:rPr>
                <w:rFonts w:ascii="Arial" w:eastAsia="宋体" w:hAnsi="Arial" w:cs="Arial"/>
                <w:color w:val="000000"/>
                <w:sz w:val="17"/>
                <w:szCs w:val="17"/>
              </w:rPr>
              <w:t>344 </w:t>
            </w:r>
          </w:p>
        </w:tc>
        <w:tc>
          <w:tcPr>
            <w:tcW w:w="0" w:type="auto"/>
            <w:tcBorders>
              <w:top w:val="single" w:sz="8" w:space="0" w:color="808080"/>
              <w:bottom w:val="single" w:sz="8" w:space="0" w:color="E87722"/>
            </w:tcBorders>
            <w:shd w:val="clear" w:color="auto" w:fill="auto"/>
            <w:tcMar>
              <w:top w:w="40" w:type="dxa"/>
              <w:bottom w:w="40" w:type="dxa"/>
              <w:right w:w="20" w:type="dxa"/>
            </w:tcMar>
            <w:vAlign w:val="bottom"/>
          </w:tcPr>
          <w:p w14:paraId="1D02521F" w14:textId="77777777" w:rsidR="004421F6" w:rsidRDefault="004421F6">
            <w:pPr>
              <w:jc w:val="right"/>
              <w:rPr>
                <w:rFonts w:ascii="宋体"/>
              </w:rPr>
            </w:pPr>
          </w:p>
        </w:tc>
        <w:tc>
          <w:tcPr>
            <w:tcW w:w="0" w:type="auto"/>
            <w:shd w:val="clear" w:color="auto" w:fill="auto"/>
          </w:tcPr>
          <w:p w14:paraId="1D025220" w14:textId="77777777" w:rsidR="004421F6" w:rsidRDefault="004421F6">
            <w:pPr>
              <w:rPr>
                <w:rFonts w:ascii="宋体"/>
              </w:rPr>
            </w:pPr>
          </w:p>
        </w:tc>
        <w:tc>
          <w:tcPr>
            <w:tcW w:w="0" w:type="auto"/>
            <w:shd w:val="clear" w:color="auto" w:fill="auto"/>
          </w:tcPr>
          <w:p w14:paraId="1D025221" w14:textId="77777777" w:rsidR="004421F6" w:rsidRDefault="004421F6">
            <w:pPr>
              <w:rPr>
                <w:rFonts w:ascii="宋体"/>
              </w:rPr>
            </w:pPr>
          </w:p>
        </w:tc>
        <w:tc>
          <w:tcPr>
            <w:tcW w:w="0" w:type="auto"/>
            <w:shd w:val="clear" w:color="auto" w:fill="auto"/>
          </w:tcPr>
          <w:p w14:paraId="1D025222" w14:textId="77777777" w:rsidR="004421F6" w:rsidRDefault="004421F6">
            <w:pPr>
              <w:rPr>
                <w:rFonts w:ascii="宋体"/>
              </w:rPr>
            </w:pPr>
          </w:p>
        </w:tc>
      </w:tr>
    </w:tbl>
    <w:p w14:paraId="1D025224" w14:textId="77777777" w:rsidR="004421F6" w:rsidRDefault="00F15622">
      <w:pPr>
        <w:spacing w:before="120" w:after="120"/>
      </w:pPr>
      <w:r>
        <w:rPr>
          <w:rFonts w:ascii="Arial" w:eastAsia="宋体" w:hAnsi="Arial" w:cs="Arial"/>
          <w:i/>
          <w:iCs/>
          <w:color w:val="000000"/>
          <w:sz w:val="17"/>
          <w:szCs w:val="17"/>
        </w:rPr>
        <w:t xml:space="preserve">The accompanying Notes to </w:t>
      </w:r>
      <w:r>
        <w:rPr>
          <w:rFonts w:ascii="Arial" w:eastAsia="宋体" w:hAnsi="Arial" w:cs="Arial"/>
          <w:i/>
          <w:iCs/>
          <w:color w:val="000000"/>
          <w:sz w:val="17"/>
          <w:szCs w:val="17"/>
        </w:rPr>
        <w:t>the Unaudited Condensed Consolidated Financial Statements are an integral part of this statement.</w:t>
      </w:r>
    </w:p>
    <w:p w14:paraId="1D025225" w14:textId="77777777" w:rsidR="004421F6" w:rsidRDefault="00F15622">
      <w:pPr>
        <w:spacing w:before="120" w:after="120"/>
      </w:pPr>
      <w:r>
        <w:rPr>
          <w:rFonts w:ascii="Arial" w:eastAsia="宋体" w:hAnsi="Arial" w:cs="Arial"/>
          <w:color w:val="E87722"/>
          <w:sz w:val="17"/>
          <w:szCs w:val="17"/>
        </w:rPr>
        <w:t>4</w:t>
      </w:r>
      <w:r>
        <w:rPr>
          <w:rFonts w:ascii="sans-serif" w:eastAsia="sans-serif" w:hAnsi="sans-serif" w:cs="sans-serif"/>
          <w:color w:val="000000"/>
          <w:sz w:val="17"/>
          <w:szCs w:val="17"/>
        </w:rPr>
        <w:t xml:space="preserve"> </w:t>
      </w:r>
    </w:p>
    <w:p w14:paraId="1D025226" w14:textId="77777777" w:rsidR="004421F6" w:rsidRDefault="00F15622">
      <w:r>
        <w:pict w14:anchorId="1D02727F">
          <v:rect id="_x0000_i1030" style="width:415.3pt;height:1.5pt" o:hralign="center" o:hrstd="t" o:hr="t" fillcolor="#a0a0a0" stroked="f"/>
        </w:pict>
      </w:r>
    </w:p>
    <w:p w14:paraId="1D025227" w14:textId="77777777" w:rsidR="004421F6" w:rsidRDefault="004421F6"/>
    <w:p w14:paraId="1D025228" w14:textId="77777777" w:rsidR="004421F6" w:rsidRDefault="00F15622">
      <w:hyperlink r:id="rId47" w:anchor="i3e524f2e23844e81ba9d33a05ac3917c_7" w:history="1">
        <w:r>
          <w:rPr>
            <w:rStyle w:val="a5"/>
            <w:rFonts w:ascii="sans-serif" w:eastAsia="sans-serif" w:hAnsi="sans-serif" w:cs="sans-serif"/>
            <w:sz w:val="17"/>
            <w:szCs w:val="17"/>
          </w:rPr>
          <w:t>Table of Contents</w:t>
        </w:r>
      </w:hyperlink>
    </w:p>
    <w:p w14:paraId="1D025229" w14:textId="77777777" w:rsidR="004421F6" w:rsidRDefault="004421F6"/>
    <w:p w14:paraId="1D02522A" w14:textId="77777777" w:rsidR="004421F6" w:rsidRDefault="00F15622">
      <w:pPr>
        <w:spacing w:before="300"/>
      </w:pPr>
      <w:r>
        <w:rPr>
          <w:rFonts w:ascii="sans-serif" w:eastAsia="sans-serif" w:hAnsi="sans-serif" w:cs="sans-serif"/>
          <w:b/>
          <w:bCs/>
          <w:color w:val="E87722"/>
          <w:sz w:val="36"/>
          <w:szCs w:val="36"/>
        </w:rPr>
        <w:t>NIKE, INC.</w:t>
      </w:r>
    </w:p>
    <w:p w14:paraId="1D02522B" w14:textId="77777777" w:rsidR="004421F6" w:rsidRDefault="00F15622">
      <w:pPr>
        <w:spacing w:before="120" w:after="120"/>
      </w:pPr>
      <w:r>
        <w:rPr>
          <w:rFonts w:ascii="sans-serif" w:eastAsia="sans-serif" w:hAnsi="sans-serif" w:cs="sans-serif"/>
          <w:b/>
          <w:bCs/>
          <w:color w:val="000000"/>
          <w:sz w:val="28"/>
          <w:szCs w:val="28"/>
        </w:rPr>
        <w:t>UNAUDITED CONDENSED CONSOLIDATED STATEMENTS OF SHAREHOLDERS' EQUITY</w:t>
      </w: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905"/>
        <w:gridCol w:w="38"/>
        <w:gridCol w:w="77"/>
        <w:gridCol w:w="393"/>
        <w:gridCol w:w="40"/>
        <w:gridCol w:w="111"/>
        <w:gridCol w:w="487"/>
        <w:gridCol w:w="40"/>
        <w:gridCol w:w="37"/>
        <w:gridCol w:w="35"/>
        <w:gridCol w:w="35"/>
        <w:gridCol w:w="77"/>
        <w:gridCol w:w="393"/>
        <w:gridCol w:w="40"/>
        <w:gridCol w:w="111"/>
        <w:gridCol w:w="483"/>
        <w:gridCol w:w="40"/>
        <w:gridCol w:w="110"/>
        <w:gridCol w:w="387"/>
        <w:gridCol w:w="40"/>
        <w:gridCol w:w="110"/>
        <w:gridCol w:w="328"/>
        <w:gridCol w:w="40"/>
        <w:gridCol w:w="110"/>
        <w:gridCol w:w="328"/>
        <w:gridCol w:w="40"/>
        <w:gridCol w:w="109"/>
        <w:gridCol w:w="387"/>
        <w:gridCol w:w="40"/>
        <w:gridCol w:w="221"/>
        <w:gridCol w:w="218"/>
        <w:gridCol w:w="218"/>
        <w:gridCol w:w="340"/>
        <w:gridCol w:w="338"/>
        <w:gridCol w:w="338"/>
        <w:gridCol w:w="212"/>
        <w:gridCol w:w="209"/>
        <w:gridCol w:w="209"/>
        <w:gridCol w:w="139"/>
        <w:gridCol w:w="136"/>
        <w:gridCol w:w="136"/>
        <w:gridCol w:w="35"/>
        <w:gridCol w:w="35"/>
        <w:gridCol w:w="35"/>
        <w:gridCol w:w="35"/>
        <w:gridCol w:w="35"/>
        <w:gridCol w:w="35"/>
      </w:tblGrid>
      <w:tr w:rsidR="004421F6" w14:paraId="1D02524A" w14:textId="77777777">
        <w:trPr>
          <w:gridAfter w:val="18"/>
          <w:jc w:val="center"/>
        </w:trPr>
        <w:tc>
          <w:tcPr>
            <w:tcW w:w="50" w:type="pct"/>
            <w:shd w:val="clear" w:color="auto" w:fill="auto"/>
          </w:tcPr>
          <w:p w14:paraId="1D02522C" w14:textId="77777777" w:rsidR="004421F6" w:rsidRDefault="004421F6">
            <w:pPr>
              <w:rPr>
                <w:rFonts w:ascii="宋体"/>
              </w:rPr>
            </w:pPr>
          </w:p>
        </w:tc>
        <w:tc>
          <w:tcPr>
            <w:tcW w:w="1560" w:type="pct"/>
            <w:shd w:val="clear" w:color="auto" w:fill="auto"/>
          </w:tcPr>
          <w:p w14:paraId="1D02522D" w14:textId="77777777" w:rsidR="004421F6" w:rsidRDefault="004421F6">
            <w:pPr>
              <w:rPr>
                <w:rFonts w:ascii="宋体"/>
              </w:rPr>
            </w:pPr>
          </w:p>
        </w:tc>
        <w:tc>
          <w:tcPr>
            <w:tcW w:w="5" w:type="pct"/>
            <w:shd w:val="clear" w:color="auto" w:fill="auto"/>
          </w:tcPr>
          <w:p w14:paraId="1D02522E" w14:textId="77777777" w:rsidR="004421F6" w:rsidRDefault="004421F6">
            <w:pPr>
              <w:rPr>
                <w:rFonts w:ascii="宋体"/>
              </w:rPr>
            </w:pPr>
          </w:p>
        </w:tc>
        <w:tc>
          <w:tcPr>
            <w:tcW w:w="50" w:type="pct"/>
            <w:shd w:val="clear" w:color="auto" w:fill="auto"/>
          </w:tcPr>
          <w:p w14:paraId="1D02522F" w14:textId="77777777" w:rsidR="004421F6" w:rsidRDefault="004421F6">
            <w:pPr>
              <w:rPr>
                <w:rFonts w:ascii="宋体"/>
              </w:rPr>
            </w:pPr>
          </w:p>
        </w:tc>
        <w:tc>
          <w:tcPr>
            <w:tcW w:w="285" w:type="pct"/>
            <w:shd w:val="clear" w:color="auto" w:fill="auto"/>
          </w:tcPr>
          <w:p w14:paraId="1D025230" w14:textId="77777777" w:rsidR="004421F6" w:rsidRDefault="004421F6">
            <w:pPr>
              <w:rPr>
                <w:rFonts w:ascii="宋体"/>
              </w:rPr>
            </w:pPr>
          </w:p>
        </w:tc>
        <w:tc>
          <w:tcPr>
            <w:tcW w:w="5" w:type="pct"/>
            <w:shd w:val="clear" w:color="auto" w:fill="auto"/>
          </w:tcPr>
          <w:p w14:paraId="1D025231" w14:textId="77777777" w:rsidR="004421F6" w:rsidRDefault="004421F6">
            <w:pPr>
              <w:rPr>
                <w:rFonts w:ascii="宋体"/>
              </w:rPr>
            </w:pPr>
          </w:p>
        </w:tc>
        <w:tc>
          <w:tcPr>
            <w:tcW w:w="50" w:type="pct"/>
            <w:shd w:val="clear" w:color="auto" w:fill="auto"/>
          </w:tcPr>
          <w:p w14:paraId="1D025232" w14:textId="77777777" w:rsidR="004421F6" w:rsidRDefault="004421F6">
            <w:pPr>
              <w:rPr>
                <w:rFonts w:ascii="宋体"/>
              </w:rPr>
            </w:pPr>
          </w:p>
        </w:tc>
        <w:tc>
          <w:tcPr>
            <w:tcW w:w="346" w:type="pct"/>
            <w:shd w:val="clear" w:color="auto" w:fill="auto"/>
          </w:tcPr>
          <w:p w14:paraId="1D025233" w14:textId="77777777" w:rsidR="004421F6" w:rsidRDefault="004421F6">
            <w:pPr>
              <w:rPr>
                <w:rFonts w:ascii="宋体"/>
              </w:rPr>
            </w:pPr>
          </w:p>
        </w:tc>
        <w:tc>
          <w:tcPr>
            <w:tcW w:w="5" w:type="pct"/>
            <w:shd w:val="clear" w:color="auto" w:fill="auto"/>
          </w:tcPr>
          <w:p w14:paraId="1D025234" w14:textId="77777777" w:rsidR="004421F6" w:rsidRDefault="004421F6">
            <w:pPr>
              <w:rPr>
                <w:rFonts w:ascii="宋体"/>
              </w:rPr>
            </w:pPr>
          </w:p>
        </w:tc>
        <w:tc>
          <w:tcPr>
            <w:tcW w:w="5" w:type="pct"/>
            <w:shd w:val="clear" w:color="auto" w:fill="auto"/>
          </w:tcPr>
          <w:p w14:paraId="1D025235" w14:textId="77777777" w:rsidR="004421F6" w:rsidRDefault="004421F6">
            <w:pPr>
              <w:rPr>
                <w:rFonts w:ascii="宋体"/>
              </w:rPr>
            </w:pPr>
          </w:p>
        </w:tc>
        <w:tc>
          <w:tcPr>
            <w:tcW w:w="28" w:type="pct"/>
            <w:shd w:val="clear" w:color="auto" w:fill="auto"/>
          </w:tcPr>
          <w:p w14:paraId="1D025236" w14:textId="77777777" w:rsidR="004421F6" w:rsidRDefault="004421F6">
            <w:pPr>
              <w:rPr>
                <w:rFonts w:ascii="宋体"/>
              </w:rPr>
            </w:pPr>
          </w:p>
        </w:tc>
        <w:tc>
          <w:tcPr>
            <w:tcW w:w="5" w:type="pct"/>
            <w:shd w:val="clear" w:color="auto" w:fill="auto"/>
          </w:tcPr>
          <w:p w14:paraId="1D025237" w14:textId="77777777" w:rsidR="004421F6" w:rsidRDefault="004421F6">
            <w:pPr>
              <w:rPr>
                <w:rFonts w:ascii="宋体"/>
              </w:rPr>
            </w:pPr>
          </w:p>
        </w:tc>
        <w:tc>
          <w:tcPr>
            <w:tcW w:w="50" w:type="pct"/>
            <w:shd w:val="clear" w:color="auto" w:fill="auto"/>
          </w:tcPr>
          <w:p w14:paraId="1D025238" w14:textId="77777777" w:rsidR="004421F6" w:rsidRDefault="004421F6">
            <w:pPr>
              <w:rPr>
                <w:rFonts w:ascii="宋体"/>
              </w:rPr>
            </w:pPr>
          </w:p>
        </w:tc>
        <w:tc>
          <w:tcPr>
            <w:tcW w:w="285" w:type="pct"/>
            <w:shd w:val="clear" w:color="auto" w:fill="auto"/>
          </w:tcPr>
          <w:p w14:paraId="1D025239" w14:textId="77777777" w:rsidR="004421F6" w:rsidRDefault="004421F6">
            <w:pPr>
              <w:rPr>
                <w:rFonts w:ascii="宋体"/>
              </w:rPr>
            </w:pPr>
          </w:p>
        </w:tc>
        <w:tc>
          <w:tcPr>
            <w:tcW w:w="5" w:type="pct"/>
            <w:shd w:val="clear" w:color="auto" w:fill="auto"/>
          </w:tcPr>
          <w:p w14:paraId="1D02523A" w14:textId="77777777" w:rsidR="004421F6" w:rsidRDefault="004421F6">
            <w:pPr>
              <w:rPr>
                <w:rFonts w:ascii="宋体"/>
              </w:rPr>
            </w:pPr>
          </w:p>
        </w:tc>
        <w:tc>
          <w:tcPr>
            <w:tcW w:w="50" w:type="pct"/>
            <w:shd w:val="clear" w:color="auto" w:fill="auto"/>
          </w:tcPr>
          <w:p w14:paraId="1D02523B" w14:textId="77777777" w:rsidR="004421F6" w:rsidRDefault="004421F6">
            <w:pPr>
              <w:rPr>
                <w:rFonts w:ascii="宋体"/>
              </w:rPr>
            </w:pPr>
          </w:p>
        </w:tc>
        <w:tc>
          <w:tcPr>
            <w:tcW w:w="323" w:type="pct"/>
            <w:shd w:val="clear" w:color="auto" w:fill="auto"/>
          </w:tcPr>
          <w:p w14:paraId="1D02523C" w14:textId="77777777" w:rsidR="004421F6" w:rsidRDefault="004421F6">
            <w:pPr>
              <w:rPr>
                <w:rFonts w:ascii="宋体"/>
              </w:rPr>
            </w:pPr>
          </w:p>
        </w:tc>
        <w:tc>
          <w:tcPr>
            <w:tcW w:w="5" w:type="pct"/>
            <w:shd w:val="clear" w:color="auto" w:fill="auto"/>
          </w:tcPr>
          <w:p w14:paraId="1D02523D" w14:textId="77777777" w:rsidR="004421F6" w:rsidRDefault="004421F6">
            <w:pPr>
              <w:rPr>
                <w:rFonts w:ascii="宋体"/>
              </w:rPr>
            </w:pPr>
          </w:p>
        </w:tc>
        <w:tc>
          <w:tcPr>
            <w:tcW w:w="50" w:type="pct"/>
            <w:shd w:val="clear" w:color="auto" w:fill="auto"/>
          </w:tcPr>
          <w:p w14:paraId="1D02523E" w14:textId="77777777" w:rsidR="004421F6" w:rsidRDefault="004421F6">
            <w:pPr>
              <w:rPr>
                <w:rFonts w:ascii="宋体"/>
              </w:rPr>
            </w:pPr>
          </w:p>
        </w:tc>
        <w:tc>
          <w:tcPr>
            <w:tcW w:w="385" w:type="pct"/>
            <w:shd w:val="clear" w:color="auto" w:fill="auto"/>
          </w:tcPr>
          <w:p w14:paraId="1D02523F" w14:textId="77777777" w:rsidR="004421F6" w:rsidRDefault="004421F6">
            <w:pPr>
              <w:rPr>
                <w:rFonts w:ascii="宋体"/>
              </w:rPr>
            </w:pPr>
          </w:p>
        </w:tc>
        <w:tc>
          <w:tcPr>
            <w:tcW w:w="5" w:type="pct"/>
            <w:shd w:val="clear" w:color="auto" w:fill="auto"/>
          </w:tcPr>
          <w:p w14:paraId="1D025240" w14:textId="77777777" w:rsidR="004421F6" w:rsidRDefault="004421F6">
            <w:pPr>
              <w:rPr>
                <w:rFonts w:ascii="宋体"/>
              </w:rPr>
            </w:pPr>
          </w:p>
        </w:tc>
        <w:tc>
          <w:tcPr>
            <w:tcW w:w="50" w:type="pct"/>
            <w:shd w:val="clear" w:color="auto" w:fill="auto"/>
          </w:tcPr>
          <w:p w14:paraId="1D025241" w14:textId="77777777" w:rsidR="004421F6" w:rsidRDefault="004421F6">
            <w:pPr>
              <w:rPr>
                <w:rFonts w:ascii="宋体"/>
              </w:rPr>
            </w:pPr>
          </w:p>
        </w:tc>
        <w:tc>
          <w:tcPr>
            <w:tcW w:w="586" w:type="pct"/>
            <w:shd w:val="clear" w:color="auto" w:fill="auto"/>
          </w:tcPr>
          <w:p w14:paraId="1D025242" w14:textId="77777777" w:rsidR="004421F6" w:rsidRDefault="004421F6">
            <w:pPr>
              <w:rPr>
                <w:rFonts w:ascii="宋体"/>
              </w:rPr>
            </w:pPr>
          </w:p>
        </w:tc>
        <w:tc>
          <w:tcPr>
            <w:tcW w:w="5" w:type="pct"/>
            <w:shd w:val="clear" w:color="auto" w:fill="auto"/>
          </w:tcPr>
          <w:p w14:paraId="1D025243" w14:textId="77777777" w:rsidR="004421F6" w:rsidRDefault="004421F6">
            <w:pPr>
              <w:rPr>
                <w:rFonts w:ascii="宋体"/>
              </w:rPr>
            </w:pPr>
          </w:p>
        </w:tc>
        <w:tc>
          <w:tcPr>
            <w:tcW w:w="50" w:type="pct"/>
            <w:shd w:val="clear" w:color="auto" w:fill="auto"/>
          </w:tcPr>
          <w:p w14:paraId="1D025244" w14:textId="77777777" w:rsidR="004421F6" w:rsidRDefault="004421F6">
            <w:pPr>
              <w:rPr>
                <w:rFonts w:ascii="宋体"/>
              </w:rPr>
            </w:pPr>
          </w:p>
        </w:tc>
        <w:tc>
          <w:tcPr>
            <w:tcW w:w="370" w:type="pct"/>
            <w:shd w:val="clear" w:color="auto" w:fill="auto"/>
          </w:tcPr>
          <w:p w14:paraId="1D025245" w14:textId="77777777" w:rsidR="004421F6" w:rsidRDefault="004421F6">
            <w:pPr>
              <w:rPr>
                <w:rFonts w:ascii="宋体"/>
              </w:rPr>
            </w:pPr>
          </w:p>
        </w:tc>
        <w:tc>
          <w:tcPr>
            <w:tcW w:w="5" w:type="pct"/>
            <w:shd w:val="clear" w:color="auto" w:fill="auto"/>
          </w:tcPr>
          <w:p w14:paraId="1D025246" w14:textId="77777777" w:rsidR="004421F6" w:rsidRDefault="004421F6">
            <w:pPr>
              <w:rPr>
                <w:rFonts w:ascii="宋体"/>
              </w:rPr>
            </w:pPr>
          </w:p>
        </w:tc>
        <w:tc>
          <w:tcPr>
            <w:tcW w:w="50" w:type="pct"/>
            <w:shd w:val="clear" w:color="auto" w:fill="auto"/>
          </w:tcPr>
          <w:p w14:paraId="1D025247" w14:textId="77777777" w:rsidR="004421F6" w:rsidRDefault="004421F6">
            <w:pPr>
              <w:rPr>
                <w:rFonts w:ascii="宋体"/>
              </w:rPr>
            </w:pPr>
          </w:p>
        </w:tc>
        <w:tc>
          <w:tcPr>
            <w:tcW w:w="323" w:type="pct"/>
            <w:shd w:val="clear" w:color="auto" w:fill="auto"/>
          </w:tcPr>
          <w:p w14:paraId="1D025248" w14:textId="77777777" w:rsidR="004421F6" w:rsidRDefault="004421F6">
            <w:pPr>
              <w:rPr>
                <w:rFonts w:ascii="宋体"/>
              </w:rPr>
            </w:pPr>
          </w:p>
        </w:tc>
        <w:tc>
          <w:tcPr>
            <w:tcW w:w="5" w:type="pct"/>
            <w:shd w:val="clear" w:color="auto" w:fill="auto"/>
          </w:tcPr>
          <w:p w14:paraId="1D025249" w14:textId="77777777" w:rsidR="004421F6" w:rsidRDefault="004421F6">
            <w:pPr>
              <w:rPr>
                <w:rFonts w:ascii="宋体"/>
              </w:rPr>
            </w:pPr>
          </w:p>
        </w:tc>
      </w:tr>
      <w:tr w:rsidR="004421F6" w14:paraId="1D025255" w14:textId="77777777">
        <w:trPr>
          <w:gridAfter w:val="6"/>
          <w:jc w:val="center"/>
        </w:trPr>
        <w:tc>
          <w:tcPr>
            <w:tcW w:w="0" w:type="auto"/>
            <w:gridSpan w:val="3"/>
            <w:shd w:val="clear" w:color="auto" w:fill="auto"/>
            <w:tcMar>
              <w:left w:w="20" w:type="dxa"/>
              <w:right w:w="20" w:type="dxa"/>
            </w:tcMar>
            <w:vAlign w:val="bottom"/>
          </w:tcPr>
          <w:p w14:paraId="1D02524B" w14:textId="77777777" w:rsidR="004421F6" w:rsidRDefault="004421F6">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1D02524C" w14:textId="77777777" w:rsidR="004421F6" w:rsidRDefault="00F15622">
            <w:pPr>
              <w:jc w:val="center"/>
              <w:textAlignment w:val="bottom"/>
            </w:pPr>
            <w:r>
              <w:rPr>
                <w:rFonts w:ascii="sans-serif" w:eastAsia="sans-serif" w:hAnsi="sans-serif" w:cs="sans-serif"/>
                <w:b/>
                <w:bCs/>
                <w:color w:val="000000"/>
                <w:sz w:val="17"/>
                <w:szCs w:val="17"/>
              </w:rPr>
              <w:t>COMMON STOCK</w:t>
            </w:r>
          </w:p>
        </w:tc>
        <w:tc>
          <w:tcPr>
            <w:tcW w:w="0" w:type="auto"/>
            <w:gridSpan w:val="3"/>
            <w:shd w:val="clear" w:color="auto" w:fill="auto"/>
          </w:tcPr>
          <w:p w14:paraId="1D02524D" w14:textId="77777777" w:rsidR="004421F6" w:rsidRDefault="004421F6">
            <w:pPr>
              <w:rPr>
                <w:rFonts w:ascii="宋体"/>
                <w:vanish/>
              </w:rPr>
            </w:pPr>
          </w:p>
        </w:tc>
        <w:tc>
          <w:tcPr>
            <w:tcW w:w="0" w:type="auto"/>
            <w:gridSpan w:val="3"/>
            <w:shd w:val="clear" w:color="auto" w:fill="auto"/>
          </w:tcPr>
          <w:p w14:paraId="1D02524E" w14:textId="77777777" w:rsidR="004421F6" w:rsidRDefault="004421F6">
            <w:pPr>
              <w:rPr>
                <w:rFonts w:ascii="宋体"/>
                <w:vanish/>
              </w:rPr>
            </w:pPr>
          </w:p>
        </w:tc>
        <w:tc>
          <w:tcPr>
            <w:tcW w:w="0" w:type="auto"/>
            <w:gridSpan w:val="3"/>
            <w:shd w:val="clear" w:color="auto" w:fill="auto"/>
          </w:tcPr>
          <w:p w14:paraId="1D02524F" w14:textId="77777777" w:rsidR="004421F6" w:rsidRDefault="004421F6">
            <w:pPr>
              <w:rPr>
                <w:rFonts w:ascii="宋体"/>
                <w:vanish/>
              </w:rPr>
            </w:pPr>
          </w:p>
        </w:tc>
        <w:tc>
          <w:tcPr>
            <w:tcW w:w="0" w:type="auto"/>
            <w:gridSpan w:val="3"/>
            <w:shd w:val="clear" w:color="auto" w:fill="auto"/>
          </w:tcPr>
          <w:p w14:paraId="1D025250" w14:textId="77777777" w:rsidR="004421F6" w:rsidRDefault="004421F6">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1D025251" w14:textId="77777777" w:rsidR="004421F6" w:rsidRDefault="00F15622">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1D025252" w14:textId="77777777" w:rsidR="004421F6" w:rsidRDefault="00F15622">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1D025253" w14:textId="77777777" w:rsidR="004421F6" w:rsidRDefault="00F15622">
            <w:pPr>
              <w:jc w:val="right"/>
              <w:textAlignment w:val="bottom"/>
            </w:pPr>
            <w:r>
              <w:rPr>
                <w:rFonts w:ascii="sans-serif" w:eastAsia="sans-serif" w:hAnsi="sans-serif" w:cs="sans-serif"/>
                <w:b/>
                <w:bCs/>
                <w:color w:val="000000"/>
                <w:sz w:val="17"/>
                <w:szCs w:val="17"/>
              </w:rPr>
              <w:t xml:space="preserve">RETAINED EARNINGS </w:t>
            </w:r>
            <w:r>
              <w:rPr>
                <w:rFonts w:ascii="sans-serif" w:eastAsia="sans-serif" w:hAnsi="sans-serif" w:cs="sans-serif"/>
                <w:b/>
                <w:bCs/>
                <w:color w:val="000000"/>
                <w:sz w:val="17"/>
                <w:szCs w:val="17"/>
              </w:rPr>
              <w:t>(DEFICIT)</w:t>
            </w:r>
          </w:p>
        </w:tc>
        <w:tc>
          <w:tcPr>
            <w:tcW w:w="0" w:type="auto"/>
            <w:gridSpan w:val="3"/>
            <w:vMerge w:val="restart"/>
            <w:shd w:val="clear" w:color="auto" w:fill="auto"/>
            <w:tcMar>
              <w:top w:w="40" w:type="dxa"/>
              <w:left w:w="20" w:type="dxa"/>
              <w:bottom w:w="40" w:type="dxa"/>
              <w:right w:w="20" w:type="dxa"/>
            </w:tcMar>
            <w:vAlign w:val="bottom"/>
          </w:tcPr>
          <w:p w14:paraId="1D025254" w14:textId="77777777" w:rsidR="004421F6" w:rsidRDefault="00F15622">
            <w:pPr>
              <w:jc w:val="right"/>
              <w:textAlignment w:val="bottom"/>
            </w:pPr>
            <w:r>
              <w:rPr>
                <w:rFonts w:ascii="sans-serif" w:eastAsia="sans-serif" w:hAnsi="sans-serif" w:cs="sans-serif"/>
                <w:b/>
                <w:bCs/>
                <w:color w:val="000000"/>
                <w:sz w:val="17"/>
                <w:szCs w:val="17"/>
              </w:rPr>
              <w:t>TOTAL</w:t>
            </w:r>
          </w:p>
        </w:tc>
      </w:tr>
      <w:tr w:rsidR="004421F6" w14:paraId="1D025264" w14:textId="77777777">
        <w:trPr>
          <w:jc w:val="center"/>
        </w:trPr>
        <w:tc>
          <w:tcPr>
            <w:tcW w:w="0" w:type="auto"/>
            <w:gridSpan w:val="3"/>
            <w:shd w:val="clear" w:color="auto" w:fill="auto"/>
            <w:tcMar>
              <w:left w:w="20" w:type="dxa"/>
              <w:right w:w="20" w:type="dxa"/>
            </w:tcMar>
            <w:vAlign w:val="bottom"/>
          </w:tcPr>
          <w:p w14:paraId="1D025256" w14:textId="77777777" w:rsidR="004421F6" w:rsidRDefault="004421F6">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D025257" w14:textId="77777777" w:rsidR="004421F6" w:rsidRDefault="00F15622">
            <w:pPr>
              <w:jc w:val="center"/>
              <w:textAlignment w:val="bottom"/>
            </w:pPr>
            <w:r>
              <w:rPr>
                <w:rFonts w:ascii="sans-serif" w:eastAsia="sans-serif" w:hAnsi="sans-serif" w:cs="sans-serif"/>
                <w:b/>
                <w:bCs/>
                <w:color w:val="000000"/>
                <w:sz w:val="17"/>
                <w:szCs w:val="17"/>
              </w:rPr>
              <w:t>CLASS A</w:t>
            </w:r>
          </w:p>
        </w:tc>
        <w:tc>
          <w:tcPr>
            <w:tcW w:w="0" w:type="auto"/>
            <w:gridSpan w:val="3"/>
            <w:shd w:val="clear" w:color="auto" w:fill="auto"/>
          </w:tcPr>
          <w:p w14:paraId="1D025258" w14:textId="77777777" w:rsidR="004421F6" w:rsidRDefault="004421F6">
            <w:pPr>
              <w:rPr>
                <w:rFonts w:ascii="宋体"/>
                <w:vanish/>
              </w:rPr>
            </w:pPr>
          </w:p>
        </w:tc>
        <w:tc>
          <w:tcPr>
            <w:tcW w:w="0" w:type="auto"/>
            <w:gridSpan w:val="3"/>
            <w:tcBorders>
              <w:top w:val="single" w:sz="8" w:space="0" w:color="E87722"/>
            </w:tcBorders>
            <w:shd w:val="clear" w:color="auto" w:fill="auto"/>
            <w:tcMar>
              <w:left w:w="20" w:type="dxa"/>
              <w:right w:w="20" w:type="dxa"/>
            </w:tcMar>
            <w:vAlign w:val="bottom"/>
          </w:tcPr>
          <w:p w14:paraId="1D025259" w14:textId="77777777" w:rsidR="004421F6" w:rsidRDefault="004421F6">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D02525A" w14:textId="77777777" w:rsidR="004421F6" w:rsidRDefault="00F15622">
            <w:pPr>
              <w:jc w:val="center"/>
              <w:textAlignment w:val="bottom"/>
            </w:pPr>
            <w:r>
              <w:rPr>
                <w:rFonts w:ascii="sans-serif" w:eastAsia="sans-serif" w:hAnsi="sans-serif" w:cs="sans-serif"/>
                <w:b/>
                <w:bCs/>
                <w:color w:val="000000"/>
                <w:sz w:val="17"/>
                <w:szCs w:val="17"/>
              </w:rPr>
              <w:t>CLASS B</w:t>
            </w:r>
          </w:p>
        </w:tc>
        <w:tc>
          <w:tcPr>
            <w:tcW w:w="0" w:type="auto"/>
            <w:gridSpan w:val="3"/>
            <w:shd w:val="clear" w:color="auto" w:fill="auto"/>
          </w:tcPr>
          <w:p w14:paraId="1D02525B" w14:textId="77777777" w:rsidR="004421F6" w:rsidRDefault="004421F6">
            <w:pPr>
              <w:rPr>
                <w:rFonts w:ascii="宋体"/>
                <w:vanish/>
              </w:rPr>
            </w:pPr>
          </w:p>
        </w:tc>
        <w:tc>
          <w:tcPr>
            <w:tcW w:w="0" w:type="auto"/>
            <w:gridSpan w:val="3"/>
            <w:shd w:val="clear" w:color="auto" w:fill="auto"/>
          </w:tcPr>
          <w:p w14:paraId="1D02525C" w14:textId="77777777" w:rsidR="004421F6" w:rsidRDefault="004421F6">
            <w:pPr>
              <w:rPr>
                <w:rFonts w:ascii="宋体"/>
                <w:vanish/>
              </w:rPr>
            </w:pPr>
          </w:p>
        </w:tc>
        <w:tc>
          <w:tcPr>
            <w:tcW w:w="0" w:type="auto"/>
            <w:gridSpan w:val="3"/>
            <w:shd w:val="clear" w:color="auto" w:fill="auto"/>
          </w:tcPr>
          <w:p w14:paraId="1D02525D" w14:textId="77777777" w:rsidR="004421F6" w:rsidRDefault="004421F6">
            <w:pPr>
              <w:rPr>
                <w:rFonts w:ascii="宋体"/>
                <w:vanish/>
              </w:rPr>
            </w:pPr>
          </w:p>
        </w:tc>
        <w:tc>
          <w:tcPr>
            <w:tcW w:w="0" w:type="auto"/>
            <w:gridSpan w:val="3"/>
            <w:vMerge/>
            <w:shd w:val="clear" w:color="auto" w:fill="auto"/>
            <w:tcMar>
              <w:top w:w="40" w:type="dxa"/>
              <w:left w:w="20" w:type="dxa"/>
              <w:bottom w:w="40" w:type="dxa"/>
              <w:right w:w="20" w:type="dxa"/>
            </w:tcMar>
            <w:vAlign w:val="bottom"/>
          </w:tcPr>
          <w:p w14:paraId="1D02525E" w14:textId="77777777" w:rsidR="004421F6" w:rsidRDefault="004421F6">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1D02525F" w14:textId="77777777" w:rsidR="004421F6" w:rsidRDefault="004421F6">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1D025260" w14:textId="77777777" w:rsidR="004421F6" w:rsidRDefault="004421F6">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1D025261" w14:textId="77777777" w:rsidR="004421F6" w:rsidRDefault="004421F6">
            <w:pPr>
              <w:jc w:val="right"/>
              <w:rPr>
                <w:rFonts w:ascii="宋体"/>
              </w:rPr>
            </w:pPr>
          </w:p>
        </w:tc>
        <w:tc>
          <w:tcPr>
            <w:tcW w:w="0" w:type="auto"/>
            <w:gridSpan w:val="3"/>
            <w:shd w:val="clear" w:color="auto" w:fill="auto"/>
          </w:tcPr>
          <w:p w14:paraId="1D025262" w14:textId="77777777" w:rsidR="004421F6" w:rsidRDefault="004421F6">
            <w:pPr>
              <w:rPr>
                <w:rFonts w:ascii="宋体"/>
                <w:vanish/>
              </w:rPr>
            </w:pPr>
          </w:p>
        </w:tc>
        <w:tc>
          <w:tcPr>
            <w:tcW w:w="0" w:type="auto"/>
            <w:gridSpan w:val="3"/>
            <w:shd w:val="clear" w:color="auto" w:fill="auto"/>
          </w:tcPr>
          <w:p w14:paraId="1D025263" w14:textId="77777777" w:rsidR="004421F6" w:rsidRDefault="004421F6">
            <w:pPr>
              <w:rPr>
                <w:rFonts w:ascii="宋体"/>
                <w:vanish/>
              </w:rPr>
            </w:pPr>
          </w:p>
        </w:tc>
      </w:tr>
      <w:tr w:rsidR="004421F6" w14:paraId="1D025279" w14:textId="77777777">
        <w:trPr>
          <w:jc w:val="center"/>
        </w:trPr>
        <w:tc>
          <w:tcPr>
            <w:tcW w:w="0" w:type="auto"/>
            <w:gridSpan w:val="3"/>
            <w:shd w:val="clear" w:color="auto" w:fill="auto"/>
            <w:tcMar>
              <w:top w:w="40" w:type="dxa"/>
              <w:left w:w="20" w:type="dxa"/>
              <w:bottom w:w="40" w:type="dxa"/>
              <w:right w:w="20" w:type="dxa"/>
            </w:tcMar>
            <w:vAlign w:val="bottom"/>
          </w:tcPr>
          <w:p w14:paraId="1D025265" w14:textId="77777777" w:rsidR="004421F6" w:rsidRDefault="00F15622">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266" w14:textId="77777777" w:rsidR="004421F6" w:rsidRDefault="00F15622">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267" w14:textId="77777777" w:rsidR="004421F6" w:rsidRDefault="00F15622">
            <w:pPr>
              <w:jc w:val="right"/>
              <w:textAlignment w:val="bottom"/>
            </w:pPr>
            <w:r>
              <w:rPr>
                <w:rFonts w:ascii="sans-serif" w:eastAsia="sans-serif" w:hAnsi="sans-serif" w:cs="sans-serif"/>
                <w:b/>
                <w:bCs/>
                <w:color w:val="000000"/>
                <w:sz w:val="17"/>
                <w:szCs w:val="17"/>
              </w:rPr>
              <w:t>AMOUNT</w:t>
            </w:r>
          </w:p>
        </w:tc>
        <w:tc>
          <w:tcPr>
            <w:tcW w:w="0" w:type="auto"/>
            <w:gridSpan w:val="3"/>
            <w:shd w:val="clear" w:color="auto" w:fill="auto"/>
            <w:tcMar>
              <w:left w:w="20" w:type="dxa"/>
              <w:right w:w="20" w:type="dxa"/>
            </w:tcMar>
            <w:vAlign w:val="bottom"/>
          </w:tcPr>
          <w:p w14:paraId="1D025268" w14:textId="77777777" w:rsidR="004421F6" w:rsidRDefault="004421F6">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269" w14:textId="77777777" w:rsidR="004421F6" w:rsidRDefault="00F15622">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26A" w14:textId="77777777" w:rsidR="004421F6" w:rsidRDefault="00F15622">
            <w:pPr>
              <w:jc w:val="right"/>
              <w:textAlignment w:val="bottom"/>
            </w:pPr>
            <w:r>
              <w:rPr>
                <w:rFonts w:ascii="sans-serif" w:eastAsia="sans-serif" w:hAnsi="sans-serif" w:cs="sans-serif"/>
                <w:b/>
                <w:bCs/>
                <w:color w:val="000000"/>
                <w:sz w:val="17"/>
                <w:szCs w:val="17"/>
              </w:rPr>
              <w:t>AMOUNT</w:t>
            </w:r>
          </w:p>
        </w:tc>
        <w:tc>
          <w:tcPr>
            <w:tcW w:w="0" w:type="auto"/>
            <w:gridSpan w:val="3"/>
            <w:shd w:val="clear" w:color="auto" w:fill="auto"/>
          </w:tcPr>
          <w:p w14:paraId="1D02526B" w14:textId="77777777" w:rsidR="004421F6" w:rsidRDefault="004421F6">
            <w:pPr>
              <w:rPr>
                <w:rFonts w:ascii="宋体"/>
                <w:vanish/>
              </w:rPr>
            </w:pPr>
          </w:p>
        </w:tc>
        <w:tc>
          <w:tcPr>
            <w:tcW w:w="0" w:type="auto"/>
            <w:gridSpan w:val="3"/>
            <w:shd w:val="clear" w:color="auto" w:fill="auto"/>
          </w:tcPr>
          <w:p w14:paraId="1D02526C" w14:textId="77777777" w:rsidR="004421F6" w:rsidRDefault="004421F6">
            <w:pPr>
              <w:rPr>
                <w:rFonts w:ascii="宋体"/>
                <w:vanish/>
              </w:rPr>
            </w:pPr>
          </w:p>
        </w:tc>
        <w:tc>
          <w:tcPr>
            <w:tcW w:w="0" w:type="auto"/>
            <w:gridSpan w:val="3"/>
            <w:shd w:val="clear" w:color="auto" w:fill="auto"/>
          </w:tcPr>
          <w:p w14:paraId="1D02526D" w14:textId="77777777" w:rsidR="004421F6" w:rsidRDefault="004421F6">
            <w:pPr>
              <w:rPr>
                <w:rFonts w:ascii="宋体"/>
                <w:vanish/>
              </w:rPr>
            </w:pPr>
          </w:p>
        </w:tc>
        <w:tc>
          <w:tcPr>
            <w:tcW w:w="0" w:type="auto"/>
            <w:gridSpan w:val="3"/>
            <w:shd w:val="clear" w:color="auto" w:fill="auto"/>
          </w:tcPr>
          <w:p w14:paraId="1D02526E" w14:textId="77777777" w:rsidR="004421F6" w:rsidRDefault="004421F6">
            <w:pPr>
              <w:rPr>
                <w:rFonts w:ascii="宋体"/>
                <w:vanish/>
              </w:rPr>
            </w:pPr>
          </w:p>
        </w:tc>
        <w:tc>
          <w:tcPr>
            <w:tcW w:w="0" w:type="auto"/>
            <w:gridSpan w:val="3"/>
            <w:vMerge/>
            <w:shd w:val="clear" w:color="auto" w:fill="auto"/>
            <w:tcMar>
              <w:top w:w="40" w:type="dxa"/>
              <w:left w:w="20" w:type="dxa"/>
              <w:bottom w:w="40" w:type="dxa"/>
              <w:right w:w="20" w:type="dxa"/>
            </w:tcMar>
            <w:vAlign w:val="bottom"/>
          </w:tcPr>
          <w:p w14:paraId="1D02526F" w14:textId="77777777" w:rsidR="004421F6" w:rsidRDefault="004421F6">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1D025270" w14:textId="77777777" w:rsidR="004421F6" w:rsidRDefault="004421F6">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1D025271" w14:textId="77777777" w:rsidR="004421F6" w:rsidRDefault="004421F6">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1D025272" w14:textId="77777777" w:rsidR="004421F6" w:rsidRDefault="004421F6">
            <w:pPr>
              <w:jc w:val="right"/>
              <w:rPr>
                <w:rFonts w:ascii="宋体"/>
              </w:rPr>
            </w:pPr>
          </w:p>
        </w:tc>
        <w:tc>
          <w:tcPr>
            <w:tcW w:w="0" w:type="auto"/>
            <w:shd w:val="clear" w:color="auto" w:fill="auto"/>
          </w:tcPr>
          <w:p w14:paraId="1D025273" w14:textId="77777777" w:rsidR="004421F6" w:rsidRDefault="004421F6">
            <w:pPr>
              <w:rPr>
                <w:rFonts w:ascii="宋体"/>
              </w:rPr>
            </w:pPr>
          </w:p>
        </w:tc>
        <w:tc>
          <w:tcPr>
            <w:tcW w:w="0" w:type="auto"/>
            <w:shd w:val="clear" w:color="auto" w:fill="auto"/>
          </w:tcPr>
          <w:p w14:paraId="1D025274" w14:textId="77777777" w:rsidR="004421F6" w:rsidRDefault="004421F6">
            <w:pPr>
              <w:rPr>
                <w:rFonts w:ascii="宋体"/>
              </w:rPr>
            </w:pPr>
          </w:p>
        </w:tc>
        <w:tc>
          <w:tcPr>
            <w:tcW w:w="0" w:type="auto"/>
            <w:shd w:val="clear" w:color="auto" w:fill="auto"/>
          </w:tcPr>
          <w:p w14:paraId="1D025275" w14:textId="77777777" w:rsidR="004421F6" w:rsidRDefault="004421F6">
            <w:pPr>
              <w:rPr>
                <w:rFonts w:ascii="宋体"/>
              </w:rPr>
            </w:pPr>
          </w:p>
        </w:tc>
        <w:tc>
          <w:tcPr>
            <w:tcW w:w="0" w:type="auto"/>
            <w:shd w:val="clear" w:color="auto" w:fill="auto"/>
          </w:tcPr>
          <w:p w14:paraId="1D025276" w14:textId="77777777" w:rsidR="004421F6" w:rsidRDefault="004421F6">
            <w:pPr>
              <w:rPr>
                <w:rFonts w:ascii="宋体"/>
              </w:rPr>
            </w:pPr>
          </w:p>
        </w:tc>
        <w:tc>
          <w:tcPr>
            <w:tcW w:w="0" w:type="auto"/>
            <w:shd w:val="clear" w:color="auto" w:fill="auto"/>
          </w:tcPr>
          <w:p w14:paraId="1D025277" w14:textId="77777777" w:rsidR="004421F6" w:rsidRDefault="004421F6">
            <w:pPr>
              <w:rPr>
                <w:rFonts w:ascii="宋体"/>
              </w:rPr>
            </w:pPr>
          </w:p>
        </w:tc>
        <w:tc>
          <w:tcPr>
            <w:tcW w:w="0" w:type="auto"/>
            <w:shd w:val="clear" w:color="auto" w:fill="auto"/>
          </w:tcPr>
          <w:p w14:paraId="1D025278" w14:textId="77777777" w:rsidR="004421F6" w:rsidRDefault="004421F6">
            <w:pPr>
              <w:rPr>
                <w:rFonts w:ascii="宋体"/>
              </w:rPr>
            </w:pPr>
          </w:p>
        </w:tc>
      </w:tr>
      <w:tr w:rsidR="004421F6" w14:paraId="1D0252A4"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27A" w14:textId="77777777" w:rsidR="004421F6" w:rsidRDefault="00F15622">
            <w:pPr>
              <w:textAlignment w:val="bottom"/>
            </w:pPr>
            <w:r>
              <w:rPr>
                <w:rFonts w:ascii="Arial" w:eastAsia="宋体" w:hAnsi="Arial" w:cs="Arial"/>
                <w:b/>
                <w:bCs/>
                <w:color w:val="000000"/>
                <w:sz w:val="17"/>
                <w:szCs w:val="17"/>
              </w:rPr>
              <w:t>Balance at May 31, 2020</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27B" w14:textId="77777777" w:rsidR="004421F6" w:rsidRDefault="00F15622">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27C"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27D"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27E" w14:textId="77777777" w:rsidR="004421F6" w:rsidRDefault="00F15622">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27F"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280" w14:textId="77777777" w:rsidR="004421F6" w:rsidRDefault="004421F6">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281" w14:textId="77777777" w:rsidR="004421F6" w:rsidRDefault="00F15622">
            <w:pPr>
              <w:jc w:val="right"/>
              <w:textAlignment w:val="bottom"/>
            </w:pPr>
            <w:r>
              <w:rPr>
                <w:rFonts w:ascii="Arial" w:eastAsia="宋体" w:hAnsi="Arial" w:cs="Arial"/>
                <w:b/>
                <w:bCs/>
                <w:color w:val="000000"/>
                <w:sz w:val="17"/>
                <w:szCs w:val="17"/>
              </w:rPr>
              <w:t>1,243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282"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283"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284" w14:textId="77777777" w:rsidR="004421F6" w:rsidRDefault="00F1562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285"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286"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287" w14:textId="77777777" w:rsidR="004421F6" w:rsidRDefault="00F15622">
            <w:pPr>
              <w:jc w:val="right"/>
              <w:textAlignment w:val="bottom"/>
            </w:pPr>
            <w:r>
              <w:rPr>
                <w:rFonts w:ascii="Arial" w:eastAsia="宋体" w:hAnsi="Arial" w:cs="Arial"/>
                <w:b/>
                <w:bCs/>
                <w:color w:val="000000"/>
                <w:sz w:val="17"/>
                <w:szCs w:val="17"/>
              </w:rPr>
              <w:t>8,299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288"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289"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28A" w14:textId="77777777" w:rsidR="004421F6" w:rsidRDefault="00F15622">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bottom w:w="40" w:type="dxa"/>
              <w:right w:w="20" w:type="dxa"/>
            </w:tcMar>
            <w:vAlign w:val="bottom"/>
          </w:tcPr>
          <w:p w14:paraId="1D02528B"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28C"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28D" w14:textId="77777777" w:rsidR="004421F6" w:rsidRDefault="00F15622">
            <w:pPr>
              <w:jc w:val="right"/>
              <w:textAlignment w:val="bottom"/>
            </w:pPr>
            <w:r>
              <w:rPr>
                <w:rFonts w:ascii="Arial" w:eastAsia="宋体" w:hAnsi="Arial" w:cs="Arial"/>
                <w:b/>
                <w:bCs/>
                <w:color w:val="000000"/>
                <w:sz w:val="17"/>
                <w:szCs w:val="17"/>
              </w:rPr>
              <w:t>(191)</w:t>
            </w:r>
          </w:p>
        </w:tc>
        <w:tc>
          <w:tcPr>
            <w:tcW w:w="0" w:type="auto"/>
            <w:tcBorders>
              <w:top w:val="single" w:sz="8" w:space="0" w:color="E87722"/>
            </w:tcBorders>
            <w:shd w:val="clear" w:color="auto" w:fill="auto"/>
            <w:tcMar>
              <w:top w:w="40" w:type="dxa"/>
              <w:bottom w:w="40" w:type="dxa"/>
              <w:right w:w="20" w:type="dxa"/>
            </w:tcMar>
            <w:vAlign w:val="bottom"/>
          </w:tcPr>
          <w:p w14:paraId="1D02528E"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28F"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290" w14:textId="77777777" w:rsidR="004421F6" w:rsidRDefault="00F15622">
            <w:pPr>
              <w:jc w:val="right"/>
              <w:textAlignment w:val="bottom"/>
            </w:pPr>
            <w:r>
              <w:rPr>
                <w:rFonts w:ascii="Arial" w:eastAsia="宋体" w:hAnsi="Arial" w:cs="Arial"/>
                <w:b/>
                <w:bCs/>
                <w:color w:val="000000"/>
                <w:sz w:val="17"/>
                <w:szCs w:val="17"/>
              </w:rPr>
              <w:t>8,055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291" w14:textId="77777777" w:rsidR="004421F6" w:rsidRDefault="004421F6">
            <w:pPr>
              <w:jc w:val="right"/>
              <w:rPr>
                <w:rFonts w:ascii="宋体"/>
              </w:rPr>
            </w:pPr>
          </w:p>
        </w:tc>
        <w:tc>
          <w:tcPr>
            <w:tcW w:w="0" w:type="auto"/>
            <w:shd w:val="clear" w:color="auto" w:fill="auto"/>
          </w:tcPr>
          <w:p w14:paraId="1D025292" w14:textId="77777777" w:rsidR="004421F6" w:rsidRDefault="004421F6">
            <w:pPr>
              <w:rPr>
                <w:rFonts w:ascii="宋体"/>
              </w:rPr>
            </w:pPr>
          </w:p>
        </w:tc>
        <w:tc>
          <w:tcPr>
            <w:tcW w:w="0" w:type="auto"/>
            <w:shd w:val="clear" w:color="auto" w:fill="auto"/>
          </w:tcPr>
          <w:p w14:paraId="1D025293" w14:textId="77777777" w:rsidR="004421F6" w:rsidRDefault="004421F6">
            <w:pPr>
              <w:rPr>
                <w:rFonts w:ascii="宋体"/>
              </w:rPr>
            </w:pPr>
          </w:p>
        </w:tc>
        <w:tc>
          <w:tcPr>
            <w:tcW w:w="0" w:type="auto"/>
            <w:shd w:val="clear" w:color="auto" w:fill="auto"/>
          </w:tcPr>
          <w:p w14:paraId="1D025294" w14:textId="77777777" w:rsidR="004421F6" w:rsidRDefault="004421F6">
            <w:pPr>
              <w:rPr>
                <w:rFonts w:ascii="宋体"/>
              </w:rPr>
            </w:pPr>
          </w:p>
        </w:tc>
        <w:tc>
          <w:tcPr>
            <w:tcW w:w="0" w:type="auto"/>
            <w:shd w:val="clear" w:color="auto" w:fill="auto"/>
          </w:tcPr>
          <w:p w14:paraId="1D025295" w14:textId="77777777" w:rsidR="004421F6" w:rsidRDefault="004421F6">
            <w:pPr>
              <w:rPr>
                <w:rFonts w:ascii="宋体"/>
              </w:rPr>
            </w:pPr>
          </w:p>
        </w:tc>
        <w:tc>
          <w:tcPr>
            <w:tcW w:w="0" w:type="auto"/>
            <w:shd w:val="clear" w:color="auto" w:fill="auto"/>
          </w:tcPr>
          <w:p w14:paraId="1D025296" w14:textId="77777777" w:rsidR="004421F6" w:rsidRDefault="004421F6">
            <w:pPr>
              <w:rPr>
                <w:rFonts w:ascii="宋体"/>
              </w:rPr>
            </w:pPr>
          </w:p>
        </w:tc>
        <w:tc>
          <w:tcPr>
            <w:tcW w:w="0" w:type="auto"/>
            <w:shd w:val="clear" w:color="auto" w:fill="auto"/>
          </w:tcPr>
          <w:p w14:paraId="1D025297" w14:textId="77777777" w:rsidR="004421F6" w:rsidRDefault="004421F6">
            <w:pPr>
              <w:rPr>
                <w:rFonts w:ascii="宋体"/>
              </w:rPr>
            </w:pPr>
          </w:p>
        </w:tc>
        <w:tc>
          <w:tcPr>
            <w:tcW w:w="0" w:type="auto"/>
            <w:shd w:val="clear" w:color="auto" w:fill="auto"/>
          </w:tcPr>
          <w:p w14:paraId="1D025298" w14:textId="77777777" w:rsidR="004421F6" w:rsidRDefault="004421F6">
            <w:pPr>
              <w:rPr>
                <w:rFonts w:ascii="宋体"/>
              </w:rPr>
            </w:pPr>
          </w:p>
        </w:tc>
        <w:tc>
          <w:tcPr>
            <w:tcW w:w="0" w:type="auto"/>
            <w:shd w:val="clear" w:color="auto" w:fill="auto"/>
          </w:tcPr>
          <w:p w14:paraId="1D025299" w14:textId="77777777" w:rsidR="004421F6" w:rsidRDefault="004421F6">
            <w:pPr>
              <w:rPr>
                <w:rFonts w:ascii="宋体"/>
              </w:rPr>
            </w:pPr>
          </w:p>
        </w:tc>
        <w:tc>
          <w:tcPr>
            <w:tcW w:w="0" w:type="auto"/>
            <w:shd w:val="clear" w:color="auto" w:fill="auto"/>
          </w:tcPr>
          <w:p w14:paraId="1D02529A" w14:textId="77777777" w:rsidR="004421F6" w:rsidRDefault="004421F6">
            <w:pPr>
              <w:rPr>
                <w:rFonts w:ascii="宋体"/>
              </w:rPr>
            </w:pPr>
          </w:p>
        </w:tc>
        <w:tc>
          <w:tcPr>
            <w:tcW w:w="0" w:type="auto"/>
            <w:shd w:val="clear" w:color="auto" w:fill="auto"/>
          </w:tcPr>
          <w:p w14:paraId="1D02529B" w14:textId="77777777" w:rsidR="004421F6" w:rsidRDefault="004421F6">
            <w:pPr>
              <w:rPr>
                <w:rFonts w:ascii="宋体"/>
              </w:rPr>
            </w:pPr>
          </w:p>
        </w:tc>
        <w:tc>
          <w:tcPr>
            <w:tcW w:w="0" w:type="auto"/>
            <w:shd w:val="clear" w:color="auto" w:fill="auto"/>
          </w:tcPr>
          <w:p w14:paraId="1D02529C" w14:textId="77777777" w:rsidR="004421F6" w:rsidRDefault="004421F6">
            <w:pPr>
              <w:rPr>
                <w:rFonts w:ascii="宋体"/>
              </w:rPr>
            </w:pPr>
          </w:p>
        </w:tc>
        <w:tc>
          <w:tcPr>
            <w:tcW w:w="0" w:type="auto"/>
            <w:shd w:val="clear" w:color="auto" w:fill="auto"/>
          </w:tcPr>
          <w:p w14:paraId="1D02529D" w14:textId="77777777" w:rsidR="004421F6" w:rsidRDefault="004421F6">
            <w:pPr>
              <w:rPr>
                <w:rFonts w:ascii="宋体"/>
              </w:rPr>
            </w:pPr>
          </w:p>
        </w:tc>
        <w:tc>
          <w:tcPr>
            <w:tcW w:w="0" w:type="auto"/>
            <w:shd w:val="clear" w:color="auto" w:fill="auto"/>
          </w:tcPr>
          <w:p w14:paraId="1D02529E" w14:textId="77777777" w:rsidR="004421F6" w:rsidRDefault="004421F6">
            <w:pPr>
              <w:rPr>
                <w:rFonts w:ascii="宋体"/>
              </w:rPr>
            </w:pPr>
          </w:p>
        </w:tc>
        <w:tc>
          <w:tcPr>
            <w:tcW w:w="0" w:type="auto"/>
            <w:shd w:val="clear" w:color="auto" w:fill="auto"/>
          </w:tcPr>
          <w:p w14:paraId="1D02529F" w14:textId="77777777" w:rsidR="004421F6" w:rsidRDefault="004421F6">
            <w:pPr>
              <w:rPr>
                <w:rFonts w:ascii="宋体"/>
              </w:rPr>
            </w:pPr>
          </w:p>
        </w:tc>
        <w:tc>
          <w:tcPr>
            <w:tcW w:w="0" w:type="auto"/>
            <w:shd w:val="clear" w:color="auto" w:fill="auto"/>
          </w:tcPr>
          <w:p w14:paraId="1D0252A0" w14:textId="77777777" w:rsidR="004421F6" w:rsidRDefault="004421F6">
            <w:pPr>
              <w:rPr>
                <w:rFonts w:ascii="宋体"/>
              </w:rPr>
            </w:pPr>
          </w:p>
        </w:tc>
        <w:tc>
          <w:tcPr>
            <w:tcW w:w="0" w:type="auto"/>
            <w:shd w:val="clear" w:color="auto" w:fill="auto"/>
          </w:tcPr>
          <w:p w14:paraId="1D0252A1" w14:textId="77777777" w:rsidR="004421F6" w:rsidRDefault="004421F6">
            <w:pPr>
              <w:rPr>
                <w:rFonts w:ascii="宋体"/>
              </w:rPr>
            </w:pPr>
          </w:p>
        </w:tc>
        <w:tc>
          <w:tcPr>
            <w:tcW w:w="0" w:type="auto"/>
            <w:shd w:val="clear" w:color="auto" w:fill="auto"/>
          </w:tcPr>
          <w:p w14:paraId="1D0252A2" w14:textId="77777777" w:rsidR="004421F6" w:rsidRDefault="004421F6">
            <w:pPr>
              <w:rPr>
                <w:rFonts w:ascii="宋体"/>
              </w:rPr>
            </w:pPr>
          </w:p>
        </w:tc>
        <w:tc>
          <w:tcPr>
            <w:tcW w:w="0" w:type="auto"/>
            <w:shd w:val="clear" w:color="auto" w:fill="auto"/>
          </w:tcPr>
          <w:p w14:paraId="1D0252A3" w14:textId="77777777" w:rsidR="004421F6" w:rsidRDefault="004421F6">
            <w:pPr>
              <w:rPr>
                <w:rFonts w:ascii="宋体"/>
              </w:rPr>
            </w:pPr>
          </w:p>
        </w:tc>
      </w:tr>
      <w:tr w:rsidR="004421F6" w14:paraId="1D0252C4"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2A5" w14:textId="77777777" w:rsidR="004421F6" w:rsidRDefault="00F15622">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FFF1E7"/>
            <w:tcMar>
              <w:left w:w="20" w:type="dxa"/>
              <w:right w:w="20" w:type="dxa"/>
            </w:tcMar>
            <w:vAlign w:val="bottom"/>
          </w:tcPr>
          <w:p w14:paraId="1D0252A6"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2A7"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2A8" w14:textId="77777777" w:rsidR="004421F6" w:rsidRDefault="004421F6">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2A9" w14:textId="77777777" w:rsidR="004421F6" w:rsidRDefault="00F15622">
            <w:pPr>
              <w:jc w:val="right"/>
              <w:textAlignment w:val="bottom"/>
            </w:pPr>
            <w:r>
              <w:rPr>
                <w:rFonts w:ascii="Arial" w:eastAsia="宋体" w:hAnsi="Arial" w:cs="Arial"/>
                <w:color w:val="000000"/>
                <w:sz w:val="17"/>
                <w:szCs w:val="17"/>
              </w:rPr>
              <w:t>7 </w:t>
            </w:r>
          </w:p>
        </w:tc>
        <w:tc>
          <w:tcPr>
            <w:tcW w:w="0" w:type="auto"/>
            <w:tcBorders>
              <w:top w:val="single" w:sz="8" w:space="0" w:color="E87722"/>
            </w:tcBorders>
            <w:shd w:val="clear" w:color="auto" w:fill="FFF1E7"/>
            <w:tcMar>
              <w:top w:w="40" w:type="dxa"/>
              <w:bottom w:w="40" w:type="dxa"/>
              <w:right w:w="20" w:type="dxa"/>
            </w:tcMar>
            <w:vAlign w:val="bottom"/>
          </w:tcPr>
          <w:p w14:paraId="1D0252AA" w14:textId="77777777" w:rsidR="004421F6" w:rsidRDefault="004421F6">
            <w:pPr>
              <w:jc w:val="right"/>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2AB" w14:textId="77777777" w:rsidR="004421F6" w:rsidRDefault="004421F6">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2AC" w14:textId="77777777" w:rsidR="004421F6" w:rsidRDefault="00F15622">
            <w:pPr>
              <w:jc w:val="right"/>
              <w:textAlignment w:val="bottom"/>
            </w:pPr>
            <w:r>
              <w:rPr>
                <w:rFonts w:ascii="Arial" w:eastAsia="宋体" w:hAnsi="Arial" w:cs="Arial"/>
                <w:color w:val="000000"/>
                <w:sz w:val="17"/>
                <w:szCs w:val="17"/>
              </w:rPr>
              <w:t>291 </w:t>
            </w:r>
          </w:p>
        </w:tc>
        <w:tc>
          <w:tcPr>
            <w:tcW w:w="0" w:type="auto"/>
            <w:tcBorders>
              <w:top w:val="single" w:sz="8" w:space="0" w:color="E87722"/>
            </w:tcBorders>
            <w:shd w:val="clear" w:color="auto" w:fill="FFF1E7"/>
            <w:tcMar>
              <w:top w:w="40" w:type="dxa"/>
              <w:bottom w:w="40" w:type="dxa"/>
              <w:right w:w="20" w:type="dxa"/>
            </w:tcMar>
            <w:vAlign w:val="bottom"/>
          </w:tcPr>
          <w:p w14:paraId="1D0252AD" w14:textId="77777777" w:rsidR="004421F6" w:rsidRDefault="004421F6">
            <w:pPr>
              <w:jc w:val="right"/>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2AE"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2AF" w14:textId="77777777" w:rsidR="004421F6" w:rsidRDefault="004421F6">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2B0" w14:textId="77777777" w:rsidR="004421F6" w:rsidRDefault="00F15622">
            <w:pPr>
              <w:jc w:val="right"/>
              <w:textAlignment w:val="bottom"/>
            </w:pPr>
            <w:r>
              <w:rPr>
                <w:rFonts w:ascii="Arial" w:eastAsia="宋体" w:hAnsi="Arial" w:cs="Arial"/>
                <w:color w:val="000000"/>
                <w:sz w:val="17"/>
                <w:szCs w:val="17"/>
              </w:rPr>
              <w:t>291 </w:t>
            </w:r>
          </w:p>
        </w:tc>
        <w:tc>
          <w:tcPr>
            <w:tcW w:w="0" w:type="auto"/>
            <w:tcBorders>
              <w:top w:val="single" w:sz="8" w:space="0" w:color="E87722"/>
            </w:tcBorders>
            <w:shd w:val="clear" w:color="auto" w:fill="FFF1E7"/>
            <w:tcMar>
              <w:top w:w="40" w:type="dxa"/>
              <w:bottom w:w="40" w:type="dxa"/>
              <w:right w:w="20" w:type="dxa"/>
            </w:tcMar>
            <w:vAlign w:val="bottom"/>
          </w:tcPr>
          <w:p w14:paraId="1D0252B1" w14:textId="77777777" w:rsidR="004421F6" w:rsidRDefault="004421F6">
            <w:pPr>
              <w:jc w:val="right"/>
              <w:rPr>
                <w:rFonts w:ascii="宋体"/>
              </w:rPr>
            </w:pPr>
          </w:p>
        </w:tc>
        <w:tc>
          <w:tcPr>
            <w:tcW w:w="0" w:type="auto"/>
            <w:shd w:val="clear" w:color="auto" w:fill="auto"/>
          </w:tcPr>
          <w:p w14:paraId="1D0252B2" w14:textId="77777777" w:rsidR="004421F6" w:rsidRDefault="004421F6">
            <w:pPr>
              <w:rPr>
                <w:rFonts w:ascii="宋体"/>
              </w:rPr>
            </w:pPr>
          </w:p>
        </w:tc>
        <w:tc>
          <w:tcPr>
            <w:tcW w:w="0" w:type="auto"/>
            <w:shd w:val="clear" w:color="auto" w:fill="auto"/>
          </w:tcPr>
          <w:p w14:paraId="1D0252B3" w14:textId="77777777" w:rsidR="004421F6" w:rsidRDefault="004421F6">
            <w:pPr>
              <w:rPr>
                <w:rFonts w:ascii="宋体"/>
              </w:rPr>
            </w:pPr>
          </w:p>
        </w:tc>
        <w:tc>
          <w:tcPr>
            <w:tcW w:w="0" w:type="auto"/>
            <w:shd w:val="clear" w:color="auto" w:fill="auto"/>
          </w:tcPr>
          <w:p w14:paraId="1D0252B4" w14:textId="77777777" w:rsidR="004421F6" w:rsidRDefault="004421F6">
            <w:pPr>
              <w:rPr>
                <w:rFonts w:ascii="宋体"/>
              </w:rPr>
            </w:pPr>
          </w:p>
        </w:tc>
        <w:tc>
          <w:tcPr>
            <w:tcW w:w="0" w:type="auto"/>
            <w:shd w:val="clear" w:color="auto" w:fill="auto"/>
          </w:tcPr>
          <w:p w14:paraId="1D0252B5" w14:textId="77777777" w:rsidR="004421F6" w:rsidRDefault="004421F6">
            <w:pPr>
              <w:rPr>
                <w:rFonts w:ascii="宋体"/>
              </w:rPr>
            </w:pPr>
          </w:p>
        </w:tc>
        <w:tc>
          <w:tcPr>
            <w:tcW w:w="0" w:type="auto"/>
            <w:shd w:val="clear" w:color="auto" w:fill="auto"/>
          </w:tcPr>
          <w:p w14:paraId="1D0252B6" w14:textId="77777777" w:rsidR="004421F6" w:rsidRDefault="004421F6">
            <w:pPr>
              <w:rPr>
                <w:rFonts w:ascii="宋体"/>
              </w:rPr>
            </w:pPr>
          </w:p>
        </w:tc>
        <w:tc>
          <w:tcPr>
            <w:tcW w:w="0" w:type="auto"/>
            <w:shd w:val="clear" w:color="auto" w:fill="auto"/>
          </w:tcPr>
          <w:p w14:paraId="1D0252B7" w14:textId="77777777" w:rsidR="004421F6" w:rsidRDefault="004421F6">
            <w:pPr>
              <w:rPr>
                <w:rFonts w:ascii="宋体"/>
              </w:rPr>
            </w:pPr>
          </w:p>
        </w:tc>
        <w:tc>
          <w:tcPr>
            <w:tcW w:w="0" w:type="auto"/>
            <w:shd w:val="clear" w:color="auto" w:fill="auto"/>
          </w:tcPr>
          <w:p w14:paraId="1D0252B8" w14:textId="77777777" w:rsidR="004421F6" w:rsidRDefault="004421F6">
            <w:pPr>
              <w:rPr>
                <w:rFonts w:ascii="宋体"/>
              </w:rPr>
            </w:pPr>
          </w:p>
        </w:tc>
        <w:tc>
          <w:tcPr>
            <w:tcW w:w="0" w:type="auto"/>
            <w:shd w:val="clear" w:color="auto" w:fill="auto"/>
          </w:tcPr>
          <w:p w14:paraId="1D0252B9" w14:textId="77777777" w:rsidR="004421F6" w:rsidRDefault="004421F6">
            <w:pPr>
              <w:rPr>
                <w:rFonts w:ascii="宋体"/>
              </w:rPr>
            </w:pPr>
          </w:p>
        </w:tc>
        <w:tc>
          <w:tcPr>
            <w:tcW w:w="0" w:type="auto"/>
            <w:shd w:val="clear" w:color="auto" w:fill="auto"/>
          </w:tcPr>
          <w:p w14:paraId="1D0252BA" w14:textId="77777777" w:rsidR="004421F6" w:rsidRDefault="004421F6">
            <w:pPr>
              <w:rPr>
                <w:rFonts w:ascii="宋体"/>
              </w:rPr>
            </w:pPr>
          </w:p>
        </w:tc>
        <w:tc>
          <w:tcPr>
            <w:tcW w:w="0" w:type="auto"/>
            <w:shd w:val="clear" w:color="auto" w:fill="auto"/>
          </w:tcPr>
          <w:p w14:paraId="1D0252BB" w14:textId="77777777" w:rsidR="004421F6" w:rsidRDefault="004421F6">
            <w:pPr>
              <w:rPr>
                <w:rFonts w:ascii="宋体"/>
              </w:rPr>
            </w:pPr>
          </w:p>
        </w:tc>
        <w:tc>
          <w:tcPr>
            <w:tcW w:w="0" w:type="auto"/>
            <w:shd w:val="clear" w:color="auto" w:fill="auto"/>
          </w:tcPr>
          <w:p w14:paraId="1D0252BC" w14:textId="77777777" w:rsidR="004421F6" w:rsidRDefault="004421F6">
            <w:pPr>
              <w:rPr>
                <w:rFonts w:ascii="宋体"/>
              </w:rPr>
            </w:pPr>
          </w:p>
        </w:tc>
        <w:tc>
          <w:tcPr>
            <w:tcW w:w="0" w:type="auto"/>
            <w:shd w:val="clear" w:color="auto" w:fill="auto"/>
          </w:tcPr>
          <w:p w14:paraId="1D0252BD" w14:textId="77777777" w:rsidR="004421F6" w:rsidRDefault="004421F6">
            <w:pPr>
              <w:rPr>
                <w:rFonts w:ascii="宋体"/>
              </w:rPr>
            </w:pPr>
          </w:p>
        </w:tc>
        <w:tc>
          <w:tcPr>
            <w:tcW w:w="0" w:type="auto"/>
            <w:shd w:val="clear" w:color="auto" w:fill="auto"/>
          </w:tcPr>
          <w:p w14:paraId="1D0252BE" w14:textId="77777777" w:rsidR="004421F6" w:rsidRDefault="004421F6">
            <w:pPr>
              <w:rPr>
                <w:rFonts w:ascii="宋体"/>
              </w:rPr>
            </w:pPr>
          </w:p>
        </w:tc>
        <w:tc>
          <w:tcPr>
            <w:tcW w:w="0" w:type="auto"/>
            <w:shd w:val="clear" w:color="auto" w:fill="auto"/>
          </w:tcPr>
          <w:p w14:paraId="1D0252BF" w14:textId="77777777" w:rsidR="004421F6" w:rsidRDefault="004421F6">
            <w:pPr>
              <w:rPr>
                <w:rFonts w:ascii="宋体"/>
              </w:rPr>
            </w:pPr>
          </w:p>
        </w:tc>
        <w:tc>
          <w:tcPr>
            <w:tcW w:w="0" w:type="auto"/>
            <w:shd w:val="clear" w:color="auto" w:fill="auto"/>
          </w:tcPr>
          <w:p w14:paraId="1D0252C0" w14:textId="77777777" w:rsidR="004421F6" w:rsidRDefault="004421F6">
            <w:pPr>
              <w:rPr>
                <w:rFonts w:ascii="宋体"/>
              </w:rPr>
            </w:pPr>
          </w:p>
        </w:tc>
        <w:tc>
          <w:tcPr>
            <w:tcW w:w="0" w:type="auto"/>
            <w:shd w:val="clear" w:color="auto" w:fill="auto"/>
          </w:tcPr>
          <w:p w14:paraId="1D0252C1" w14:textId="77777777" w:rsidR="004421F6" w:rsidRDefault="004421F6">
            <w:pPr>
              <w:rPr>
                <w:rFonts w:ascii="宋体"/>
              </w:rPr>
            </w:pPr>
          </w:p>
        </w:tc>
        <w:tc>
          <w:tcPr>
            <w:tcW w:w="0" w:type="auto"/>
            <w:shd w:val="clear" w:color="auto" w:fill="auto"/>
          </w:tcPr>
          <w:p w14:paraId="1D0252C2" w14:textId="77777777" w:rsidR="004421F6" w:rsidRDefault="004421F6">
            <w:pPr>
              <w:rPr>
                <w:rFonts w:ascii="宋体"/>
              </w:rPr>
            </w:pPr>
          </w:p>
        </w:tc>
        <w:tc>
          <w:tcPr>
            <w:tcW w:w="0" w:type="auto"/>
            <w:shd w:val="clear" w:color="auto" w:fill="auto"/>
          </w:tcPr>
          <w:p w14:paraId="1D0252C3" w14:textId="77777777" w:rsidR="004421F6" w:rsidRDefault="004421F6">
            <w:pPr>
              <w:rPr>
                <w:rFonts w:ascii="宋体"/>
              </w:rPr>
            </w:pPr>
          </w:p>
        </w:tc>
      </w:tr>
      <w:tr w:rsidR="004421F6" w14:paraId="1D0252E3"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2C5" w14:textId="77777777" w:rsidR="004421F6" w:rsidRDefault="00F15622">
            <w:pPr>
              <w:textAlignment w:val="bottom"/>
            </w:pPr>
            <w:r>
              <w:rPr>
                <w:rFonts w:ascii="Arial" w:eastAsia="宋体" w:hAnsi="Arial" w:cs="Arial"/>
                <w:color w:val="000000"/>
                <w:sz w:val="17"/>
                <w:szCs w:val="17"/>
              </w:rPr>
              <w:t>Dividends on common stock ($0.245 per share) and preferred stock ($0.10 per share)</w:t>
            </w:r>
          </w:p>
        </w:tc>
        <w:tc>
          <w:tcPr>
            <w:tcW w:w="0" w:type="auto"/>
            <w:gridSpan w:val="3"/>
            <w:tcBorders>
              <w:top w:val="single" w:sz="8" w:space="0" w:color="808080"/>
            </w:tcBorders>
            <w:shd w:val="clear" w:color="auto" w:fill="FFF1E7"/>
            <w:tcMar>
              <w:left w:w="20" w:type="dxa"/>
              <w:right w:w="20" w:type="dxa"/>
            </w:tcMar>
            <w:vAlign w:val="bottom"/>
          </w:tcPr>
          <w:p w14:paraId="1D0252C6"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2C7"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2C8"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2C9" w14:textId="77777777" w:rsidR="004421F6" w:rsidRDefault="004421F6">
            <w:pPr>
              <w:jc w:val="right"/>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2CA"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2CB" w14:textId="77777777" w:rsidR="004421F6" w:rsidRDefault="004421F6">
            <w:pPr>
              <w:jc w:val="right"/>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2CC" w14:textId="77777777" w:rsidR="004421F6" w:rsidRDefault="004421F6">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2CD" w14:textId="77777777" w:rsidR="004421F6" w:rsidRDefault="00F15622">
            <w:pPr>
              <w:jc w:val="right"/>
              <w:textAlignment w:val="bottom"/>
            </w:pPr>
            <w:r>
              <w:rPr>
                <w:rFonts w:ascii="Arial" w:eastAsia="宋体" w:hAnsi="Arial" w:cs="Arial"/>
                <w:color w:val="000000"/>
                <w:sz w:val="17"/>
                <w:szCs w:val="17"/>
              </w:rPr>
              <w:t>(383)</w:t>
            </w:r>
          </w:p>
        </w:tc>
        <w:tc>
          <w:tcPr>
            <w:tcW w:w="0" w:type="auto"/>
            <w:tcBorders>
              <w:top w:val="single" w:sz="8" w:space="0" w:color="808080"/>
            </w:tcBorders>
            <w:shd w:val="clear" w:color="auto" w:fill="FFF1E7"/>
            <w:tcMar>
              <w:top w:w="40" w:type="dxa"/>
              <w:bottom w:w="40" w:type="dxa"/>
              <w:right w:w="20" w:type="dxa"/>
            </w:tcMar>
            <w:vAlign w:val="bottom"/>
          </w:tcPr>
          <w:p w14:paraId="1D0252CE"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2CF" w14:textId="77777777" w:rsidR="004421F6" w:rsidRDefault="00F15622">
            <w:pPr>
              <w:jc w:val="right"/>
              <w:textAlignment w:val="bottom"/>
            </w:pPr>
            <w:r>
              <w:rPr>
                <w:rFonts w:ascii="Arial" w:eastAsia="宋体" w:hAnsi="Arial" w:cs="Arial"/>
                <w:color w:val="000000"/>
                <w:sz w:val="17"/>
                <w:szCs w:val="17"/>
              </w:rPr>
              <w:t>(383)</w:t>
            </w:r>
          </w:p>
        </w:tc>
        <w:tc>
          <w:tcPr>
            <w:tcW w:w="0" w:type="auto"/>
            <w:tcBorders>
              <w:top w:val="single" w:sz="8" w:space="0" w:color="808080"/>
            </w:tcBorders>
            <w:shd w:val="clear" w:color="auto" w:fill="FFF1E7"/>
            <w:tcMar>
              <w:top w:w="40" w:type="dxa"/>
              <w:bottom w:w="40" w:type="dxa"/>
              <w:right w:w="20" w:type="dxa"/>
            </w:tcMar>
            <w:vAlign w:val="bottom"/>
          </w:tcPr>
          <w:p w14:paraId="1D0252D0" w14:textId="77777777" w:rsidR="004421F6" w:rsidRDefault="004421F6">
            <w:pPr>
              <w:jc w:val="right"/>
              <w:rPr>
                <w:rFonts w:ascii="宋体"/>
              </w:rPr>
            </w:pPr>
          </w:p>
        </w:tc>
        <w:tc>
          <w:tcPr>
            <w:tcW w:w="0" w:type="auto"/>
            <w:shd w:val="clear" w:color="auto" w:fill="auto"/>
          </w:tcPr>
          <w:p w14:paraId="1D0252D1" w14:textId="77777777" w:rsidR="004421F6" w:rsidRDefault="004421F6">
            <w:pPr>
              <w:rPr>
                <w:rFonts w:ascii="宋体"/>
              </w:rPr>
            </w:pPr>
          </w:p>
        </w:tc>
        <w:tc>
          <w:tcPr>
            <w:tcW w:w="0" w:type="auto"/>
            <w:shd w:val="clear" w:color="auto" w:fill="auto"/>
          </w:tcPr>
          <w:p w14:paraId="1D0252D2" w14:textId="77777777" w:rsidR="004421F6" w:rsidRDefault="004421F6">
            <w:pPr>
              <w:rPr>
                <w:rFonts w:ascii="宋体"/>
              </w:rPr>
            </w:pPr>
          </w:p>
        </w:tc>
        <w:tc>
          <w:tcPr>
            <w:tcW w:w="0" w:type="auto"/>
            <w:shd w:val="clear" w:color="auto" w:fill="auto"/>
          </w:tcPr>
          <w:p w14:paraId="1D0252D3" w14:textId="77777777" w:rsidR="004421F6" w:rsidRDefault="004421F6">
            <w:pPr>
              <w:rPr>
                <w:rFonts w:ascii="宋体"/>
              </w:rPr>
            </w:pPr>
          </w:p>
        </w:tc>
        <w:tc>
          <w:tcPr>
            <w:tcW w:w="0" w:type="auto"/>
            <w:shd w:val="clear" w:color="auto" w:fill="auto"/>
          </w:tcPr>
          <w:p w14:paraId="1D0252D4" w14:textId="77777777" w:rsidR="004421F6" w:rsidRDefault="004421F6">
            <w:pPr>
              <w:rPr>
                <w:rFonts w:ascii="宋体"/>
              </w:rPr>
            </w:pPr>
          </w:p>
        </w:tc>
        <w:tc>
          <w:tcPr>
            <w:tcW w:w="0" w:type="auto"/>
            <w:shd w:val="clear" w:color="auto" w:fill="auto"/>
          </w:tcPr>
          <w:p w14:paraId="1D0252D5" w14:textId="77777777" w:rsidR="004421F6" w:rsidRDefault="004421F6">
            <w:pPr>
              <w:rPr>
                <w:rFonts w:ascii="宋体"/>
              </w:rPr>
            </w:pPr>
          </w:p>
        </w:tc>
        <w:tc>
          <w:tcPr>
            <w:tcW w:w="0" w:type="auto"/>
            <w:shd w:val="clear" w:color="auto" w:fill="auto"/>
          </w:tcPr>
          <w:p w14:paraId="1D0252D6" w14:textId="77777777" w:rsidR="004421F6" w:rsidRDefault="004421F6">
            <w:pPr>
              <w:rPr>
                <w:rFonts w:ascii="宋体"/>
              </w:rPr>
            </w:pPr>
          </w:p>
        </w:tc>
        <w:tc>
          <w:tcPr>
            <w:tcW w:w="0" w:type="auto"/>
            <w:shd w:val="clear" w:color="auto" w:fill="auto"/>
          </w:tcPr>
          <w:p w14:paraId="1D0252D7" w14:textId="77777777" w:rsidR="004421F6" w:rsidRDefault="004421F6">
            <w:pPr>
              <w:rPr>
                <w:rFonts w:ascii="宋体"/>
              </w:rPr>
            </w:pPr>
          </w:p>
        </w:tc>
        <w:tc>
          <w:tcPr>
            <w:tcW w:w="0" w:type="auto"/>
            <w:shd w:val="clear" w:color="auto" w:fill="auto"/>
          </w:tcPr>
          <w:p w14:paraId="1D0252D8" w14:textId="77777777" w:rsidR="004421F6" w:rsidRDefault="004421F6">
            <w:pPr>
              <w:rPr>
                <w:rFonts w:ascii="宋体"/>
              </w:rPr>
            </w:pPr>
          </w:p>
        </w:tc>
        <w:tc>
          <w:tcPr>
            <w:tcW w:w="0" w:type="auto"/>
            <w:shd w:val="clear" w:color="auto" w:fill="auto"/>
          </w:tcPr>
          <w:p w14:paraId="1D0252D9" w14:textId="77777777" w:rsidR="004421F6" w:rsidRDefault="004421F6">
            <w:pPr>
              <w:rPr>
                <w:rFonts w:ascii="宋体"/>
              </w:rPr>
            </w:pPr>
          </w:p>
        </w:tc>
        <w:tc>
          <w:tcPr>
            <w:tcW w:w="0" w:type="auto"/>
            <w:shd w:val="clear" w:color="auto" w:fill="auto"/>
          </w:tcPr>
          <w:p w14:paraId="1D0252DA" w14:textId="77777777" w:rsidR="004421F6" w:rsidRDefault="004421F6">
            <w:pPr>
              <w:rPr>
                <w:rFonts w:ascii="宋体"/>
              </w:rPr>
            </w:pPr>
          </w:p>
        </w:tc>
        <w:tc>
          <w:tcPr>
            <w:tcW w:w="0" w:type="auto"/>
            <w:shd w:val="clear" w:color="auto" w:fill="auto"/>
          </w:tcPr>
          <w:p w14:paraId="1D0252DB" w14:textId="77777777" w:rsidR="004421F6" w:rsidRDefault="004421F6">
            <w:pPr>
              <w:rPr>
                <w:rFonts w:ascii="宋体"/>
              </w:rPr>
            </w:pPr>
          </w:p>
        </w:tc>
        <w:tc>
          <w:tcPr>
            <w:tcW w:w="0" w:type="auto"/>
            <w:shd w:val="clear" w:color="auto" w:fill="auto"/>
          </w:tcPr>
          <w:p w14:paraId="1D0252DC" w14:textId="77777777" w:rsidR="004421F6" w:rsidRDefault="004421F6">
            <w:pPr>
              <w:rPr>
                <w:rFonts w:ascii="宋体"/>
              </w:rPr>
            </w:pPr>
          </w:p>
        </w:tc>
        <w:tc>
          <w:tcPr>
            <w:tcW w:w="0" w:type="auto"/>
            <w:shd w:val="clear" w:color="auto" w:fill="auto"/>
          </w:tcPr>
          <w:p w14:paraId="1D0252DD" w14:textId="77777777" w:rsidR="004421F6" w:rsidRDefault="004421F6">
            <w:pPr>
              <w:rPr>
                <w:rFonts w:ascii="宋体"/>
              </w:rPr>
            </w:pPr>
          </w:p>
        </w:tc>
        <w:tc>
          <w:tcPr>
            <w:tcW w:w="0" w:type="auto"/>
            <w:shd w:val="clear" w:color="auto" w:fill="auto"/>
          </w:tcPr>
          <w:p w14:paraId="1D0252DE" w14:textId="77777777" w:rsidR="004421F6" w:rsidRDefault="004421F6">
            <w:pPr>
              <w:rPr>
                <w:rFonts w:ascii="宋体"/>
              </w:rPr>
            </w:pPr>
          </w:p>
        </w:tc>
        <w:tc>
          <w:tcPr>
            <w:tcW w:w="0" w:type="auto"/>
            <w:shd w:val="clear" w:color="auto" w:fill="auto"/>
          </w:tcPr>
          <w:p w14:paraId="1D0252DF" w14:textId="77777777" w:rsidR="004421F6" w:rsidRDefault="004421F6">
            <w:pPr>
              <w:rPr>
                <w:rFonts w:ascii="宋体"/>
              </w:rPr>
            </w:pPr>
          </w:p>
        </w:tc>
        <w:tc>
          <w:tcPr>
            <w:tcW w:w="0" w:type="auto"/>
            <w:shd w:val="clear" w:color="auto" w:fill="auto"/>
          </w:tcPr>
          <w:p w14:paraId="1D0252E0" w14:textId="77777777" w:rsidR="004421F6" w:rsidRDefault="004421F6">
            <w:pPr>
              <w:rPr>
                <w:rFonts w:ascii="宋体"/>
              </w:rPr>
            </w:pPr>
          </w:p>
        </w:tc>
        <w:tc>
          <w:tcPr>
            <w:tcW w:w="0" w:type="auto"/>
            <w:shd w:val="clear" w:color="auto" w:fill="auto"/>
          </w:tcPr>
          <w:p w14:paraId="1D0252E1" w14:textId="77777777" w:rsidR="004421F6" w:rsidRDefault="004421F6">
            <w:pPr>
              <w:rPr>
                <w:rFonts w:ascii="宋体"/>
              </w:rPr>
            </w:pPr>
          </w:p>
        </w:tc>
        <w:tc>
          <w:tcPr>
            <w:tcW w:w="0" w:type="auto"/>
            <w:shd w:val="clear" w:color="auto" w:fill="auto"/>
          </w:tcPr>
          <w:p w14:paraId="1D0252E2" w14:textId="77777777" w:rsidR="004421F6" w:rsidRDefault="004421F6">
            <w:pPr>
              <w:rPr>
                <w:rFonts w:ascii="宋体"/>
              </w:rPr>
            </w:pPr>
          </w:p>
        </w:tc>
      </w:tr>
      <w:tr w:rsidR="004421F6" w14:paraId="1D025303"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2E4" w14:textId="77777777" w:rsidR="004421F6" w:rsidRDefault="00F15622">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8" w:space="0" w:color="808080"/>
            </w:tcBorders>
            <w:shd w:val="clear" w:color="auto" w:fill="FFF1E7"/>
            <w:tcMar>
              <w:left w:w="20" w:type="dxa"/>
              <w:right w:w="20" w:type="dxa"/>
            </w:tcMar>
            <w:vAlign w:val="bottom"/>
          </w:tcPr>
          <w:p w14:paraId="1D0252E5"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2E6"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2E7"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2E8" w14:textId="77777777" w:rsidR="004421F6" w:rsidRDefault="004421F6">
            <w:pPr>
              <w:jc w:val="right"/>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2E9" w14:textId="77777777" w:rsidR="004421F6" w:rsidRDefault="004421F6">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2EA" w14:textId="77777777" w:rsidR="004421F6" w:rsidRDefault="00F15622">
            <w:pPr>
              <w:jc w:val="right"/>
              <w:textAlignment w:val="bottom"/>
            </w:pPr>
            <w:r>
              <w:rPr>
                <w:rFonts w:ascii="Arial" w:eastAsia="宋体" w:hAnsi="Arial" w:cs="Arial"/>
                <w:color w:val="000000"/>
                <w:sz w:val="17"/>
                <w:szCs w:val="17"/>
              </w:rPr>
              <w:t>(31)</w:t>
            </w:r>
          </w:p>
        </w:tc>
        <w:tc>
          <w:tcPr>
            <w:tcW w:w="0" w:type="auto"/>
            <w:tcBorders>
              <w:top w:val="single" w:sz="8" w:space="0" w:color="808080"/>
            </w:tcBorders>
            <w:shd w:val="clear" w:color="auto" w:fill="FFF1E7"/>
            <w:tcMar>
              <w:top w:w="40" w:type="dxa"/>
              <w:bottom w:w="40" w:type="dxa"/>
              <w:right w:w="20" w:type="dxa"/>
            </w:tcMar>
            <w:vAlign w:val="bottom"/>
          </w:tcPr>
          <w:p w14:paraId="1D0252EB" w14:textId="77777777" w:rsidR="004421F6" w:rsidRDefault="004421F6">
            <w:pPr>
              <w:jc w:val="right"/>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2EC" w14:textId="77777777" w:rsidR="004421F6" w:rsidRDefault="004421F6">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2ED" w14:textId="77777777" w:rsidR="004421F6" w:rsidRDefault="00F15622">
            <w:pPr>
              <w:jc w:val="right"/>
              <w:textAlignment w:val="bottom"/>
            </w:pPr>
            <w:r>
              <w:rPr>
                <w:rFonts w:ascii="Arial" w:eastAsia="宋体" w:hAnsi="Arial" w:cs="Arial"/>
                <w:color w:val="000000"/>
                <w:sz w:val="17"/>
                <w:szCs w:val="17"/>
              </w:rPr>
              <w:t>(17)</w:t>
            </w:r>
          </w:p>
        </w:tc>
        <w:tc>
          <w:tcPr>
            <w:tcW w:w="0" w:type="auto"/>
            <w:tcBorders>
              <w:top w:val="single" w:sz="8" w:space="0" w:color="808080"/>
            </w:tcBorders>
            <w:shd w:val="clear" w:color="auto" w:fill="FFF1E7"/>
            <w:tcMar>
              <w:top w:w="40" w:type="dxa"/>
              <w:bottom w:w="40" w:type="dxa"/>
              <w:right w:w="20" w:type="dxa"/>
            </w:tcMar>
            <w:vAlign w:val="bottom"/>
          </w:tcPr>
          <w:p w14:paraId="1D0252EE"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2EF" w14:textId="77777777" w:rsidR="004421F6" w:rsidRDefault="00F15622">
            <w:pPr>
              <w:jc w:val="right"/>
              <w:textAlignment w:val="bottom"/>
            </w:pPr>
            <w:r>
              <w:rPr>
                <w:rFonts w:ascii="Arial" w:eastAsia="宋体" w:hAnsi="Arial" w:cs="Arial"/>
                <w:color w:val="000000"/>
                <w:sz w:val="17"/>
                <w:szCs w:val="17"/>
              </w:rPr>
              <w:t>(48)</w:t>
            </w:r>
          </w:p>
        </w:tc>
        <w:tc>
          <w:tcPr>
            <w:tcW w:w="0" w:type="auto"/>
            <w:tcBorders>
              <w:top w:val="single" w:sz="8" w:space="0" w:color="808080"/>
            </w:tcBorders>
            <w:shd w:val="clear" w:color="auto" w:fill="FFF1E7"/>
            <w:tcMar>
              <w:top w:w="40" w:type="dxa"/>
              <w:bottom w:w="40" w:type="dxa"/>
              <w:right w:w="20" w:type="dxa"/>
            </w:tcMar>
            <w:vAlign w:val="bottom"/>
          </w:tcPr>
          <w:p w14:paraId="1D0252F0" w14:textId="77777777" w:rsidR="004421F6" w:rsidRDefault="004421F6">
            <w:pPr>
              <w:jc w:val="right"/>
              <w:rPr>
                <w:rFonts w:ascii="宋体"/>
              </w:rPr>
            </w:pPr>
          </w:p>
        </w:tc>
        <w:tc>
          <w:tcPr>
            <w:tcW w:w="0" w:type="auto"/>
            <w:shd w:val="clear" w:color="auto" w:fill="auto"/>
          </w:tcPr>
          <w:p w14:paraId="1D0252F1" w14:textId="77777777" w:rsidR="004421F6" w:rsidRDefault="004421F6">
            <w:pPr>
              <w:rPr>
                <w:rFonts w:ascii="宋体"/>
              </w:rPr>
            </w:pPr>
          </w:p>
        </w:tc>
        <w:tc>
          <w:tcPr>
            <w:tcW w:w="0" w:type="auto"/>
            <w:shd w:val="clear" w:color="auto" w:fill="auto"/>
          </w:tcPr>
          <w:p w14:paraId="1D0252F2" w14:textId="77777777" w:rsidR="004421F6" w:rsidRDefault="004421F6">
            <w:pPr>
              <w:rPr>
                <w:rFonts w:ascii="宋体"/>
              </w:rPr>
            </w:pPr>
          </w:p>
        </w:tc>
        <w:tc>
          <w:tcPr>
            <w:tcW w:w="0" w:type="auto"/>
            <w:shd w:val="clear" w:color="auto" w:fill="auto"/>
          </w:tcPr>
          <w:p w14:paraId="1D0252F3" w14:textId="77777777" w:rsidR="004421F6" w:rsidRDefault="004421F6">
            <w:pPr>
              <w:rPr>
                <w:rFonts w:ascii="宋体"/>
              </w:rPr>
            </w:pPr>
          </w:p>
        </w:tc>
        <w:tc>
          <w:tcPr>
            <w:tcW w:w="0" w:type="auto"/>
            <w:shd w:val="clear" w:color="auto" w:fill="auto"/>
          </w:tcPr>
          <w:p w14:paraId="1D0252F4" w14:textId="77777777" w:rsidR="004421F6" w:rsidRDefault="004421F6">
            <w:pPr>
              <w:rPr>
                <w:rFonts w:ascii="宋体"/>
              </w:rPr>
            </w:pPr>
          </w:p>
        </w:tc>
        <w:tc>
          <w:tcPr>
            <w:tcW w:w="0" w:type="auto"/>
            <w:shd w:val="clear" w:color="auto" w:fill="auto"/>
          </w:tcPr>
          <w:p w14:paraId="1D0252F5" w14:textId="77777777" w:rsidR="004421F6" w:rsidRDefault="004421F6">
            <w:pPr>
              <w:rPr>
                <w:rFonts w:ascii="宋体"/>
              </w:rPr>
            </w:pPr>
          </w:p>
        </w:tc>
        <w:tc>
          <w:tcPr>
            <w:tcW w:w="0" w:type="auto"/>
            <w:shd w:val="clear" w:color="auto" w:fill="auto"/>
          </w:tcPr>
          <w:p w14:paraId="1D0252F6" w14:textId="77777777" w:rsidR="004421F6" w:rsidRDefault="004421F6">
            <w:pPr>
              <w:rPr>
                <w:rFonts w:ascii="宋体"/>
              </w:rPr>
            </w:pPr>
          </w:p>
        </w:tc>
        <w:tc>
          <w:tcPr>
            <w:tcW w:w="0" w:type="auto"/>
            <w:shd w:val="clear" w:color="auto" w:fill="auto"/>
          </w:tcPr>
          <w:p w14:paraId="1D0252F7" w14:textId="77777777" w:rsidR="004421F6" w:rsidRDefault="004421F6">
            <w:pPr>
              <w:rPr>
                <w:rFonts w:ascii="宋体"/>
              </w:rPr>
            </w:pPr>
          </w:p>
        </w:tc>
        <w:tc>
          <w:tcPr>
            <w:tcW w:w="0" w:type="auto"/>
            <w:shd w:val="clear" w:color="auto" w:fill="auto"/>
          </w:tcPr>
          <w:p w14:paraId="1D0252F8" w14:textId="77777777" w:rsidR="004421F6" w:rsidRDefault="004421F6">
            <w:pPr>
              <w:rPr>
                <w:rFonts w:ascii="宋体"/>
              </w:rPr>
            </w:pPr>
          </w:p>
        </w:tc>
        <w:tc>
          <w:tcPr>
            <w:tcW w:w="0" w:type="auto"/>
            <w:shd w:val="clear" w:color="auto" w:fill="auto"/>
          </w:tcPr>
          <w:p w14:paraId="1D0252F9" w14:textId="77777777" w:rsidR="004421F6" w:rsidRDefault="004421F6">
            <w:pPr>
              <w:rPr>
                <w:rFonts w:ascii="宋体"/>
              </w:rPr>
            </w:pPr>
          </w:p>
        </w:tc>
        <w:tc>
          <w:tcPr>
            <w:tcW w:w="0" w:type="auto"/>
            <w:shd w:val="clear" w:color="auto" w:fill="auto"/>
          </w:tcPr>
          <w:p w14:paraId="1D0252FA" w14:textId="77777777" w:rsidR="004421F6" w:rsidRDefault="004421F6">
            <w:pPr>
              <w:rPr>
                <w:rFonts w:ascii="宋体"/>
              </w:rPr>
            </w:pPr>
          </w:p>
        </w:tc>
        <w:tc>
          <w:tcPr>
            <w:tcW w:w="0" w:type="auto"/>
            <w:shd w:val="clear" w:color="auto" w:fill="auto"/>
          </w:tcPr>
          <w:p w14:paraId="1D0252FB" w14:textId="77777777" w:rsidR="004421F6" w:rsidRDefault="004421F6">
            <w:pPr>
              <w:rPr>
                <w:rFonts w:ascii="宋体"/>
              </w:rPr>
            </w:pPr>
          </w:p>
        </w:tc>
        <w:tc>
          <w:tcPr>
            <w:tcW w:w="0" w:type="auto"/>
            <w:shd w:val="clear" w:color="auto" w:fill="auto"/>
          </w:tcPr>
          <w:p w14:paraId="1D0252FC" w14:textId="77777777" w:rsidR="004421F6" w:rsidRDefault="004421F6">
            <w:pPr>
              <w:rPr>
                <w:rFonts w:ascii="宋体"/>
              </w:rPr>
            </w:pPr>
          </w:p>
        </w:tc>
        <w:tc>
          <w:tcPr>
            <w:tcW w:w="0" w:type="auto"/>
            <w:shd w:val="clear" w:color="auto" w:fill="auto"/>
          </w:tcPr>
          <w:p w14:paraId="1D0252FD" w14:textId="77777777" w:rsidR="004421F6" w:rsidRDefault="004421F6">
            <w:pPr>
              <w:rPr>
                <w:rFonts w:ascii="宋体"/>
              </w:rPr>
            </w:pPr>
          </w:p>
        </w:tc>
        <w:tc>
          <w:tcPr>
            <w:tcW w:w="0" w:type="auto"/>
            <w:shd w:val="clear" w:color="auto" w:fill="auto"/>
          </w:tcPr>
          <w:p w14:paraId="1D0252FE" w14:textId="77777777" w:rsidR="004421F6" w:rsidRDefault="004421F6">
            <w:pPr>
              <w:rPr>
                <w:rFonts w:ascii="宋体"/>
              </w:rPr>
            </w:pPr>
          </w:p>
        </w:tc>
        <w:tc>
          <w:tcPr>
            <w:tcW w:w="0" w:type="auto"/>
            <w:shd w:val="clear" w:color="auto" w:fill="auto"/>
          </w:tcPr>
          <w:p w14:paraId="1D0252FF" w14:textId="77777777" w:rsidR="004421F6" w:rsidRDefault="004421F6">
            <w:pPr>
              <w:rPr>
                <w:rFonts w:ascii="宋体"/>
              </w:rPr>
            </w:pPr>
          </w:p>
        </w:tc>
        <w:tc>
          <w:tcPr>
            <w:tcW w:w="0" w:type="auto"/>
            <w:shd w:val="clear" w:color="auto" w:fill="auto"/>
          </w:tcPr>
          <w:p w14:paraId="1D025300" w14:textId="77777777" w:rsidR="004421F6" w:rsidRDefault="004421F6">
            <w:pPr>
              <w:rPr>
                <w:rFonts w:ascii="宋体"/>
              </w:rPr>
            </w:pPr>
          </w:p>
        </w:tc>
        <w:tc>
          <w:tcPr>
            <w:tcW w:w="0" w:type="auto"/>
            <w:shd w:val="clear" w:color="auto" w:fill="auto"/>
          </w:tcPr>
          <w:p w14:paraId="1D025301" w14:textId="77777777" w:rsidR="004421F6" w:rsidRDefault="004421F6">
            <w:pPr>
              <w:rPr>
                <w:rFonts w:ascii="宋体"/>
              </w:rPr>
            </w:pPr>
          </w:p>
        </w:tc>
        <w:tc>
          <w:tcPr>
            <w:tcW w:w="0" w:type="auto"/>
            <w:shd w:val="clear" w:color="auto" w:fill="auto"/>
          </w:tcPr>
          <w:p w14:paraId="1D025302" w14:textId="77777777" w:rsidR="004421F6" w:rsidRDefault="004421F6">
            <w:pPr>
              <w:rPr>
                <w:rFonts w:ascii="宋体"/>
              </w:rPr>
            </w:pPr>
          </w:p>
        </w:tc>
      </w:tr>
      <w:tr w:rsidR="004421F6" w14:paraId="1D025322"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304" w14:textId="77777777" w:rsidR="004421F6" w:rsidRDefault="00F15622">
            <w:pPr>
              <w:textAlignment w:val="bottom"/>
            </w:pPr>
            <w:r>
              <w:rPr>
                <w:rFonts w:ascii="Arial" w:eastAsia="宋体" w:hAnsi="Arial" w:cs="Arial"/>
                <w:color w:val="000000"/>
                <w:sz w:val="17"/>
                <w:szCs w:val="17"/>
              </w:rPr>
              <w:t>Stock-based compensation</w:t>
            </w:r>
          </w:p>
        </w:tc>
        <w:tc>
          <w:tcPr>
            <w:tcW w:w="0" w:type="auto"/>
            <w:gridSpan w:val="3"/>
            <w:tcBorders>
              <w:top w:val="single" w:sz="8" w:space="0" w:color="808080"/>
            </w:tcBorders>
            <w:shd w:val="clear" w:color="auto" w:fill="FFF1E7"/>
            <w:tcMar>
              <w:left w:w="20" w:type="dxa"/>
              <w:right w:w="20" w:type="dxa"/>
            </w:tcMar>
            <w:vAlign w:val="bottom"/>
          </w:tcPr>
          <w:p w14:paraId="1D025305"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06"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07"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08" w14:textId="77777777" w:rsidR="004421F6" w:rsidRDefault="004421F6">
            <w:pPr>
              <w:jc w:val="right"/>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09" w14:textId="77777777" w:rsidR="004421F6" w:rsidRDefault="004421F6">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30A" w14:textId="77777777" w:rsidR="004421F6" w:rsidRDefault="00F15622">
            <w:pPr>
              <w:jc w:val="right"/>
              <w:textAlignment w:val="bottom"/>
            </w:pPr>
            <w:r>
              <w:rPr>
                <w:rFonts w:ascii="Arial" w:eastAsia="宋体" w:hAnsi="Arial" w:cs="Arial"/>
                <w:color w:val="000000"/>
                <w:sz w:val="17"/>
                <w:szCs w:val="17"/>
              </w:rPr>
              <w:t>136 </w:t>
            </w:r>
          </w:p>
        </w:tc>
        <w:tc>
          <w:tcPr>
            <w:tcW w:w="0" w:type="auto"/>
            <w:tcBorders>
              <w:top w:val="single" w:sz="8" w:space="0" w:color="808080"/>
            </w:tcBorders>
            <w:shd w:val="clear" w:color="auto" w:fill="FFF1E7"/>
            <w:tcMar>
              <w:top w:w="40" w:type="dxa"/>
              <w:bottom w:w="40" w:type="dxa"/>
              <w:right w:w="20" w:type="dxa"/>
            </w:tcMar>
            <w:vAlign w:val="bottom"/>
          </w:tcPr>
          <w:p w14:paraId="1D02530B" w14:textId="77777777" w:rsidR="004421F6" w:rsidRDefault="004421F6">
            <w:pPr>
              <w:jc w:val="right"/>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0C"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0D"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30E" w14:textId="77777777" w:rsidR="004421F6" w:rsidRDefault="00F15622">
            <w:pPr>
              <w:jc w:val="right"/>
              <w:textAlignment w:val="bottom"/>
            </w:pPr>
            <w:r>
              <w:rPr>
                <w:rFonts w:ascii="Arial" w:eastAsia="宋体" w:hAnsi="Arial" w:cs="Arial"/>
                <w:color w:val="000000"/>
                <w:sz w:val="17"/>
                <w:szCs w:val="17"/>
              </w:rPr>
              <w:t>136 </w:t>
            </w:r>
          </w:p>
        </w:tc>
        <w:tc>
          <w:tcPr>
            <w:tcW w:w="0" w:type="auto"/>
            <w:tcBorders>
              <w:top w:val="single" w:sz="8" w:space="0" w:color="808080"/>
            </w:tcBorders>
            <w:shd w:val="clear" w:color="auto" w:fill="FFF1E7"/>
            <w:tcMar>
              <w:top w:w="40" w:type="dxa"/>
              <w:bottom w:w="40" w:type="dxa"/>
              <w:right w:w="20" w:type="dxa"/>
            </w:tcMar>
            <w:vAlign w:val="bottom"/>
          </w:tcPr>
          <w:p w14:paraId="1D02530F" w14:textId="77777777" w:rsidR="004421F6" w:rsidRDefault="004421F6">
            <w:pPr>
              <w:jc w:val="right"/>
              <w:rPr>
                <w:rFonts w:ascii="宋体"/>
              </w:rPr>
            </w:pPr>
          </w:p>
        </w:tc>
        <w:tc>
          <w:tcPr>
            <w:tcW w:w="0" w:type="auto"/>
            <w:shd w:val="clear" w:color="auto" w:fill="auto"/>
          </w:tcPr>
          <w:p w14:paraId="1D025310" w14:textId="77777777" w:rsidR="004421F6" w:rsidRDefault="004421F6">
            <w:pPr>
              <w:rPr>
                <w:rFonts w:ascii="宋体"/>
              </w:rPr>
            </w:pPr>
          </w:p>
        </w:tc>
        <w:tc>
          <w:tcPr>
            <w:tcW w:w="0" w:type="auto"/>
            <w:shd w:val="clear" w:color="auto" w:fill="auto"/>
          </w:tcPr>
          <w:p w14:paraId="1D025311" w14:textId="77777777" w:rsidR="004421F6" w:rsidRDefault="004421F6">
            <w:pPr>
              <w:rPr>
                <w:rFonts w:ascii="宋体"/>
              </w:rPr>
            </w:pPr>
          </w:p>
        </w:tc>
        <w:tc>
          <w:tcPr>
            <w:tcW w:w="0" w:type="auto"/>
            <w:shd w:val="clear" w:color="auto" w:fill="auto"/>
          </w:tcPr>
          <w:p w14:paraId="1D025312" w14:textId="77777777" w:rsidR="004421F6" w:rsidRDefault="004421F6">
            <w:pPr>
              <w:rPr>
                <w:rFonts w:ascii="宋体"/>
              </w:rPr>
            </w:pPr>
          </w:p>
        </w:tc>
        <w:tc>
          <w:tcPr>
            <w:tcW w:w="0" w:type="auto"/>
            <w:shd w:val="clear" w:color="auto" w:fill="auto"/>
          </w:tcPr>
          <w:p w14:paraId="1D025313" w14:textId="77777777" w:rsidR="004421F6" w:rsidRDefault="004421F6">
            <w:pPr>
              <w:rPr>
                <w:rFonts w:ascii="宋体"/>
              </w:rPr>
            </w:pPr>
          </w:p>
        </w:tc>
        <w:tc>
          <w:tcPr>
            <w:tcW w:w="0" w:type="auto"/>
            <w:shd w:val="clear" w:color="auto" w:fill="auto"/>
          </w:tcPr>
          <w:p w14:paraId="1D025314" w14:textId="77777777" w:rsidR="004421F6" w:rsidRDefault="004421F6">
            <w:pPr>
              <w:rPr>
                <w:rFonts w:ascii="宋体"/>
              </w:rPr>
            </w:pPr>
          </w:p>
        </w:tc>
        <w:tc>
          <w:tcPr>
            <w:tcW w:w="0" w:type="auto"/>
            <w:shd w:val="clear" w:color="auto" w:fill="auto"/>
          </w:tcPr>
          <w:p w14:paraId="1D025315" w14:textId="77777777" w:rsidR="004421F6" w:rsidRDefault="004421F6">
            <w:pPr>
              <w:rPr>
                <w:rFonts w:ascii="宋体"/>
              </w:rPr>
            </w:pPr>
          </w:p>
        </w:tc>
        <w:tc>
          <w:tcPr>
            <w:tcW w:w="0" w:type="auto"/>
            <w:shd w:val="clear" w:color="auto" w:fill="auto"/>
          </w:tcPr>
          <w:p w14:paraId="1D025316" w14:textId="77777777" w:rsidR="004421F6" w:rsidRDefault="004421F6">
            <w:pPr>
              <w:rPr>
                <w:rFonts w:ascii="宋体"/>
              </w:rPr>
            </w:pPr>
          </w:p>
        </w:tc>
        <w:tc>
          <w:tcPr>
            <w:tcW w:w="0" w:type="auto"/>
            <w:shd w:val="clear" w:color="auto" w:fill="auto"/>
          </w:tcPr>
          <w:p w14:paraId="1D025317" w14:textId="77777777" w:rsidR="004421F6" w:rsidRDefault="004421F6">
            <w:pPr>
              <w:rPr>
                <w:rFonts w:ascii="宋体"/>
              </w:rPr>
            </w:pPr>
          </w:p>
        </w:tc>
        <w:tc>
          <w:tcPr>
            <w:tcW w:w="0" w:type="auto"/>
            <w:shd w:val="clear" w:color="auto" w:fill="auto"/>
          </w:tcPr>
          <w:p w14:paraId="1D025318" w14:textId="77777777" w:rsidR="004421F6" w:rsidRDefault="004421F6">
            <w:pPr>
              <w:rPr>
                <w:rFonts w:ascii="宋体"/>
              </w:rPr>
            </w:pPr>
          </w:p>
        </w:tc>
        <w:tc>
          <w:tcPr>
            <w:tcW w:w="0" w:type="auto"/>
            <w:shd w:val="clear" w:color="auto" w:fill="auto"/>
          </w:tcPr>
          <w:p w14:paraId="1D025319" w14:textId="77777777" w:rsidR="004421F6" w:rsidRDefault="004421F6">
            <w:pPr>
              <w:rPr>
                <w:rFonts w:ascii="宋体"/>
              </w:rPr>
            </w:pPr>
          </w:p>
        </w:tc>
        <w:tc>
          <w:tcPr>
            <w:tcW w:w="0" w:type="auto"/>
            <w:shd w:val="clear" w:color="auto" w:fill="auto"/>
          </w:tcPr>
          <w:p w14:paraId="1D02531A" w14:textId="77777777" w:rsidR="004421F6" w:rsidRDefault="004421F6">
            <w:pPr>
              <w:rPr>
                <w:rFonts w:ascii="宋体"/>
              </w:rPr>
            </w:pPr>
          </w:p>
        </w:tc>
        <w:tc>
          <w:tcPr>
            <w:tcW w:w="0" w:type="auto"/>
            <w:shd w:val="clear" w:color="auto" w:fill="auto"/>
          </w:tcPr>
          <w:p w14:paraId="1D02531B" w14:textId="77777777" w:rsidR="004421F6" w:rsidRDefault="004421F6">
            <w:pPr>
              <w:rPr>
                <w:rFonts w:ascii="宋体"/>
              </w:rPr>
            </w:pPr>
          </w:p>
        </w:tc>
        <w:tc>
          <w:tcPr>
            <w:tcW w:w="0" w:type="auto"/>
            <w:shd w:val="clear" w:color="auto" w:fill="auto"/>
          </w:tcPr>
          <w:p w14:paraId="1D02531C" w14:textId="77777777" w:rsidR="004421F6" w:rsidRDefault="004421F6">
            <w:pPr>
              <w:rPr>
                <w:rFonts w:ascii="宋体"/>
              </w:rPr>
            </w:pPr>
          </w:p>
        </w:tc>
        <w:tc>
          <w:tcPr>
            <w:tcW w:w="0" w:type="auto"/>
            <w:shd w:val="clear" w:color="auto" w:fill="auto"/>
          </w:tcPr>
          <w:p w14:paraId="1D02531D" w14:textId="77777777" w:rsidR="004421F6" w:rsidRDefault="004421F6">
            <w:pPr>
              <w:rPr>
                <w:rFonts w:ascii="宋体"/>
              </w:rPr>
            </w:pPr>
          </w:p>
        </w:tc>
        <w:tc>
          <w:tcPr>
            <w:tcW w:w="0" w:type="auto"/>
            <w:shd w:val="clear" w:color="auto" w:fill="auto"/>
          </w:tcPr>
          <w:p w14:paraId="1D02531E" w14:textId="77777777" w:rsidR="004421F6" w:rsidRDefault="004421F6">
            <w:pPr>
              <w:rPr>
                <w:rFonts w:ascii="宋体"/>
              </w:rPr>
            </w:pPr>
          </w:p>
        </w:tc>
        <w:tc>
          <w:tcPr>
            <w:tcW w:w="0" w:type="auto"/>
            <w:shd w:val="clear" w:color="auto" w:fill="auto"/>
          </w:tcPr>
          <w:p w14:paraId="1D02531F" w14:textId="77777777" w:rsidR="004421F6" w:rsidRDefault="004421F6">
            <w:pPr>
              <w:rPr>
                <w:rFonts w:ascii="宋体"/>
              </w:rPr>
            </w:pPr>
          </w:p>
        </w:tc>
        <w:tc>
          <w:tcPr>
            <w:tcW w:w="0" w:type="auto"/>
            <w:shd w:val="clear" w:color="auto" w:fill="auto"/>
          </w:tcPr>
          <w:p w14:paraId="1D025320" w14:textId="77777777" w:rsidR="004421F6" w:rsidRDefault="004421F6">
            <w:pPr>
              <w:rPr>
                <w:rFonts w:ascii="宋体"/>
              </w:rPr>
            </w:pPr>
          </w:p>
        </w:tc>
        <w:tc>
          <w:tcPr>
            <w:tcW w:w="0" w:type="auto"/>
            <w:shd w:val="clear" w:color="auto" w:fill="auto"/>
          </w:tcPr>
          <w:p w14:paraId="1D025321" w14:textId="77777777" w:rsidR="004421F6" w:rsidRDefault="004421F6">
            <w:pPr>
              <w:rPr>
                <w:rFonts w:ascii="宋体"/>
              </w:rPr>
            </w:pPr>
          </w:p>
        </w:tc>
      </w:tr>
      <w:tr w:rsidR="004421F6" w14:paraId="1D025341"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323" w14:textId="77777777" w:rsidR="004421F6" w:rsidRDefault="00F15622">
            <w:pPr>
              <w:textAlignment w:val="bottom"/>
            </w:pPr>
            <w:r>
              <w:rPr>
                <w:rFonts w:ascii="Arial" w:eastAsia="宋体" w:hAnsi="Arial" w:cs="Arial"/>
                <w:color w:val="000000"/>
                <w:sz w:val="17"/>
                <w:szCs w:val="17"/>
              </w:rPr>
              <w:t>Net income</w:t>
            </w:r>
          </w:p>
        </w:tc>
        <w:tc>
          <w:tcPr>
            <w:tcW w:w="0" w:type="auto"/>
            <w:gridSpan w:val="3"/>
            <w:tcBorders>
              <w:top w:val="single" w:sz="8" w:space="0" w:color="808080"/>
            </w:tcBorders>
            <w:shd w:val="clear" w:color="auto" w:fill="FFF1E7"/>
            <w:tcMar>
              <w:left w:w="20" w:type="dxa"/>
              <w:right w:w="20" w:type="dxa"/>
            </w:tcMar>
            <w:vAlign w:val="bottom"/>
          </w:tcPr>
          <w:p w14:paraId="1D025324"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25"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26"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27" w14:textId="77777777" w:rsidR="004421F6" w:rsidRDefault="004421F6">
            <w:pPr>
              <w:jc w:val="right"/>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28"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29" w14:textId="77777777" w:rsidR="004421F6" w:rsidRDefault="004421F6">
            <w:pPr>
              <w:jc w:val="right"/>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2A" w14:textId="77777777" w:rsidR="004421F6" w:rsidRDefault="004421F6">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32B" w14:textId="77777777" w:rsidR="004421F6" w:rsidRDefault="00F15622">
            <w:pPr>
              <w:jc w:val="right"/>
              <w:textAlignment w:val="bottom"/>
            </w:pPr>
            <w:r>
              <w:rPr>
                <w:rFonts w:ascii="Arial" w:eastAsia="宋体" w:hAnsi="Arial" w:cs="Arial"/>
                <w:color w:val="000000"/>
                <w:sz w:val="17"/>
                <w:szCs w:val="17"/>
              </w:rPr>
              <w:t>1,518 </w:t>
            </w:r>
          </w:p>
        </w:tc>
        <w:tc>
          <w:tcPr>
            <w:tcW w:w="0" w:type="auto"/>
            <w:tcBorders>
              <w:top w:val="single" w:sz="8" w:space="0" w:color="808080"/>
            </w:tcBorders>
            <w:shd w:val="clear" w:color="auto" w:fill="FFF1E7"/>
            <w:tcMar>
              <w:top w:w="40" w:type="dxa"/>
              <w:bottom w:w="40" w:type="dxa"/>
              <w:right w:w="20" w:type="dxa"/>
            </w:tcMar>
            <w:vAlign w:val="bottom"/>
          </w:tcPr>
          <w:p w14:paraId="1D02532C"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32D" w14:textId="77777777" w:rsidR="004421F6" w:rsidRDefault="00F15622">
            <w:pPr>
              <w:jc w:val="right"/>
              <w:textAlignment w:val="bottom"/>
            </w:pPr>
            <w:r>
              <w:rPr>
                <w:rFonts w:ascii="Arial" w:eastAsia="宋体" w:hAnsi="Arial" w:cs="Arial"/>
                <w:color w:val="000000"/>
                <w:sz w:val="17"/>
                <w:szCs w:val="17"/>
              </w:rPr>
              <w:t>1,518 </w:t>
            </w:r>
          </w:p>
        </w:tc>
        <w:tc>
          <w:tcPr>
            <w:tcW w:w="0" w:type="auto"/>
            <w:tcBorders>
              <w:top w:val="single" w:sz="8" w:space="0" w:color="808080"/>
            </w:tcBorders>
            <w:shd w:val="clear" w:color="auto" w:fill="FFF1E7"/>
            <w:tcMar>
              <w:top w:w="40" w:type="dxa"/>
              <w:bottom w:w="40" w:type="dxa"/>
              <w:right w:w="20" w:type="dxa"/>
            </w:tcMar>
            <w:vAlign w:val="bottom"/>
          </w:tcPr>
          <w:p w14:paraId="1D02532E" w14:textId="77777777" w:rsidR="004421F6" w:rsidRDefault="004421F6">
            <w:pPr>
              <w:jc w:val="right"/>
              <w:rPr>
                <w:rFonts w:ascii="宋体"/>
              </w:rPr>
            </w:pPr>
          </w:p>
        </w:tc>
        <w:tc>
          <w:tcPr>
            <w:tcW w:w="0" w:type="auto"/>
            <w:shd w:val="clear" w:color="auto" w:fill="auto"/>
          </w:tcPr>
          <w:p w14:paraId="1D02532F" w14:textId="77777777" w:rsidR="004421F6" w:rsidRDefault="004421F6">
            <w:pPr>
              <w:rPr>
                <w:rFonts w:ascii="宋体"/>
              </w:rPr>
            </w:pPr>
          </w:p>
        </w:tc>
        <w:tc>
          <w:tcPr>
            <w:tcW w:w="0" w:type="auto"/>
            <w:shd w:val="clear" w:color="auto" w:fill="auto"/>
          </w:tcPr>
          <w:p w14:paraId="1D025330" w14:textId="77777777" w:rsidR="004421F6" w:rsidRDefault="004421F6">
            <w:pPr>
              <w:rPr>
                <w:rFonts w:ascii="宋体"/>
              </w:rPr>
            </w:pPr>
          </w:p>
        </w:tc>
        <w:tc>
          <w:tcPr>
            <w:tcW w:w="0" w:type="auto"/>
            <w:shd w:val="clear" w:color="auto" w:fill="auto"/>
          </w:tcPr>
          <w:p w14:paraId="1D025331" w14:textId="77777777" w:rsidR="004421F6" w:rsidRDefault="004421F6">
            <w:pPr>
              <w:rPr>
                <w:rFonts w:ascii="宋体"/>
              </w:rPr>
            </w:pPr>
          </w:p>
        </w:tc>
        <w:tc>
          <w:tcPr>
            <w:tcW w:w="0" w:type="auto"/>
            <w:shd w:val="clear" w:color="auto" w:fill="auto"/>
          </w:tcPr>
          <w:p w14:paraId="1D025332" w14:textId="77777777" w:rsidR="004421F6" w:rsidRDefault="004421F6">
            <w:pPr>
              <w:rPr>
                <w:rFonts w:ascii="宋体"/>
              </w:rPr>
            </w:pPr>
          </w:p>
        </w:tc>
        <w:tc>
          <w:tcPr>
            <w:tcW w:w="0" w:type="auto"/>
            <w:shd w:val="clear" w:color="auto" w:fill="auto"/>
          </w:tcPr>
          <w:p w14:paraId="1D025333" w14:textId="77777777" w:rsidR="004421F6" w:rsidRDefault="004421F6">
            <w:pPr>
              <w:rPr>
                <w:rFonts w:ascii="宋体"/>
              </w:rPr>
            </w:pPr>
          </w:p>
        </w:tc>
        <w:tc>
          <w:tcPr>
            <w:tcW w:w="0" w:type="auto"/>
            <w:shd w:val="clear" w:color="auto" w:fill="auto"/>
          </w:tcPr>
          <w:p w14:paraId="1D025334" w14:textId="77777777" w:rsidR="004421F6" w:rsidRDefault="004421F6">
            <w:pPr>
              <w:rPr>
                <w:rFonts w:ascii="宋体"/>
              </w:rPr>
            </w:pPr>
          </w:p>
        </w:tc>
        <w:tc>
          <w:tcPr>
            <w:tcW w:w="0" w:type="auto"/>
            <w:shd w:val="clear" w:color="auto" w:fill="auto"/>
          </w:tcPr>
          <w:p w14:paraId="1D025335" w14:textId="77777777" w:rsidR="004421F6" w:rsidRDefault="004421F6">
            <w:pPr>
              <w:rPr>
                <w:rFonts w:ascii="宋体"/>
              </w:rPr>
            </w:pPr>
          </w:p>
        </w:tc>
        <w:tc>
          <w:tcPr>
            <w:tcW w:w="0" w:type="auto"/>
            <w:shd w:val="clear" w:color="auto" w:fill="auto"/>
          </w:tcPr>
          <w:p w14:paraId="1D025336" w14:textId="77777777" w:rsidR="004421F6" w:rsidRDefault="004421F6">
            <w:pPr>
              <w:rPr>
                <w:rFonts w:ascii="宋体"/>
              </w:rPr>
            </w:pPr>
          </w:p>
        </w:tc>
        <w:tc>
          <w:tcPr>
            <w:tcW w:w="0" w:type="auto"/>
            <w:shd w:val="clear" w:color="auto" w:fill="auto"/>
          </w:tcPr>
          <w:p w14:paraId="1D025337" w14:textId="77777777" w:rsidR="004421F6" w:rsidRDefault="004421F6">
            <w:pPr>
              <w:rPr>
                <w:rFonts w:ascii="宋体"/>
              </w:rPr>
            </w:pPr>
          </w:p>
        </w:tc>
        <w:tc>
          <w:tcPr>
            <w:tcW w:w="0" w:type="auto"/>
            <w:shd w:val="clear" w:color="auto" w:fill="auto"/>
          </w:tcPr>
          <w:p w14:paraId="1D025338" w14:textId="77777777" w:rsidR="004421F6" w:rsidRDefault="004421F6">
            <w:pPr>
              <w:rPr>
                <w:rFonts w:ascii="宋体"/>
              </w:rPr>
            </w:pPr>
          </w:p>
        </w:tc>
        <w:tc>
          <w:tcPr>
            <w:tcW w:w="0" w:type="auto"/>
            <w:shd w:val="clear" w:color="auto" w:fill="auto"/>
          </w:tcPr>
          <w:p w14:paraId="1D025339" w14:textId="77777777" w:rsidR="004421F6" w:rsidRDefault="004421F6">
            <w:pPr>
              <w:rPr>
                <w:rFonts w:ascii="宋体"/>
              </w:rPr>
            </w:pPr>
          </w:p>
        </w:tc>
        <w:tc>
          <w:tcPr>
            <w:tcW w:w="0" w:type="auto"/>
            <w:shd w:val="clear" w:color="auto" w:fill="auto"/>
          </w:tcPr>
          <w:p w14:paraId="1D02533A" w14:textId="77777777" w:rsidR="004421F6" w:rsidRDefault="004421F6">
            <w:pPr>
              <w:rPr>
                <w:rFonts w:ascii="宋体"/>
              </w:rPr>
            </w:pPr>
          </w:p>
        </w:tc>
        <w:tc>
          <w:tcPr>
            <w:tcW w:w="0" w:type="auto"/>
            <w:shd w:val="clear" w:color="auto" w:fill="auto"/>
          </w:tcPr>
          <w:p w14:paraId="1D02533B" w14:textId="77777777" w:rsidR="004421F6" w:rsidRDefault="004421F6">
            <w:pPr>
              <w:rPr>
                <w:rFonts w:ascii="宋体"/>
              </w:rPr>
            </w:pPr>
          </w:p>
        </w:tc>
        <w:tc>
          <w:tcPr>
            <w:tcW w:w="0" w:type="auto"/>
            <w:shd w:val="clear" w:color="auto" w:fill="auto"/>
          </w:tcPr>
          <w:p w14:paraId="1D02533C" w14:textId="77777777" w:rsidR="004421F6" w:rsidRDefault="004421F6">
            <w:pPr>
              <w:rPr>
                <w:rFonts w:ascii="宋体"/>
              </w:rPr>
            </w:pPr>
          </w:p>
        </w:tc>
        <w:tc>
          <w:tcPr>
            <w:tcW w:w="0" w:type="auto"/>
            <w:shd w:val="clear" w:color="auto" w:fill="auto"/>
          </w:tcPr>
          <w:p w14:paraId="1D02533D" w14:textId="77777777" w:rsidR="004421F6" w:rsidRDefault="004421F6">
            <w:pPr>
              <w:rPr>
                <w:rFonts w:ascii="宋体"/>
              </w:rPr>
            </w:pPr>
          </w:p>
        </w:tc>
        <w:tc>
          <w:tcPr>
            <w:tcW w:w="0" w:type="auto"/>
            <w:shd w:val="clear" w:color="auto" w:fill="auto"/>
          </w:tcPr>
          <w:p w14:paraId="1D02533E" w14:textId="77777777" w:rsidR="004421F6" w:rsidRDefault="004421F6">
            <w:pPr>
              <w:rPr>
                <w:rFonts w:ascii="宋体"/>
              </w:rPr>
            </w:pPr>
          </w:p>
        </w:tc>
        <w:tc>
          <w:tcPr>
            <w:tcW w:w="0" w:type="auto"/>
            <w:shd w:val="clear" w:color="auto" w:fill="auto"/>
          </w:tcPr>
          <w:p w14:paraId="1D02533F" w14:textId="77777777" w:rsidR="004421F6" w:rsidRDefault="004421F6">
            <w:pPr>
              <w:rPr>
                <w:rFonts w:ascii="宋体"/>
              </w:rPr>
            </w:pPr>
          </w:p>
        </w:tc>
        <w:tc>
          <w:tcPr>
            <w:tcW w:w="0" w:type="auto"/>
            <w:shd w:val="clear" w:color="auto" w:fill="auto"/>
          </w:tcPr>
          <w:p w14:paraId="1D025340" w14:textId="77777777" w:rsidR="004421F6" w:rsidRDefault="004421F6">
            <w:pPr>
              <w:rPr>
                <w:rFonts w:ascii="宋体"/>
              </w:rPr>
            </w:pPr>
          </w:p>
        </w:tc>
      </w:tr>
      <w:tr w:rsidR="004421F6" w14:paraId="1D025360"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342" w14:textId="77777777" w:rsidR="004421F6" w:rsidRDefault="00F15622">
            <w:pPr>
              <w:textAlignment w:val="bottom"/>
            </w:pPr>
            <w:r>
              <w:rPr>
                <w:rFonts w:ascii="Arial" w:eastAsia="宋体" w:hAnsi="Arial" w:cs="Arial"/>
                <w:color w:val="000000"/>
                <w:sz w:val="17"/>
                <w:szCs w:val="17"/>
              </w:rPr>
              <w:t>Other comprehensive income (loss)</w:t>
            </w:r>
          </w:p>
        </w:tc>
        <w:tc>
          <w:tcPr>
            <w:tcW w:w="0" w:type="auto"/>
            <w:gridSpan w:val="3"/>
            <w:tcBorders>
              <w:top w:val="single" w:sz="8" w:space="0" w:color="808080"/>
            </w:tcBorders>
            <w:shd w:val="clear" w:color="auto" w:fill="FFF1E7"/>
            <w:tcMar>
              <w:left w:w="20" w:type="dxa"/>
              <w:right w:w="20" w:type="dxa"/>
            </w:tcMar>
            <w:vAlign w:val="bottom"/>
          </w:tcPr>
          <w:p w14:paraId="1D025343"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44"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45"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46" w14:textId="77777777" w:rsidR="004421F6" w:rsidRDefault="004421F6">
            <w:pPr>
              <w:jc w:val="right"/>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47"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48"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349" w14:textId="77777777" w:rsidR="004421F6" w:rsidRDefault="00F15622">
            <w:pPr>
              <w:jc w:val="right"/>
              <w:textAlignment w:val="bottom"/>
            </w:pPr>
            <w:r>
              <w:rPr>
                <w:rFonts w:ascii="Arial" w:eastAsia="宋体" w:hAnsi="Arial" w:cs="Arial"/>
                <w:color w:val="000000"/>
                <w:sz w:val="17"/>
                <w:szCs w:val="17"/>
              </w:rPr>
              <w:t>(345)</w:t>
            </w:r>
          </w:p>
        </w:tc>
        <w:tc>
          <w:tcPr>
            <w:tcW w:w="0" w:type="auto"/>
            <w:tcBorders>
              <w:top w:val="single" w:sz="8" w:space="0" w:color="808080"/>
            </w:tcBorders>
            <w:shd w:val="clear" w:color="auto" w:fill="FFF1E7"/>
            <w:tcMar>
              <w:top w:w="40" w:type="dxa"/>
              <w:bottom w:w="40" w:type="dxa"/>
              <w:right w:w="20" w:type="dxa"/>
            </w:tcMar>
            <w:vAlign w:val="bottom"/>
          </w:tcPr>
          <w:p w14:paraId="1D02534A" w14:textId="77777777" w:rsidR="004421F6" w:rsidRDefault="004421F6">
            <w:pPr>
              <w:jc w:val="right"/>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34B"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34C" w14:textId="77777777" w:rsidR="004421F6" w:rsidRDefault="00F15622">
            <w:pPr>
              <w:jc w:val="right"/>
              <w:textAlignment w:val="bottom"/>
            </w:pPr>
            <w:r>
              <w:rPr>
                <w:rFonts w:ascii="Arial" w:eastAsia="宋体" w:hAnsi="Arial" w:cs="Arial"/>
                <w:color w:val="000000"/>
                <w:sz w:val="17"/>
                <w:szCs w:val="17"/>
              </w:rPr>
              <w:t>(345)</w:t>
            </w:r>
          </w:p>
        </w:tc>
        <w:tc>
          <w:tcPr>
            <w:tcW w:w="0" w:type="auto"/>
            <w:tcBorders>
              <w:top w:val="single" w:sz="8" w:space="0" w:color="808080"/>
            </w:tcBorders>
            <w:shd w:val="clear" w:color="auto" w:fill="FFF1E7"/>
            <w:tcMar>
              <w:top w:w="40" w:type="dxa"/>
              <w:bottom w:w="40" w:type="dxa"/>
              <w:right w:w="20" w:type="dxa"/>
            </w:tcMar>
            <w:vAlign w:val="bottom"/>
          </w:tcPr>
          <w:p w14:paraId="1D02534D" w14:textId="77777777" w:rsidR="004421F6" w:rsidRDefault="004421F6">
            <w:pPr>
              <w:jc w:val="right"/>
              <w:rPr>
                <w:rFonts w:ascii="宋体"/>
              </w:rPr>
            </w:pPr>
          </w:p>
        </w:tc>
        <w:tc>
          <w:tcPr>
            <w:tcW w:w="0" w:type="auto"/>
            <w:shd w:val="clear" w:color="auto" w:fill="auto"/>
          </w:tcPr>
          <w:p w14:paraId="1D02534E" w14:textId="77777777" w:rsidR="004421F6" w:rsidRDefault="004421F6">
            <w:pPr>
              <w:rPr>
                <w:rFonts w:ascii="宋体"/>
              </w:rPr>
            </w:pPr>
          </w:p>
        </w:tc>
        <w:tc>
          <w:tcPr>
            <w:tcW w:w="0" w:type="auto"/>
            <w:shd w:val="clear" w:color="auto" w:fill="auto"/>
          </w:tcPr>
          <w:p w14:paraId="1D02534F" w14:textId="77777777" w:rsidR="004421F6" w:rsidRDefault="004421F6">
            <w:pPr>
              <w:rPr>
                <w:rFonts w:ascii="宋体"/>
              </w:rPr>
            </w:pPr>
          </w:p>
        </w:tc>
        <w:tc>
          <w:tcPr>
            <w:tcW w:w="0" w:type="auto"/>
            <w:shd w:val="clear" w:color="auto" w:fill="auto"/>
          </w:tcPr>
          <w:p w14:paraId="1D025350" w14:textId="77777777" w:rsidR="004421F6" w:rsidRDefault="004421F6">
            <w:pPr>
              <w:rPr>
                <w:rFonts w:ascii="宋体"/>
              </w:rPr>
            </w:pPr>
          </w:p>
        </w:tc>
        <w:tc>
          <w:tcPr>
            <w:tcW w:w="0" w:type="auto"/>
            <w:shd w:val="clear" w:color="auto" w:fill="auto"/>
          </w:tcPr>
          <w:p w14:paraId="1D025351" w14:textId="77777777" w:rsidR="004421F6" w:rsidRDefault="004421F6">
            <w:pPr>
              <w:rPr>
                <w:rFonts w:ascii="宋体"/>
              </w:rPr>
            </w:pPr>
          </w:p>
        </w:tc>
        <w:tc>
          <w:tcPr>
            <w:tcW w:w="0" w:type="auto"/>
            <w:shd w:val="clear" w:color="auto" w:fill="auto"/>
          </w:tcPr>
          <w:p w14:paraId="1D025352" w14:textId="77777777" w:rsidR="004421F6" w:rsidRDefault="004421F6">
            <w:pPr>
              <w:rPr>
                <w:rFonts w:ascii="宋体"/>
              </w:rPr>
            </w:pPr>
          </w:p>
        </w:tc>
        <w:tc>
          <w:tcPr>
            <w:tcW w:w="0" w:type="auto"/>
            <w:shd w:val="clear" w:color="auto" w:fill="auto"/>
          </w:tcPr>
          <w:p w14:paraId="1D025353" w14:textId="77777777" w:rsidR="004421F6" w:rsidRDefault="004421F6">
            <w:pPr>
              <w:rPr>
                <w:rFonts w:ascii="宋体"/>
              </w:rPr>
            </w:pPr>
          </w:p>
        </w:tc>
        <w:tc>
          <w:tcPr>
            <w:tcW w:w="0" w:type="auto"/>
            <w:shd w:val="clear" w:color="auto" w:fill="auto"/>
          </w:tcPr>
          <w:p w14:paraId="1D025354" w14:textId="77777777" w:rsidR="004421F6" w:rsidRDefault="004421F6">
            <w:pPr>
              <w:rPr>
                <w:rFonts w:ascii="宋体"/>
              </w:rPr>
            </w:pPr>
          </w:p>
        </w:tc>
        <w:tc>
          <w:tcPr>
            <w:tcW w:w="0" w:type="auto"/>
            <w:shd w:val="clear" w:color="auto" w:fill="auto"/>
          </w:tcPr>
          <w:p w14:paraId="1D025355" w14:textId="77777777" w:rsidR="004421F6" w:rsidRDefault="004421F6">
            <w:pPr>
              <w:rPr>
                <w:rFonts w:ascii="宋体"/>
              </w:rPr>
            </w:pPr>
          </w:p>
        </w:tc>
        <w:tc>
          <w:tcPr>
            <w:tcW w:w="0" w:type="auto"/>
            <w:shd w:val="clear" w:color="auto" w:fill="auto"/>
          </w:tcPr>
          <w:p w14:paraId="1D025356" w14:textId="77777777" w:rsidR="004421F6" w:rsidRDefault="004421F6">
            <w:pPr>
              <w:rPr>
                <w:rFonts w:ascii="宋体"/>
              </w:rPr>
            </w:pPr>
          </w:p>
        </w:tc>
        <w:tc>
          <w:tcPr>
            <w:tcW w:w="0" w:type="auto"/>
            <w:shd w:val="clear" w:color="auto" w:fill="auto"/>
          </w:tcPr>
          <w:p w14:paraId="1D025357" w14:textId="77777777" w:rsidR="004421F6" w:rsidRDefault="004421F6">
            <w:pPr>
              <w:rPr>
                <w:rFonts w:ascii="宋体"/>
              </w:rPr>
            </w:pPr>
          </w:p>
        </w:tc>
        <w:tc>
          <w:tcPr>
            <w:tcW w:w="0" w:type="auto"/>
            <w:shd w:val="clear" w:color="auto" w:fill="auto"/>
          </w:tcPr>
          <w:p w14:paraId="1D025358" w14:textId="77777777" w:rsidR="004421F6" w:rsidRDefault="004421F6">
            <w:pPr>
              <w:rPr>
                <w:rFonts w:ascii="宋体"/>
              </w:rPr>
            </w:pPr>
          </w:p>
        </w:tc>
        <w:tc>
          <w:tcPr>
            <w:tcW w:w="0" w:type="auto"/>
            <w:shd w:val="clear" w:color="auto" w:fill="auto"/>
          </w:tcPr>
          <w:p w14:paraId="1D025359" w14:textId="77777777" w:rsidR="004421F6" w:rsidRDefault="004421F6">
            <w:pPr>
              <w:rPr>
                <w:rFonts w:ascii="宋体"/>
              </w:rPr>
            </w:pPr>
          </w:p>
        </w:tc>
        <w:tc>
          <w:tcPr>
            <w:tcW w:w="0" w:type="auto"/>
            <w:shd w:val="clear" w:color="auto" w:fill="auto"/>
          </w:tcPr>
          <w:p w14:paraId="1D02535A" w14:textId="77777777" w:rsidR="004421F6" w:rsidRDefault="004421F6">
            <w:pPr>
              <w:rPr>
                <w:rFonts w:ascii="宋体"/>
              </w:rPr>
            </w:pPr>
          </w:p>
        </w:tc>
        <w:tc>
          <w:tcPr>
            <w:tcW w:w="0" w:type="auto"/>
            <w:shd w:val="clear" w:color="auto" w:fill="auto"/>
          </w:tcPr>
          <w:p w14:paraId="1D02535B" w14:textId="77777777" w:rsidR="004421F6" w:rsidRDefault="004421F6">
            <w:pPr>
              <w:rPr>
                <w:rFonts w:ascii="宋体"/>
              </w:rPr>
            </w:pPr>
          </w:p>
        </w:tc>
        <w:tc>
          <w:tcPr>
            <w:tcW w:w="0" w:type="auto"/>
            <w:shd w:val="clear" w:color="auto" w:fill="auto"/>
          </w:tcPr>
          <w:p w14:paraId="1D02535C" w14:textId="77777777" w:rsidR="004421F6" w:rsidRDefault="004421F6">
            <w:pPr>
              <w:rPr>
                <w:rFonts w:ascii="宋体"/>
              </w:rPr>
            </w:pPr>
          </w:p>
        </w:tc>
        <w:tc>
          <w:tcPr>
            <w:tcW w:w="0" w:type="auto"/>
            <w:shd w:val="clear" w:color="auto" w:fill="auto"/>
          </w:tcPr>
          <w:p w14:paraId="1D02535D" w14:textId="77777777" w:rsidR="004421F6" w:rsidRDefault="004421F6">
            <w:pPr>
              <w:rPr>
                <w:rFonts w:ascii="宋体"/>
              </w:rPr>
            </w:pPr>
          </w:p>
        </w:tc>
        <w:tc>
          <w:tcPr>
            <w:tcW w:w="0" w:type="auto"/>
            <w:shd w:val="clear" w:color="auto" w:fill="auto"/>
          </w:tcPr>
          <w:p w14:paraId="1D02535E" w14:textId="77777777" w:rsidR="004421F6" w:rsidRDefault="004421F6">
            <w:pPr>
              <w:rPr>
                <w:rFonts w:ascii="宋体"/>
              </w:rPr>
            </w:pPr>
          </w:p>
        </w:tc>
        <w:tc>
          <w:tcPr>
            <w:tcW w:w="0" w:type="auto"/>
            <w:shd w:val="clear" w:color="auto" w:fill="auto"/>
          </w:tcPr>
          <w:p w14:paraId="1D02535F" w14:textId="77777777" w:rsidR="004421F6" w:rsidRDefault="004421F6">
            <w:pPr>
              <w:rPr>
                <w:rFonts w:ascii="宋体"/>
              </w:rPr>
            </w:pPr>
          </w:p>
        </w:tc>
      </w:tr>
      <w:tr w:rsidR="004421F6" w14:paraId="1D02538B"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361" w14:textId="77777777" w:rsidR="004421F6" w:rsidRDefault="00F15622">
            <w:pPr>
              <w:textAlignment w:val="bottom"/>
            </w:pPr>
            <w:r>
              <w:rPr>
                <w:rFonts w:ascii="Arial" w:eastAsia="宋体" w:hAnsi="Arial" w:cs="Arial"/>
                <w:b/>
                <w:bCs/>
                <w:color w:val="000000"/>
                <w:sz w:val="17"/>
                <w:szCs w:val="17"/>
              </w:rPr>
              <w:t>Balance at August 31, 2020</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D025362" w14:textId="77777777" w:rsidR="004421F6" w:rsidRDefault="00F15622">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363"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364"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365" w14:textId="77777777" w:rsidR="004421F6" w:rsidRDefault="00F15622">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366" w14:textId="77777777" w:rsidR="004421F6" w:rsidRDefault="004421F6">
            <w:pPr>
              <w:jc w:val="right"/>
              <w:rPr>
                <w:rFonts w:ascii="宋体"/>
              </w:rPr>
            </w:pPr>
          </w:p>
        </w:tc>
        <w:tc>
          <w:tcPr>
            <w:tcW w:w="0" w:type="auto"/>
            <w:gridSpan w:val="3"/>
            <w:tcBorders>
              <w:top w:val="single" w:sz="8" w:space="0" w:color="E87722"/>
              <w:bottom w:val="single" w:sz="8" w:space="0" w:color="E87722"/>
            </w:tcBorders>
            <w:shd w:val="clear" w:color="auto" w:fill="FFF1E7"/>
            <w:tcMar>
              <w:left w:w="20" w:type="dxa"/>
              <w:right w:w="20" w:type="dxa"/>
            </w:tcMar>
            <w:vAlign w:val="bottom"/>
          </w:tcPr>
          <w:p w14:paraId="1D025367" w14:textId="77777777" w:rsidR="004421F6" w:rsidRDefault="004421F6">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D025368" w14:textId="77777777" w:rsidR="004421F6" w:rsidRDefault="00F15622">
            <w:pPr>
              <w:jc w:val="right"/>
              <w:textAlignment w:val="bottom"/>
            </w:pPr>
            <w:r>
              <w:rPr>
                <w:rFonts w:ascii="Arial" w:eastAsia="宋体" w:hAnsi="Arial" w:cs="Arial"/>
                <w:b/>
                <w:bCs/>
                <w:color w:val="000000"/>
                <w:sz w:val="17"/>
                <w:szCs w:val="17"/>
              </w:rPr>
              <w:t>1,250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369"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36A"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36B" w14:textId="77777777" w:rsidR="004421F6" w:rsidRDefault="00F1562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36C"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36D"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36E" w14:textId="77777777" w:rsidR="004421F6" w:rsidRDefault="00F15622">
            <w:pPr>
              <w:jc w:val="right"/>
              <w:textAlignment w:val="bottom"/>
            </w:pPr>
            <w:r>
              <w:rPr>
                <w:rFonts w:ascii="Arial" w:eastAsia="宋体" w:hAnsi="Arial" w:cs="Arial"/>
                <w:b/>
                <w:bCs/>
                <w:color w:val="000000"/>
                <w:sz w:val="17"/>
                <w:szCs w:val="17"/>
              </w:rPr>
              <w:t>8,695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36F"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370"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371" w14:textId="77777777" w:rsidR="004421F6" w:rsidRDefault="00F15622">
            <w:pPr>
              <w:jc w:val="right"/>
              <w:textAlignment w:val="bottom"/>
            </w:pPr>
            <w:r>
              <w:rPr>
                <w:rFonts w:ascii="Arial" w:eastAsia="宋体" w:hAnsi="Arial" w:cs="Arial"/>
                <w:b/>
                <w:bCs/>
                <w:color w:val="000000"/>
                <w:sz w:val="17"/>
                <w:szCs w:val="17"/>
              </w:rPr>
              <w:t>(401)</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372"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373"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374" w14:textId="77777777" w:rsidR="004421F6" w:rsidRDefault="00F15622">
            <w:pPr>
              <w:jc w:val="right"/>
              <w:textAlignment w:val="bottom"/>
            </w:pPr>
            <w:r>
              <w:rPr>
                <w:rFonts w:ascii="Arial" w:eastAsia="宋体" w:hAnsi="Arial" w:cs="Arial"/>
                <w:b/>
                <w:bCs/>
                <w:color w:val="000000"/>
                <w:sz w:val="17"/>
                <w:szCs w:val="17"/>
              </w:rPr>
              <w:t>927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375"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376"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377" w14:textId="77777777" w:rsidR="004421F6" w:rsidRDefault="00F15622">
            <w:pPr>
              <w:jc w:val="right"/>
              <w:textAlignment w:val="bottom"/>
            </w:pPr>
            <w:r>
              <w:rPr>
                <w:rFonts w:ascii="Arial" w:eastAsia="宋体" w:hAnsi="Arial" w:cs="Arial"/>
                <w:b/>
                <w:bCs/>
                <w:color w:val="000000"/>
                <w:sz w:val="17"/>
                <w:szCs w:val="17"/>
              </w:rPr>
              <w:t>9,224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378" w14:textId="77777777" w:rsidR="004421F6" w:rsidRDefault="004421F6">
            <w:pPr>
              <w:jc w:val="right"/>
              <w:rPr>
                <w:rFonts w:ascii="宋体"/>
              </w:rPr>
            </w:pPr>
          </w:p>
        </w:tc>
        <w:tc>
          <w:tcPr>
            <w:tcW w:w="0" w:type="auto"/>
            <w:shd w:val="clear" w:color="auto" w:fill="auto"/>
          </w:tcPr>
          <w:p w14:paraId="1D025379" w14:textId="77777777" w:rsidR="004421F6" w:rsidRDefault="004421F6">
            <w:pPr>
              <w:rPr>
                <w:rFonts w:ascii="宋体"/>
              </w:rPr>
            </w:pPr>
          </w:p>
        </w:tc>
        <w:tc>
          <w:tcPr>
            <w:tcW w:w="0" w:type="auto"/>
            <w:shd w:val="clear" w:color="auto" w:fill="auto"/>
          </w:tcPr>
          <w:p w14:paraId="1D02537A" w14:textId="77777777" w:rsidR="004421F6" w:rsidRDefault="004421F6">
            <w:pPr>
              <w:rPr>
                <w:rFonts w:ascii="宋体"/>
              </w:rPr>
            </w:pPr>
          </w:p>
        </w:tc>
        <w:tc>
          <w:tcPr>
            <w:tcW w:w="0" w:type="auto"/>
            <w:shd w:val="clear" w:color="auto" w:fill="auto"/>
          </w:tcPr>
          <w:p w14:paraId="1D02537B" w14:textId="77777777" w:rsidR="004421F6" w:rsidRDefault="004421F6">
            <w:pPr>
              <w:rPr>
                <w:rFonts w:ascii="宋体"/>
              </w:rPr>
            </w:pPr>
          </w:p>
        </w:tc>
        <w:tc>
          <w:tcPr>
            <w:tcW w:w="0" w:type="auto"/>
            <w:shd w:val="clear" w:color="auto" w:fill="auto"/>
          </w:tcPr>
          <w:p w14:paraId="1D02537C" w14:textId="77777777" w:rsidR="004421F6" w:rsidRDefault="004421F6">
            <w:pPr>
              <w:rPr>
                <w:rFonts w:ascii="宋体"/>
              </w:rPr>
            </w:pPr>
          </w:p>
        </w:tc>
        <w:tc>
          <w:tcPr>
            <w:tcW w:w="0" w:type="auto"/>
            <w:shd w:val="clear" w:color="auto" w:fill="auto"/>
          </w:tcPr>
          <w:p w14:paraId="1D02537D" w14:textId="77777777" w:rsidR="004421F6" w:rsidRDefault="004421F6">
            <w:pPr>
              <w:rPr>
                <w:rFonts w:ascii="宋体"/>
              </w:rPr>
            </w:pPr>
          </w:p>
        </w:tc>
        <w:tc>
          <w:tcPr>
            <w:tcW w:w="0" w:type="auto"/>
            <w:shd w:val="clear" w:color="auto" w:fill="auto"/>
          </w:tcPr>
          <w:p w14:paraId="1D02537E" w14:textId="77777777" w:rsidR="004421F6" w:rsidRDefault="004421F6">
            <w:pPr>
              <w:rPr>
                <w:rFonts w:ascii="宋体"/>
              </w:rPr>
            </w:pPr>
          </w:p>
        </w:tc>
        <w:tc>
          <w:tcPr>
            <w:tcW w:w="0" w:type="auto"/>
            <w:shd w:val="clear" w:color="auto" w:fill="auto"/>
          </w:tcPr>
          <w:p w14:paraId="1D02537F" w14:textId="77777777" w:rsidR="004421F6" w:rsidRDefault="004421F6">
            <w:pPr>
              <w:rPr>
                <w:rFonts w:ascii="宋体"/>
              </w:rPr>
            </w:pPr>
          </w:p>
        </w:tc>
        <w:tc>
          <w:tcPr>
            <w:tcW w:w="0" w:type="auto"/>
            <w:shd w:val="clear" w:color="auto" w:fill="auto"/>
          </w:tcPr>
          <w:p w14:paraId="1D025380" w14:textId="77777777" w:rsidR="004421F6" w:rsidRDefault="004421F6">
            <w:pPr>
              <w:rPr>
                <w:rFonts w:ascii="宋体"/>
              </w:rPr>
            </w:pPr>
          </w:p>
        </w:tc>
        <w:tc>
          <w:tcPr>
            <w:tcW w:w="0" w:type="auto"/>
            <w:shd w:val="clear" w:color="auto" w:fill="auto"/>
          </w:tcPr>
          <w:p w14:paraId="1D025381" w14:textId="77777777" w:rsidR="004421F6" w:rsidRDefault="004421F6">
            <w:pPr>
              <w:rPr>
                <w:rFonts w:ascii="宋体"/>
              </w:rPr>
            </w:pPr>
          </w:p>
        </w:tc>
        <w:tc>
          <w:tcPr>
            <w:tcW w:w="0" w:type="auto"/>
            <w:shd w:val="clear" w:color="auto" w:fill="auto"/>
          </w:tcPr>
          <w:p w14:paraId="1D025382" w14:textId="77777777" w:rsidR="004421F6" w:rsidRDefault="004421F6">
            <w:pPr>
              <w:rPr>
                <w:rFonts w:ascii="宋体"/>
              </w:rPr>
            </w:pPr>
          </w:p>
        </w:tc>
        <w:tc>
          <w:tcPr>
            <w:tcW w:w="0" w:type="auto"/>
            <w:shd w:val="clear" w:color="auto" w:fill="auto"/>
          </w:tcPr>
          <w:p w14:paraId="1D025383" w14:textId="77777777" w:rsidR="004421F6" w:rsidRDefault="004421F6">
            <w:pPr>
              <w:rPr>
                <w:rFonts w:ascii="宋体"/>
              </w:rPr>
            </w:pPr>
          </w:p>
        </w:tc>
        <w:tc>
          <w:tcPr>
            <w:tcW w:w="0" w:type="auto"/>
            <w:shd w:val="clear" w:color="auto" w:fill="auto"/>
          </w:tcPr>
          <w:p w14:paraId="1D025384" w14:textId="77777777" w:rsidR="004421F6" w:rsidRDefault="004421F6">
            <w:pPr>
              <w:rPr>
                <w:rFonts w:ascii="宋体"/>
              </w:rPr>
            </w:pPr>
          </w:p>
        </w:tc>
        <w:tc>
          <w:tcPr>
            <w:tcW w:w="0" w:type="auto"/>
            <w:shd w:val="clear" w:color="auto" w:fill="auto"/>
          </w:tcPr>
          <w:p w14:paraId="1D025385" w14:textId="77777777" w:rsidR="004421F6" w:rsidRDefault="004421F6">
            <w:pPr>
              <w:rPr>
                <w:rFonts w:ascii="宋体"/>
              </w:rPr>
            </w:pPr>
          </w:p>
        </w:tc>
        <w:tc>
          <w:tcPr>
            <w:tcW w:w="0" w:type="auto"/>
            <w:shd w:val="clear" w:color="auto" w:fill="auto"/>
          </w:tcPr>
          <w:p w14:paraId="1D025386" w14:textId="77777777" w:rsidR="004421F6" w:rsidRDefault="004421F6">
            <w:pPr>
              <w:rPr>
                <w:rFonts w:ascii="宋体"/>
              </w:rPr>
            </w:pPr>
          </w:p>
        </w:tc>
        <w:tc>
          <w:tcPr>
            <w:tcW w:w="0" w:type="auto"/>
            <w:shd w:val="clear" w:color="auto" w:fill="auto"/>
          </w:tcPr>
          <w:p w14:paraId="1D025387" w14:textId="77777777" w:rsidR="004421F6" w:rsidRDefault="004421F6">
            <w:pPr>
              <w:rPr>
                <w:rFonts w:ascii="宋体"/>
              </w:rPr>
            </w:pPr>
          </w:p>
        </w:tc>
        <w:tc>
          <w:tcPr>
            <w:tcW w:w="0" w:type="auto"/>
            <w:shd w:val="clear" w:color="auto" w:fill="auto"/>
          </w:tcPr>
          <w:p w14:paraId="1D025388" w14:textId="77777777" w:rsidR="004421F6" w:rsidRDefault="004421F6">
            <w:pPr>
              <w:rPr>
                <w:rFonts w:ascii="宋体"/>
              </w:rPr>
            </w:pPr>
          </w:p>
        </w:tc>
        <w:tc>
          <w:tcPr>
            <w:tcW w:w="0" w:type="auto"/>
            <w:shd w:val="clear" w:color="auto" w:fill="auto"/>
          </w:tcPr>
          <w:p w14:paraId="1D025389" w14:textId="77777777" w:rsidR="004421F6" w:rsidRDefault="004421F6">
            <w:pPr>
              <w:rPr>
                <w:rFonts w:ascii="宋体"/>
              </w:rPr>
            </w:pPr>
          </w:p>
        </w:tc>
        <w:tc>
          <w:tcPr>
            <w:tcW w:w="0" w:type="auto"/>
            <w:shd w:val="clear" w:color="auto" w:fill="auto"/>
          </w:tcPr>
          <w:p w14:paraId="1D02538A" w14:textId="77777777" w:rsidR="004421F6" w:rsidRDefault="004421F6">
            <w:pPr>
              <w:rPr>
                <w:rFonts w:ascii="宋体"/>
              </w:rPr>
            </w:pPr>
          </w:p>
        </w:tc>
      </w:tr>
    </w:tbl>
    <w:p w14:paraId="1D02538C" w14:textId="77777777" w:rsidR="004421F6" w:rsidRDefault="004421F6">
      <w:pPr>
        <w:spacing w:before="120" w:after="120"/>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904"/>
        <w:gridCol w:w="38"/>
        <w:gridCol w:w="76"/>
        <w:gridCol w:w="391"/>
        <w:gridCol w:w="40"/>
        <w:gridCol w:w="111"/>
        <w:gridCol w:w="487"/>
        <w:gridCol w:w="40"/>
        <w:gridCol w:w="37"/>
        <w:gridCol w:w="35"/>
        <w:gridCol w:w="35"/>
        <w:gridCol w:w="77"/>
        <w:gridCol w:w="392"/>
        <w:gridCol w:w="40"/>
        <w:gridCol w:w="111"/>
        <w:gridCol w:w="482"/>
        <w:gridCol w:w="40"/>
        <w:gridCol w:w="110"/>
        <w:gridCol w:w="387"/>
        <w:gridCol w:w="40"/>
        <w:gridCol w:w="110"/>
        <w:gridCol w:w="276"/>
        <w:gridCol w:w="40"/>
        <w:gridCol w:w="110"/>
        <w:gridCol w:w="387"/>
        <w:gridCol w:w="40"/>
        <w:gridCol w:w="109"/>
        <w:gridCol w:w="387"/>
        <w:gridCol w:w="40"/>
        <w:gridCol w:w="221"/>
        <w:gridCol w:w="218"/>
        <w:gridCol w:w="218"/>
        <w:gridCol w:w="340"/>
        <w:gridCol w:w="338"/>
        <w:gridCol w:w="338"/>
        <w:gridCol w:w="211"/>
        <w:gridCol w:w="209"/>
        <w:gridCol w:w="209"/>
        <w:gridCol w:w="139"/>
        <w:gridCol w:w="136"/>
        <w:gridCol w:w="136"/>
        <w:gridCol w:w="35"/>
        <w:gridCol w:w="35"/>
        <w:gridCol w:w="35"/>
        <w:gridCol w:w="35"/>
        <w:gridCol w:w="35"/>
        <w:gridCol w:w="35"/>
      </w:tblGrid>
      <w:tr w:rsidR="004421F6" w14:paraId="1D0253AB" w14:textId="77777777">
        <w:trPr>
          <w:gridAfter w:val="18"/>
          <w:jc w:val="center"/>
        </w:trPr>
        <w:tc>
          <w:tcPr>
            <w:tcW w:w="50" w:type="pct"/>
            <w:shd w:val="clear" w:color="auto" w:fill="auto"/>
          </w:tcPr>
          <w:p w14:paraId="1D02538D" w14:textId="77777777" w:rsidR="004421F6" w:rsidRDefault="004421F6">
            <w:pPr>
              <w:rPr>
                <w:rFonts w:ascii="宋体"/>
              </w:rPr>
            </w:pPr>
          </w:p>
        </w:tc>
        <w:tc>
          <w:tcPr>
            <w:tcW w:w="1560" w:type="pct"/>
            <w:shd w:val="clear" w:color="auto" w:fill="auto"/>
          </w:tcPr>
          <w:p w14:paraId="1D02538E" w14:textId="77777777" w:rsidR="004421F6" w:rsidRDefault="004421F6">
            <w:pPr>
              <w:rPr>
                <w:rFonts w:ascii="宋体"/>
              </w:rPr>
            </w:pPr>
          </w:p>
        </w:tc>
        <w:tc>
          <w:tcPr>
            <w:tcW w:w="5" w:type="pct"/>
            <w:shd w:val="clear" w:color="auto" w:fill="auto"/>
          </w:tcPr>
          <w:p w14:paraId="1D02538F" w14:textId="77777777" w:rsidR="004421F6" w:rsidRDefault="004421F6">
            <w:pPr>
              <w:rPr>
                <w:rFonts w:ascii="宋体"/>
              </w:rPr>
            </w:pPr>
          </w:p>
        </w:tc>
        <w:tc>
          <w:tcPr>
            <w:tcW w:w="50" w:type="pct"/>
            <w:shd w:val="clear" w:color="auto" w:fill="auto"/>
          </w:tcPr>
          <w:p w14:paraId="1D025390" w14:textId="77777777" w:rsidR="004421F6" w:rsidRDefault="004421F6">
            <w:pPr>
              <w:rPr>
                <w:rFonts w:ascii="宋体"/>
              </w:rPr>
            </w:pPr>
          </w:p>
        </w:tc>
        <w:tc>
          <w:tcPr>
            <w:tcW w:w="285" w:type="pct"/>
            <w:shd w:val="clear" w:color="auto" w:fill="auto"/>
          </w:tcPr>
          <w:p w14:paraId="1D025391" w14:textId="77777777" w:rsidR="004421F6" w:rsidRDefault="004421F6">
            <w:pPr>
              <w:rPr>
                <w:rFonts w:ascii="宋体"/>
              </w:rPr>
            </w:pPr>
          </w:p>
        </w:tc>
        <w:tc>
          <w:tcPr>
            <w:tcW w:w="5" w:type="pct"/>
            <w:shd w:val="clear" w:color="auto" w:fill="auto"/>
          </w:tcPr>
          <w:p w14:paraId="1D025392" w14:textId="77777777" w:rsidR="004421F6" w:rsidRDefault="004421F6">
            <w:pPr>
              <w:rPr>
                <w:rFonts w:ascii="宋体"/>
              </w:rPr>
            </w:pPr>
          </w:p>
        </w:tc>
        <w:tc>
          <w:tcPr>
            <w:tcW w:w="50" w:type="pct"/>
            <w:shd w:val="clear" w:color="auto" w:fill="auto"/>
          </w:tcPr>
          <w:p w14:paraId="1D025393" w14:textId="77777777" w:rsidR="004421F6" w:rsidRDefault="004421F6">
            <w:pPr>
              <w:rPr>
                <w:rFonts w:ascii="宋体"/>
              </w:rPr>
            </w:pPr>
          </w:p>
        </w:tc>
        <w:tc>
          <w:tcPr>
            <w:tcW w:w="346" w:type="pct"/>
            <w:shd w:val="clear" w:color="auto" w:fill="auto"/>
          </w:tcPr>
          <w:p w14:paraId="1D025394" w14:textId="77777777" w:rsidR="004421F6" w:rsidRDefault="004421F6">
            <w:pPr>
              <w:rPr>
                <w:rFonts w:ascii="宋体"/>
              </w:rPr>
            </w:pPr>
          </w:p>
        </w:tc>
        <w:tc>
          <w:tcPr>
            <w:tcW w:w="5" w:type="pct"/>
            <w:shd w:val="clear" w:color="auto" w:fill="auto"/>
          </w:tcPr>
          <w:p w14:paraId="1D025395" w14:textId="77777777" w:rsidR="004421F6" w:rsidRDefault="004421F6">
            <w:pPr>
              <w:rPr>
                <w:rFonts w:ascii="宋体"/>
              </w:rPr>
            </w:pPr>
          </w:p>
        </w:tc>
        <w:tc>
          <w:tcPr>
            <w:tcW w:w="5" w:type="pct"/>
            <w:shd w:val="clear" w:color="auto" w:fill="auto"/>
          </w:tcPr>
          <w:p w14:paraId="1D025396" w14:textId="77777777" w:rsidR="004421F6" w:rsidRDefault="004421F6">
            <w:pPr>
              <w:rPr>
                <w:rFonts w:ascii="宋体"/>
              </w:rPr>
            </w:pPr>
          </w:p>
        </w:tc>
        <w:tc>
          <w:tcPr>
            <w:tcW w:w="28" w:type="pct"/>
            <w:shd w:val="clear" w:color="auto" w:fill="auto"/>
          </w:tcPr>
          <w:p w14:paraId="1D025397" w14:textId="77777777" w:rsidR="004421F6" w:rsidRDefault="004421F6">
            <w:pPr>
              <w:rPr>
                <w:rFonts w:ascii="宋体"/>
              </w:rPr>
            </w:pPr>
          </w:p>
        </w:tc>
        <w:tc>
          <w:tcPr>
            <w:tcW w:w="5" w:type="pct"/>
            <w:shd w:val="clear" w:color="auto" w:fill="auto"/>
          </w:tcPr>
          <w:p w14:paraId="1D025398" w14:textId="77777777" w:rsidR="004421F6" w:rsidRDefault="004421F6">
            <w:pPr>
              <w:rPr>
                <w:rFonts w:ascii="宋体"/>
              </w:rPr>
            </w:pPr>
          </w:p>
        </w:tc>
        <w:tc>
          <w:tcPr>
            <w:tcW w:w="50" w:type="pct"/>
            <w:shd w:val="clear" w:color="auto" w:fill="auto"/>
          </w:tcPr>
          <w:p w14:paraId="1D025399" w14:textId="77777777" w:rsidR="004421F6" w:rsidRDefault="004421F6">
            <w:pPr>
              <w:rPr>
                <w:rFonts w:ascii="宋体"/>
              </w:rPr>
            </w:pPr>
          </w:p>
        </w:tc>
        <w:tc>
          <w:tcPr>
            <w:tcW w:w="285" w:type="pct"/>
            <w:shd w:val="clear" w:color="auto" w:fill="auto"/>
          </w:tcPr>
          <w:p w14:paraId="1D02539A" w14:textId="77777777" w:rsidR="004421F6" w:rsidRDefault="004421F6">
            <w:pPr>
              <w:rPr>
                <w:rFonts w:ascii="宋体"/>
              </w:rPr>
            </w:pPr>
          </w:p>
        </w:tc>
        <w:tc>
          <w:tcPr>
            <w:tcW w:w="5" w:type="pct"/>
            <w:shd w:val="clear" w:color="auto" w:fill="auto"/>
          </w:tcPr>
          <w:p w14:paraId="1D02539B" w14:textId="77777777" w:rsidR="004421F6" w:rsidRDefault="004421F6">
            <w:pPr>
              <w:rPr>
                <w:rFonts w:ascii="宋体"/>
              </w:rPr>
            </w:pPr>
          </w:p>
        </w:tc>
        <w:tc>
          <w:tcPr>
            <w:tcW w:w="50" w:type="pct"/>
            <w:shd w:val="clear" w:color="auto" w:fill="auto"/>
          </w:tcPr>
          <w:p w14:paraId="1D02539C" w14:textId="77777777" w:rsidR="004421F6" w:rsidRDefault="004421F6">
            <w:pPr>
              <w:rPr>
                <w:rFonts w:ascii="宋体"/>
              </w:rPr>
            </w:pPr>
          </w:p>
        </w:tc>
        <w:tc>
          <w:tcPr>
            <w:tcW w:w="323" w:type="pct"/>
            <w:shd w:val="clear" w:color="auto" w:fill="auto"/>
          </w:tcPr>
          <w:p w14:paraId="1D02539D" w14:textId="77777777" w:rsidR="004421F6" w:rsidRDefault="004421F6">
            <w:pPr>
              <w:rPr>
                <w:rFonts w:ascii="宋体"/>
              </w:rPr>
            </w:pPr>
          </w:p>
        </w:tc>
        <w:tc>
          <w:tcPr>
            <w:tcW w:w="5" w:type="pct"/>
            <w:shd w:val="clear" w:color="auto" w:fill="auto"/>
          </w:tcPr>
          <w:p w14:paraId="1D02539E" w14:textId="77777777" w:rsidR="004421F6" w:rsidRDefault="004421F6">
            <w:pPr>
              <w:rPr>
                <w:rFonts w:ascii="宋体"/>
              </w:rPr>
            </w:pPr>
          </w:p>
        </w:tc>
        <w:tc>
          <w:tcPr>
            <w:tcW w:w="50" w:type="pct"/>
            <w:shd w:val="clear" w:color="auto" w:fill="auto"/>
          </w:tcPr>
          <w:p w14:paraId="1D02539F" w14:textId="77777777" w:rsidR="004421F6" w:rsidRDefault="004421F6">
            <w:pPr>
              <w:rPr>
                <w:rFonts w:ascii="宋体"/>
              </w:rPr>
            </w:pPr>
          </w:p>
        </w:tc>
        <w:tc>
          <w:tcPr>
            <w:tcW w:w="385" w:type="pct"/>
            <w:shd w:val="clear" w:color="auto" w:fill="auto"/>
          </w:tcPr>
          <w:p w14:paraId="1D0253A0" w14:textId="77777777" w:rsidR="004421F6" w:rsidRDefault="004421F6">
            <w:pPr>
              <w:rPr>
                <w:rFonts w:ascii="宋体"/>
              </w:rPr>
            </w:pPr>
          </w:p>
        </w:tc>
        <w:tc>
          <w:tcPr>
            <w:tcW w:w="5" w:type="pct"/>
            <w:shd w:val="clear" w:color="auto" w:fill="auto"/>
          </w:tcPr>
          <w:p w14:paraId="1D0253A1" w14:textId="77777777" w:rsidR="004421F6" w:rsidRDefault="004421F6">
            <w:pPr>
              <w:rPr>
                <w:rFonts w:ascii="宋体"/>
              </w:rPr>
            </w:pPr>
          </w:p>
        </w:tc>
        <w:tc>
          <w:tcPr>
            <w:tcW w:w="50" w:type="pct"/>
            <w:shd w:val="clear" w:color="auto" w:fill="auto"/>
          </w:tcPr>
          <w:p w14:paraId="1D0253A2" w14:textId="77777777" w:rsidR="004421F6" w:rsidRDefault="004421F6">
            <w:pPr>
              <w:rPr>
                <w:rFonts w:ascii="宋体"/>
              </w:rPr>
            </w:pPr>
          </w:p>
        </w:tc>
        <w:tc>
          <w:tcPr>
            <w:tcW w:w="586" w:type="pct"/>
            <w:shd w:val="clear" w:color="auto" w:fill="auto"/>
          </w:tcPr>
          <w:p w14:paraId="1D0253A3" w14:textId="77777777" w:rsidR="004421F6" w:rsidRDefault="004421F6">
            <w:pPr>
              <w:rPr>
                <w:rFonts w:ascii="宋体"/>
              </w:rPr>
            </w:pPr>
          </w:p>
        </w:tc>
        <w:tc>
          <w:tcPr>
            <w:tcW w:w="5" w:type="pct"/>
            <w:shd w:val="clear" w:color="auto" w:fill="auto"/>
          </w:tcPr>
          <w:p w14:paraId="1D0253A4" w14:textId="77777777" w:rsidR="004421F6" w:rsidRDefault="004421F6">
            <w:pPr>
              <w:rPr>
                <w:rFonts w:ascii="宋体"/>
              </w:rPr>
            </w:pPr>
          </w:p>
        </w:tc>
        <w:tc>
          <w:tcPr>
            <w:tcW w:w="50" w:type="pct"/>
            <w:shd w:val="clear" w:color="auto" w:fill="auto"/>
          </w:tcPr>
          <w:p w14:paraId="1D0253A5" w14:textId="77777777" w:rsidR="004421F6" w:rsidRDefault="004421F6">
            <w:pPr>
              <w:rPr>
                <w:rFonts w:ascii="宋体"/>
              </w:rPr>
            </w:pPr>
          </w:p>
        </w:tc>
        <w:tc>
          <w:tcPr>
            <w:tcW w:w="370" w:type="pct"/>
            <w:shd w:val="clear" w:color="auto" w:fill="auto"/>
          </w:tcPr>
          <w:p w14:paraId="1D0253A6" w14:textId="77777777" w:rsidR="004421F6" w:rsidRDefault="004421F6">
            <w:pPr>
              <w:rPr>
                <w:rFonts w:ascii="宋体"/>
              </w:rPr>
            </w:pPr>
          </w:p>
        </w:tc>
        <w:tc>
          <w:tcPr>
            <w:tcW w:w="5" w:type="pct"/>
            <w:shd w:val="clear" w:color="auto" w:fill="auto"/>
          </w:tcPr>
          <w:p w14:paraId="1D0253A7" w14:textId="77777777" w:rsidR="004421F6" w:rsidRDefault="004421F6">
            <w:pPr>
              <w:rPr>
                <w:rFonts w:ascii="宋体"/>
              </w:rPr>
            </w:pPr>
          </w:p>
        </w:tc>
        <w:tc>
          <w:tcPr>
            <w:tcW w:w="50" w:type="pct"/>
            <w:shd w:val="clear" w:color="auto" w:fill="auto"/>
          </w:tcPr>
          <w:p w14:paraId="1D0253A8" w14:textId="77777777" w:rsidR="004421F6" w:rsidRDefault="004421F6">
            <w:pPr>
              <w:rPr>
                <w:rFonts w:ascii="宋体"/>
              </w:rPr>
            </w:pPr>
          </w:p>
        </w:tc>
        <w:tc>
          <w:tcPr>
            <w:tcW w:w="323" w:type="pct"/>
            <w:shd w:val="clear" w:color="auto" w:fill="auto"/>
          </w:tcPr>
          <w:p w14:paraId="1D0253A9" w14:textId="77777777" w:rsidR="004421F6" w:rsidRDefault="004421F6">
            <w:pPr>
              <w:rPr>
                <w:rFonts w:ascii="宋体"/>
              </w:rPr>
            </w:pPr>
          </w:p>
        </w:tc>
        <w:tc>
          <w:tcPr>
            <w:tcW w:w="5" w:type="pct"/>
            <w:shd w:val="clear" w:color="auto" w:fill="auto"/>
          </w:tcPr>
          <w:p w14:paraId="1D0253AA" w14:textId="77777777" w:rsidR="004421F6" w:rsidRDefault="004421F6">
            <w:pPr>
              <w:rPr>
                <w:rFonts w:ascii="宋体"/>
              </w:rPr>
            </w:pPr>
          </w:p>
        </w:tc>
      </w:tr>
      <w:tr w:rsidR="004421F6" w14:paraId="1D0253B6" w14:textId="77777777">
        <w:trPr>
          <w:gridAfter w:val="6"/>
          <w:jc w:val="center"/>
        </w:trPr>
        <w:tc>
          <w:tcPr>
            <w:tcW w:w="0" w:type="auto"/>
            <w:gridSpan w:val="3"/>
            <w:shd w:val="clear" w:color="auto" w:fill="auto"/>
            <w:tcMar>
              <w:left w:w="20" w:type="dxa"/>
              <w:right w:w="20" w:type="dxa"/>
            </w:tcMar>
            <w:vAlign w:val="bottom"/>
          </w:tcPr>
          <w:p w14:paraId="1D0253AC" w14:textId="77777777" w:rsidR="004421F6" w:rsidRDefault="004421F6">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1D0253AD" w14:textId="77777777" w:rsidR="004421F6" w:rsidRDefault="00F15622">
            <w:pPr>
              <w:jc w:val="center"/>
              <w:textAlignment w:val="bottom"/>
            </w:pPr>
            <w:r>
              <w:rPr>
                <w:rFonts w:ascii="sans-serif" w:eastAsia="sans-serif" w:hAnsi="sans-serif" w:cs="sans-serif"/>
                <w:b/>
                <w:bCs/>
                <w:color w:val="000000"/>
                <w:sz w:val="17"/>
                <w:szCs w:val="17"/>
              </w:rPr>
              <w:t>COMMON STOCK</w:t>
            </w:r>
          </w:p>
        </w:tc>
        <w:tc>
          <w:tcPr>
            <w:tcW w:w="0" w:type="auto"/>
            <w:gridSpan w:val="3"/>
            <w:shd w:val="clear" w:color="auto" w:fill="auto"/>
          </w:tcPr>
          <w:p w14:paraId="1D0253AE" w14:textId="77777777" w:rsidR="004421F6" w:rsidRDefault="004421F6">
            <w:pPr>
              <w:rPr>
                <w:rFonts w:ascii="宋体"/>
                <w:vanish/>
              </w:rPr>
            </w:pPr>
          </w:p>
        </w:tc>
        <w:tc>
          <w:tcPr>
            <w:tcW w:w="0" w:type="auto"/>
            <w:gridSpan w:val="3"/>
            <w:shd w:val="clear" w:color="auto" w:fill="auto"/>
          </w:tcPr>
          <w:p w14:paraId="1D0253AF" w14:textId="77777777" w:rsidR="004421F6" w:rsidRDefault="004421F6">
            <w:pPr>
              <w:rPr>
                <w:rFonts w:ascii="宋体"/>
                <w:vanish/>
              </w:rPr>
            </w:pPr>
          </w:p>
        </w:tc>
        <w:tc>
          <w:tcPr>
            <w:tcW w:w="0" w:type="auto"/>
            <w:gridSpan w:val="3"/>
            <w:shd w:val="clear" w:color="auto" w:fill="auto"/>
          </w:tcPr>
          <w:p w14:paraId="1D0253B0" w14:textId="77777777" w:rsidR="004421F6" w:rsidRDefault="004421F6">
            <w:pPr>
              <w:rPr>
                <w:rFonts w:ascii="宋体"/>
                <w:vanish/>
              </w:rPr>
            </w:pPr>
          </w:p>
        </w:tc>
        <w:tc>
          <w:tcPr>
            <w:tcW w:w="0" w:type="auto"/>
            <w:gridSpan w:val="3"/>
            <w:shd w:val="clear" w:color="auto" w:fill="auto"/>
          </w:tcPr>
          <w:p w14:paraId="1D0253B1" w14:textId="77777777" w:rsidR="004421F6" w:rsidRDefault="004421F6">
            <w:pPr>
              <w:rPr>
                <w:rFonts w:ascii="宋体"/>
                <w:vanish/>
              </w:rPr>
            </w:pP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1D0253B2" w14:textId="77777777" w:rsidR="004421F6" w:rsidRDefault="00F15622">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1D0253B3" w14:textId="77777777" w:rsidR="004421F6" w:rsidRDefault="00F15622">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1D0253B4" w14:textId="77777777" w:rsidR="004421F6" w:rsidRDefault="00F15622">
            <w:pPr>
              <w:jc w:val="right"/>
              <w:textAlignment w:val="bottom"/>
            </w:pPr>
            <w:r>
              <w:rPr>
                <w:rFonts w:ascii="sans-serif" w:eastAsia="sans-serif" w:hAnsi="sans-serif" w:cs="sans-serif"/>
                <w:b/>
                <w:bCs/>
                <w:color w:val="000000"/>
                <w:sz w:val="17"/>
                <w:szCs w:val="17"/>
              </w:rPr>
              <w:t>RETAINED EARNINGS</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1D0253B5" w14:textId="77777777" w:rsidR="004421F6" w:rsidRDefault="00F15622">
            <w:pPr>
              <w:jc w:val="right"/>
              <w:textAlignment w:val="bottom"/>
            </w:pPr>
            <w:r>
              <w:rPr>
                <w:rFonts w:ascii="sans-serif" w:eastAsia="sans-serif" w:hAnsi="sans-serif" w:cs="sans-serif"/>
                <w:b/>
                <w:bCs/>
                <w:color w:val="000000"/>
                <w:sz w:val="17"/>
                <w:szCs w:val="17"/>
              </w:rPr>
              <w:t>TOTAL</w:t>
            </w:r>
          </w:p>
        </w:tc>
      </w:tr>
      <w:tr w:rsidR="004421F6" w14:paraId="1D0253C5" w14:textId="77777777">
        <w:trPr>
          <w:jc w:val="center"/>
        </w:trPr>
        <w:tc>
          <w:tcPr>
            <w:tcW w:w="0" w:type="auto"/>
            <w:gridSpan w:val="3"/>
            <w:shd w:val="clear" w:color="auto" w:fill="auto"/>
            <w:tcMar>
              <w:left w:w="20" w:type="dxa"/>
              <w:right w:w="20" w:type="dxa"/>
            </w:tcMar>
            <w:vAlign w:val="bottom"/>
          </w:tcPr>
          <w:p w14:paraId="1D0253B7" w14:textId="77777777" w:rsidR="004421F6" w:rsidRDefault="004421F6">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D0253B8" w14:textId="77777777" w:rsidR="004421F6" w:rsidRDefault="00F15622">
            <w:pPr>
              <w:jc w:val="center"/>
              <w:textAlignment w:val="bottom"/>
            </w:pPr>
            <w:r>
              <w:rPr>
                <w:rFonts w:ascii="sans-serif" w:eastAsia="sans-serif" w:hAnsi="sans-serif" w:cs="sans-serif"/>
                <w:b/>
                <w:bCs/>
                <w:color w:val="000000"/>
                <w:sz w:val="17"/>
                <w:szCs w:val="17"/>
              </w:rPr>
              <w:t>CLASS A</w:t>
            </w:r>
          </w:p>
        </w:tc>
        <w:tc>
          <w:tcPr>
            <w:tcW w:w="0" w:type="auto"/>
            <w:gridSpan w:val="3"/>
            <w:shd w:val="clear" w:color="auto" w:fill="auto"/>
          </w:tcPr>
          <w:p w14:paraId="1D0253B9" w14:textId="77777777" w:rsidR="004421F6" w:rsidRDefault="004421F6">
            <w:pPr>
              <w:rPr>
                <w:rFonts w:ascii="宋体"/>
                <w:vanish/>
              </w:rPr>
            </w:pPr>
          </w:p>
        </w:tc>
        <w:tc>
          <w:tcPr>
            <w:tcW w:w="0" w:type="auto"/>
            <w:gridSpan w:val="3"/>
            <w:tcBorders>
              <w:top w:val="single" w:sz="8" w:space="0" w:color="E87722"/>
            </w:tcBorders>
            <w:shd w:val="clear" w:color="auto" w:fill="auto"/>
            <w:tcMar>
              <w:left w:w="20" w:type="dxa"/>
              <w:right w:w="20" w:type="dxa"/>
            </w:tcMar>
            <w:vAlign w:val="bottom"/>
          </w:tcPr>
          <w:p w14:paraId="1D0253BA" w14:textId="77777777" w:rsidR="004421F6" w:rsidRDefault="004421F6">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D0253BB" w14:textId="77777777" w:rsidR="004421F6" w:rsidRDefault="00F15622">
            <w:pPr>
              <w:jc w:val="center"/>
              <w:textAlignment w:val="bottom"/>
            </w:pPr>
            <w:r>
              <w:rPr>
                <w:rFonts w:ascii="sans-serif" w:eastAsia="sans-serif" w:hAnsi="sans-serif" w:cs="sans-serif"/>
                <w:b/>
                <w:bCs/>
                <w:color w:val="000000"/>
                <w:sz w:val="17"/>
                <w:szCs w:val="17"/>
              </w:rPr>
              <w:t>CLASS B</w:t>
            </w:r>
          </w:p>
        </w:tc>
        <w:tc>
          <w:tcPr>
            <w:tcW w:w="0" w:type="auto"/>
            <w:gridSpan w:val="3"/>
            <w:shd w:val="clear" w:color="auto" w:fill="auto"/>
          </w:tcPr>
          <w:p w14:paraId="1D0253BC" w14:textId="77777777" w:rsidR="004421F6" w:rsidRDefault="004421F6">
            <w:pPr>
              <w:rPr>
                <w:rFonts w:ascii="宋体"/>
                <w:vanish/>
              </w:rPr>
            </w:pPr>
          </w:p>
        </w:tc>
        <w:tc>
          <w:tcPr>
            <w:tcW w:w="0" w:type="auto"/>
            <w:gridSpan w:val="3"/>
            <w:shd w:val="clear" w:color="auto" w:fill="auto"/>
          </w:tcPr>
          <w:p w14:paraId="1D0253BD" w14:textId="77777777" w:rsidR="004421F6" w:rsidRDefault="004421F6">
            <w:pPr>
              <w:rPr>
                <w:rFonts w:ascii="宋体"/>
                <w:vanish/>
              </w:rPr>
            </w:pPr>
          </w:p>
        </w:tc>
        <w:tc>
          <w:tcPr>
            <w:tcW w:w="0" w:type="auto"/>
            <w:gridSpan w:val="3"/>
            <w:shd w:val="clear" w:color="auto" w:fill="auto"/>
          </w:tcPr>
          <w:p w14:paraId="1D0253BE" w14:textId="77777777" w:rsidR="004421F6" w:rsidRDefault="004421F6">
            <w:pPr>
              <w:rPr>
                <w:rFonts w:ascii="宋体"/>
                <w:vanish/>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1D0253BF" w14:textId="77777777" w:rsidR="004421F6" w:rsidRDefault="004421F6">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1D0253C0" w14:textId="77777777" w:rsidR="004421F6" w:rsidRDefault="004421F6">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1D0253C1" w14:textId="77777777" w:rsidR="004421F6" w:rsidRDefault="004421F6">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1D0253C2" w14:textId="77777777" w:rsidR="004421F6" w:rsidRDefault="004421F6">
            <w:pPr>
              <w:jc w:val="right"/>
              <w:rPr>
                <w:rFonts w:ascii="宋体"/>
              </w:rPr>
            </w:pPr>
          </w:p>
        </w:tc>
        <w:tc>
          <w:tcPr>
            <w:tcW w:w="0" w:type="auto"/>
            <w:gridSpan w:val="3"/>
            <w:shd w:val="clear" w:color="auto" w:fill="auto"/>
          </w:tcPr>
          <w:p w14:paraId="1D0253C3" w14:textId="77777777" w:rsidR="004421F6" w:rsidRDefault="004421F6">
            <w:pPr>
              <w:rPr>
                <w:rFonts w:ascii="宋体"/>
                <w:vanish/>
              </w:rPr>
            </w:pPr>
          </w:p>
        </w:tc>
        <w:tc>
          <w:tcPr>
            <w:tcW w:w="0" w:type="auto"/>
            <w:gridSpan w:val="3"/>
            <w:shd w:val="clear" w:color="auto" w:fill="auto"/>
          </w:tcPr>
          <w:p w14:paraId="1D0253C4" w14:textId="77777777" w:rsidR="004421F6" w:rsidRDefault="004421F6">
            <w:pPr>
              <w:rPr>
                <w:rFonts w:ascii="宋体"/>
                <w:vanish/>
              </w:rPr>
            </w:pPr>
          </w:p>
        </w:tc>
      </w:tr>
      <w:tr w:rsidR="004421F6" w14:paraId="1D0253DA" w14:textId="77777777">
        <w:trPr>
          <w:jc w:val="center"/>
        </w:trPr>
        <w:tc>
          <w:tcPr>
            <w:tcW w:w="0" w:type="auto"/>
            <w:gridSpan w:val="3"/>
            <w:tcBorders>
              <w:bottom w:val="single" w:sz="8" w:space="0" w:color="E87722"/>
            </w:tcBorders>
            <w:shd w:val="clear" w:color="auto" w:fill="auto"/>
            <w:tcMar>
              <w:top w:w="40" w:type="dxa"/>
              <w:left w:w="20" w:type="dxa"/>
              <w:bottom w:w="40" w:type="dxa"/>
              <w:right w:w="20" w:type="dxa"/>
            </w:tcMar>
            <w:vAlign w:val="bottom"/>
          </w:tcPr>
          <w:p w14:paraId="1D0253C6" w14:textId="77777777" w:rsidR="004421F6" w:rsidRDefault="00F15622">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3C7" w14:textId="77777777" w:rsidR="004421F6" w:rsidRDefault="00F15622">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3C8" w14:textId="77777777" w:rsidR="004421F6" w:rsidRDefault="00F15622">
            <w:pPr>
              <w:jc w:val="right"/>
              <w:textAlignment w:val="bottom"/>
            </w:pPr>
            <w:r>
              <w:rPr>
                <w:rFonts w:ascii="sans-serif" w:eastAsia="sans-serif" w:hAnsi="sans-serif" w:cs="sans-serif"/>
                <w:b/>
                <w:bCs/>
                <w:color w:val="000000"/>
                <w:sz w:val="17"/>
                <w:szCs w:val="17"/>
              </w:rPr>
              <w:t>AMOUNT</w:t>
            </w:r>
          </w:p>
        </w:tc>
        <w:tc>
          <w:tcPr>
            <w:tcW w:w="0" w:type="auto"/>
            <w:gridSpan w:val="3"/>
            <w:tcBorders>
              <w:bottom w:val="single" w:sz="8" w:space="0" w:color="E87722"/>
            </w:tcBorders>
            <w:shd w:val="clear" w:color="auto" w:fill="auto"/>
            <w:tcMar>
              <w:left w:w="20" w:type="dxa"/>
              <w:right w:w="20" w:type="dxa"/>
            </w:tcMar>
            <w:vAlign w:val="bottom"/>
          </w:tcPr>
          <w:p w14:paraId="1D0253C9" w14:textId="77777777" w:rsidR="004421F6" w:rsidRDefault="004421F6">
            <w:pPr>
              <w:rPr>
                <w:rFonts w:ascii="宋体"/>
              </w:rPr>
            </w:pP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3CA" w14:textId="77777777" w:rsidR="004421F6" w:rsidRDefault="00F15622">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3CB" w14:textId="77777777" w:rsidR="004421F6" w:rsidRDefault="00F15622">
            <w:pPr>
              <w:jc w:val="right"/>
              <w:textAlignment w:val="bottom"/>
            </w:pPr>
            <w:r>
              <w:rPr>
                <w:rFonts w:ascii="sans-serif" w:eastAsia="sans-serif" w:hAnsi="sans-serif" w:cs="sans-serif"/>
                <w:b/>
                <w:bCs/>
                <w:color w:val="000000"/>
                <w:sz w:val="17"/>
                <w:szCs w:val="17"/>
              </w:rPr>
              <w:t>AMOUNT</w:t>
            </w:r>
          </w:p>
        </w:tc>
        <w:tc>
          <w:tcPr>
            <w:tcW w:w="0" w:type="auto"/>
            <w:gridSpan w:val="3"/>
            <w:shd w:val="clear" w:color="auto" w:fill="auto"/>
          </w:tcPr>
          <w:p w14:paraId="1D0253CC" w14:textId="77777777" w:rsidR="004421F6" w:rsidRDefault="004421F6">
            <w:pPr>
              <w:rPr>
                <w:rFonts w:ascii="宋体"/>
                <w:vanish/>
              </w:rPr>
            </w:pPr>
          </w:p>
        </w:tc>
        <w:tc>
          <w:tcPr>
            <w:tcW w:w="0" w:type="auto"/>
            <w:gridSpan w:val="3"/>
            <w:shd w:val="clear" w:color="auto" w:fill="auto"/>
          </w:tcPr>
          <w:p w14:paraId="1D0253CD" w14:textId="77777777" w:rsidR="004421F6" w:rsidRDefault="004421F6">
            <w:pPr>
              <w:rPr>
                <w:rFonts w:ascii="宋体"/>
                <w:vanish/>
              </w:rPr>
            </w:pPr>
          </w:p>
        </w:tc>
        <w:tc>
          <w:tcPr>
            <w:tcW w:w="0" w:type="auto"/>
            <w:gridSpan w:val="3"/>
            <w:shd w:val="clear" w:color="auto" w:fill="auto"/>
          </w:tcPr>
          <w:p w14:paraId="1D0253CE" w14:textId="77777777" w:rsidR="004421F6" w:rsidRDefault="004421F6">
            <w:pPr>
              <w:rPr>
                <w:rFonts w:ascii="宋体"/>
                <w:vanish/>
              </w:rPr>
            </w:pPr>
          </w:p>
        </w:tc>
        <w:tc>
          <w:tcPr>
            <w:tcW w:w="0" w:type="auto"/>
            <w:gridSpan w:val="3"/>
            <w:shd w:val="clear" w:color="auto" w:fill="auto"/>
          </w:tcPr>
          <w:p w14:paraId="1D0253CF" w14:textId="77777777" w:rsidR="004421F6" w:rsidRDefault="004421F6">
            <w:pPr>
              <w:rPr>
                <w:rFonts w:ascii="宋体"/>
                <w:vanish/>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1D0253D0" w14:textId="77777777" w:rsidR="004421F6" w:rsidRDefault="004421F6">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1D0253D1" w14:textId="77777777" w:rsidR="004421F6" w:rsidRDefault="004421F6">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1D0253D2" w14:textId="77777777" w:rsidR="004421F6" w:rsidRDefault="004421F6">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1D0253D3" w14:textId="77777777" w:rsidR="004421F6" w:rsidRDefault="004421F6">
            <w:pPr>
              <w:jc w:val="right"/>
              <w:rPr>
                <w:rFonts w:ascii="宋体"/>
              </w:rPr>
            </w:pPr>
          </w:p>
        </w:tc>
        <w:tc>
          <w:tcPr>
            <w:tcW w:w="0" w:type="auto"/>
            <w:shd w:val="clear" w:color="auto" w:fill="auto"/>
          </w:tcPr>
          <w:p w14:paraId="1D0253D4" w14:textId="77777777" w:rsidR="004421F6" w:rsidRDefault="004421F6">
            <w:pPr>
              <w:rPr>
                <w:rFonts w:ascii="宋体"/>
              </w:rPr>
            </w:pPr>
          </w:p>
        </w:tc>
        <w:tc>
          <w:tcPr>
            <w:tcW w:w="0" w:type="auto"/>
            <w:shd w:val="clear" w:color="auto" w:fill="auto"/>
          </w:tcPr>
          <w:p w14:paraId="1D0253D5" w14:textId="77777777" w:rsidR="004421F6" w:rsidRDefault="004421F6">
            <w:pPr>
              <w:rPr>
                <w:rFonts w:ascii="宋体"/>
              </w:rPr>
            </w:pPr>
          </w:p>
        </w:tc>
        <w:tc>
          <w:tcPr>
            <w:tcW w:w="0" w:type="auto"/>
            <w:shd w:val="clear" w:color="auto" w:fill="auto"/>
          </w:tcPr>
          <w:p w14:paraId="1D0253D6" w14:textId="77777777" w:rsidR="004421F6" w:rsidRDefault="004421F6">
            <w:pPr>
              <w:rPr>
                <w:rFonts w:ascii="宋体"/>
              </w:rPr>
            </w:pPr>
          </w:p>
        </w:tc>
        <w:tc>
          <w:tcPr>
            <w:tcW w:w="0" w:type="auto"/>
            <w:shd w:val="clear" w:color="auto" w:fill="auto"/>
          </w:tcPr>
          <w:p w14:paraId="1D0253D7" w14:textId="77777777" w:rsidR="004421F6" w:rsidRDefault="004421F6">
            <w:pPr>
              <w:rPr>
                <w:rFonts w:ascii="宋体"/>
              </w:rPr>
            </w:pPr>
          </w:p>
        </w:tc>
        <w:tc>
          <w:tcPr>
            <w:tcW w:w="0" w:type="auto"/>
            <w:shd w:val="clear" w:color="auto" w:fill="auto"/>
          </w:tcPr>
          <w:p w14:paraId="1D0253D8" w14:textId="77777777" w:rsidR="004421F6" w:rsidRDefault="004421F6">
            <w:pPr>
              <w:rPr>
                <w:rFonts w:ascii="宋体"/>
              </w:rPr>
            </w:pPr>
          </w:p>
        </w:tc>
        <w:tc>
          <w:tcPr>
            <w:tcW w:w="0" w:type="auto"/>
            <w:shd w:val="clear" w:color="auto" w:fill="auto"/>
          </w:tcPr>
          <w:p w14:paraId="1D0253D9" w14:textId="77777777" w:rsidR="004421F6" w:rsidRDefault="004421F6">
            <w:pPr>
              <w:rPr>
                <w:rFonts w:ascii="宋体"/>
              </w:rPr>
            </w:pPr>
          </w:p>
        </w:tc>
      </w:tr>
      <w:tr w:rsidR="004421F6" w14:paraId="1D025405"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3DB" w14:textId="77777777" w:rsidR="004421F6" w:rsidRDefault="00F15622">
            <w:pPr>
              <w:textAlignment w:val="bottom"/>
            </w:pPr>
            <w:r>
              <w:rPr>
                <w:rFonts w:ascii="Arial" w:eastAsia="宋体" w:hAnsi="Arial" w:cs="Arial"/>
                <w:b/>
                <w:bCs/>
                <w:color w:val="000000"/>
                <w:sz w:val="17"/>
                <w:szCs w:val="17"/>
              </w:rPr>
              <w:t>Balance at May 31, 2019</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3DC" w14:textId="77777777" w:rsidR="004421F6" w:rsidRDefault="00F15622">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3DD"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3DE"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3DF" w14:textId="77777777" w:rsidR="004421F6" w:rsidRDefault="00F15622">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3E0"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3E1" w14:textId="77777777" w:rsidR="004421F6" w:rsidRDefault="004421F6">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3E2" w14:textId="77777777" w:rsidR="004421F6" w:rsidRDefault="00F15622">
            <w:pPr>
              <w:jc w:val="right"/>
              <w:textAlignment w:val="bottom"/>
            </w:pPr>
            <w:r>
              <w:rPr>
                <w:rFonts w:ascii="Arial" w:eastAsia="宋体" w:hAnsi="Arial" w:cs="Arial"/>
                <w:b/>
                <w:bCs/>
                <w:color w:val="000000"/>
                <w:sz w:val="17"/>
                <w:szCs w:val="17"/>
              </w:rPr>
              <w:t>1,253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3E3"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3E4"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3E5" w14:textId="77777777" w:rsidR="004421F6" w:rsidRDefault="00F1562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3E6"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3E7"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3E8" w14:textId="77777777" w:rsidR="004421F6" w:rsidRDefault="00F15622">
            <w:pPr>
              <w:jc w:val="right"/>
              <w:textAlignment w:val="bottom"/>
            </w:pPr>
            <w:r>
              <w:rPr>
                <w:rFonts w:ascii="Arial" w:eastAsia="宋体" w:hAnsi="Arial" w:cs="Arial"/>
                <w:b/>
                <w:bCs/>
                <w:color w:val="000000"/>
                <w:sz w:val="17"/>
                <w:szCs w:val="17"/>
              </w:rPr>
              <w:t>7,163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3E9"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3EA"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3EB" w14:textId="77777777" w:rsidR="004421F6" w:rsidRDefault="00F15622">
            <w:pPr>
              <w:jc w:val="right"/>
              <w:textAlignment w:val="bottom"/>
            </w:pPr>
            <w:r>
              <w:rPr>
                <w:rFonts w:ascii="Arial" w:eastAsia="宋体" w:hAnsi="Arial" w:cs="Arial"/>
                <w:b/>
                <w:bCs/>
                <w:color w:val="000000"/>
                <w:sz w:val="17"/>
                <w:szCs w:val="17"/>
              </w:rPr>
              <w:t>231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3EC"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3ED"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3EE" w14:textId="77777777" w:rsidR="004421F6" w:rsidRDefault="00F15622">
            <w:pPr>
              <w:jc w:val="right"/>
              <w:textAlignment w:val="bottom"/>
            </w:pPr>
            <w:r>
              <w:rPr>
                <w:rFonts w:ascii="Arial" w:eastAsia="宋体" w:hAnsi="Arial" w:cs="Arial"/>
                <w:b/>
                <w:bCs/>
                <w:color w:val="000000"/>
                <w:sz w:val="17"/>
                <w:szCs w:val="17"/>
              </w:rPr>
              <w:t>1,643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3EF"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3F0"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3F1" w14:textId="77777777" w:rsidR="004421F6" w:rsidRDefault="00F15622">
            <w:pPr>
              <w:jc w:val="right"/>
              <w:textAlignment w:val="bottom"/>
            </w:pPr>
            <w:r>
              <w:rPr>
                <w:rFonts w:ascii="Arial" w:eastAsia="宋体" w:hAnsi="Arial" w:cs="Arial"/>
                <w:b/>
                <w:bCs/>
                <w:color w:val="000000"/>
                <w:sz w:val="17"/>
                <w:szCs w:val="17"/>
              </w:rPr>
              <w:t>9,040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3F2" w14:textId="77777777" w:rsidR="004421F6" w:rsidRDefault="004421F6">
            <w:pPr>
              <w:jc w:val="right"/>
              <w:rPr>
                <w:rFonts w:ascii="宋体"/>
              </w:rPr>
            </w:pPr>
          </w:p>
        </w:tc>
        <w:tc>
          <w:tcPr>
            <w:tcW w:w="0" w:type="auto"/>
            <w:shd w:val="clear" w:color="auto" w:fill="auto"/>
          </w:tcPr>
          <w:p w14:paraId="1D0253F3" w14:textId="77777777" w:rsidR="004421F6" w:rsidRDefault="004421F6">
            <w:pPr>
              <w:rPr>
                <w:rFonts w:ascii="宋体"/>
              </w:rPr>
            </w:pPr>
          </w:p>
        </w:tc>
        <w:tc>
          <w:tcPr>
            <w:tcW w:w="0" w:type="auto"/>
            <w:shd w:val="clear" w:color="auto" w:fill="auto"/>
          </w:tcPr>
          <w:p w14:paraId="1D0253F4" w14:textId="77777777" w:rsidR="004421F6" w:rsidRDefault="004421F6">
            <w:pPr>
              <w:rPr>
                <w:rFonts w:ascii="宋体"/>
              </w:rPr>
            </w:pPr>
          </w:p>
        </w:tc>
        <w:tc>
          <w:tcPr>
            <w:tcW w:w="0" w:type="auto"/>
            <w:shd w:val="clear" w:color="auto" w:fill="auto"/>
          </w:tcPr>
          <w:p w14:paraId="1D0253F5" w14:textId="77777777" w:rsidR="004421F6" w:rsidRDefault="004421F6">
            <w:pPr>
              <w:rPr>
                <w:rFonts w:ascii="宋体"/>
              </w:rPr>
            </w:pPr>
          </w:p>
        </w:tc>
        <w:tc>
          <w:tcPr>
            <w:tcW w:w="0" w:type="auto"/>
            <w:shd w:val="clear" w:color="auto" w:fill="auto"/>
          </w:tcPr>
          <w:p w14:paraId="1D0253F6" w14:textId="77777777" w:rsidR="004421F6" w:rsidRDefault="004421F6">
            <w:pPr>
              <w:rPr>
                <w:rFonts w:ascii="宋体"/>
              </w:rPr>
            </w:pPr>
          </w:p>
        </w:tc>
        <w:tc>
          <w:tcPr>
            <w:tcW w:w="0" w:type="auto"/>
            <w:shd w:val="clear" w:color="auto" w:fill="auto"/>
          </w:tcPr>
          <w:p w14:paraId="1D0253F7" w14:textId="77777777" w:rsidR="004421F6" w:rsidRDefault="004421F6">
            <w:pPr>
              <w:rPr>
                <w:rFonts w:ascii="宋体"/>
              </w:rPr>
            </w:pPr>
          </w:p>
        </w:tc>
        <w:tc>
          <w:tcPr>
            <w:tcW w:w="0" w:type="auto"/>
            <w:shd w:val="clear" w:color="auto" w:fill="auto"/>
          </w:tcPr>
          <w:p w14:paraId="1D0253F8" w14:textId="77777777" w:rsidR="004421F6" w:rsidRDefault="004421F6">
            <w:pPr>
              <w:rPr>
                <w:rFonts w:ascii="宋体"/>
              </w:rPr>
            </w:pPr>
          </w:p>
        </w:tc>
        <w:tc>
          <w:tcPr>
            <w:tcW w:w="0" w:type="auto"/>
            <w:shd w:val="clear" w:color="auto" w:fill="auto"/>
          </w:tcPr>
          <w:p w14:paraId="1D0253F9" w14:textId="77777777" w:rsidR="004421F6" w:rsidRDefault="004421F6">
            <w:pPr>
              <w:rPr>
                <w:rFonts w:ascii="宋体"/>
              </w:rPr>
            </w:pPr>
          </w:p>
        </w:tc>
        <w:tc>
          <w:tcPr>
            <w:tcW w:w="0" w:type="auto"/>
            <w:shd w:val="clear" w:color="auto" w:fill="auto"/>
          </w:tcPr>
          <w:p w14:paraId="1D0253FA" w14:textId="77777777" w:rsidR="004421F6" w:rsidRDefault="004421F6">
            <w:pPr>
              <w:rPr>
                <w:rFonts w:ascii="宋体"/>
              </w:rPr>
            </w:pPr>
          </w:p>
        </w:tc>
        <w:tc>
          <w:tcPr>
            <w:tcW w:w="0" w:type="auto"/>
            <w:shd w:val="clear" w:color="auto" w:fill="auto"/>
          </w:tcPr>
          <w:p w14:paraId="1D0253FB" w14:textId="77777777" w:rsidR="004421F6" w:rsidRDefault="004421F6">
            <w:pPr>
              <w:rPr>
                <w:rFonts w:ascii="宋体"/>
              </w:rPr>
            </w:pPr>
          </w:p>
        </w:tc>
        <w:tc>
          <w:tcPr>
            <w:tcW w:w="0" w:type="auto"/>
            <w:shd w:val="clear" w:color="auto" w:fill="auto"/>
          </w:tcPr>
          <w:p w14:paraId="1D0253FC" w14:textId="77777777" w:rsidR="004421F6" w:rsidRDefault="004421F6">
            <w:pPr>
              <w:rPr>
                <w:rFonts w:ascii="宋体"/>
              </w:rPr>
            </w:pPr>
          </w:p>
        </w:tc>
        <w:tc>
          <w:tcPr>
            <w:tcW w:w="0" w:type="auto"/>
            <w:shd w:val="clear" w:color="auto" w:fill="auto"/>
          </w:tcPr>
          <w:p w14:paraId="1D0253FD" w14:textId="77777777" w:rsidR="004421F6" w:rsidRDefault="004421F6">
            <w:pPr>
              <w:rPr>
                <w:rFonts w:ascii="宋体"/>
              </w:rPr>
            </w:pPr>
          </w:p>
        </w:tc>
        <w:tc>
          <w:tcPr>
            <w:tcW w:w="0" w:type="auto"/>
            <w:shd w:val="clear" w:color="auto" w:fill="auto"/>
          </w:tcPr>
          <w:p w14:paraId="1D0253FE" w14:textId="77777777" w:rsidR="004421F6" w:rsidRDefault="004421F6">
            <w:pPr>
              <w:rPr>
                <w:rFonts w:ascii="宋体"/>
              </w:rPr>
            </w:pPr>
          </w:p>
        </w:tc>
        <w:tc>
          <w:tcPr>
            <w:tcW w:w="0" w:type="auto"/>
            <w:shd w:val="clear" w:color="auto" w:fill="auto"/>
          </w:tcPr>
          <w:p w14:paraId="1D0253FF" w14:textId="77777777" w:rsidR="004421F6" w:rsidRDefault="004421F6">
            <w:pPr>
              <w:rPr>
                <w:rFonts w:ascii="宋体"/>
              </w:rPr>
            </w:pPr>
          </w:p>
        </w:tc>
        <w:tc>
          <w:tcPr>
            <w:tcW w:w="0" w:type="auto"/>
            <w:shd w:val="clear" w:color="auto" w:fill="auto"/>
          </w:tcPr>
          <w:p w14:paraId="1D025400" w14:textId="77777777" w:rsidR="004421F6" w:rsidRDefault="004421F6">
            <w:pPr>
              <w:rPr>
                <w:rFonts w:ascii="宋体"/>
              </w:rPr>
            </w:pPr>
          </w:p>
        </w:tc>
        <w:tc>
          <w:tcPr>
            <w:tcW w:w="0" w:type="auto"/>
            <w:shd w:val="clear" w:color="auto" w:fill="auto"/>
          </w:tcPr>
          <w:p w14:paraId="1D025401" w14:textId="77777777" w:rsidR="004421F6" w:rsidRDefault="004421F6">
            <w:pPr>
              <w:rPr>
                <w:rFonts w:ascii="宋体"/>
              </w:rPr>
            </w:pPr>
          </w:p>
        </w:tc>
        <w:tc>
          <w:tcPr>
            <w:tcW w:w="0" w:type="auto"/>
            <w:shd w:val="clear" w:color="auto" w:fill="auto"/>
          </w:tcPr>
          <w:p w14:paraId="1D025402" w14:textId="77777777" w:rsidR="004421F6" w:rsidRDefault="004421F6">
            <w:pPr>
              <w:rPr>
                <w:rFonts w:ascii="宋体"/>
              </w:rPr>
            </w:pPr>
          </w:p>
        </w:tc>
        <w:tc>
          <w:tcPr>
            <w:tcW w:w="0" w:type="auto"/>
            <w:shd w:val="clear" w:color="auto" w:fill="auto"/>
          </w:tcPr>
          <w:p w14:paraId="1D025403" w14:textId="77777777" w:rsidR="004421F6" w:rsidRDefault="004421F6">
            <w:pPr>
              <w:rPr>
                <w:rFonts w:ascii="宋体"/>
              </w:rPr>
            </w:pPr>
          </w:p>
        </w:tc>
        <w:tc>
          <w:tcPr>
            <w:tcW w:w="0" w:type="auto"/>
            <w:shd w:val="clear" w:color="auto" w:fill="auto"/>
          </w:tcPr>
          <w:p w14:paraId="1D025404" w14:textId="77777777" w:rsidR="004421F6" w:rsidRDefault="004421F6">
            <w:pPr>
              <w:rPr>
                <w:rFonts w:ascii="宋体"/>
              </w:rPr>
            </w:pPr>
          </w:p>
        </w:tc>
      </w:tr>
      <w:tr w:rsidR="004421F6" w14:paraId="1D025425"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406" w14:textId="77777777" w:rsidR="004421F6" w:rsidRDefault="00F15622">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auto"/>
            <w:tcMar>
              <w:left w:w="20" w:type="dxa"/>
              <w:right w:w="20" w:type="dxa"/>
            </w:tcMar>
            <w:vAlign w:val="bottom"/>
          </w:tcPr>
          <w:p w14:paraId="1D025407"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408"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409" w14:textId="77777777" w:rsidR="004421F6" w:rsidRDefault="004421F6">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40A" w14:textId="77777777" w:rsidR="004421F6" w:rsidRDefault="00F15622">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bottom w:w="40" w:type="dxa"/>
              <w:right w:w="20" w:type="dxa"/>
            </w:tcMar>
            <w:vAlign w:val="bottom"/>
          </w:tcPr>
          <w:p w14:paraId="1D02540B"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40C" w14:textId="77777777" w:rsidR="004421F6" w:rsidRDefault="004421F6">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40D" w14:textId="77777777" w:rsidR="004421F6" w:rsidRDefault="00F15622">
            <w:pPr>
              <w:jc w:val="right"/>
              <w:textAlignment w:val="bottom"/>
            </w:pPr>
            <w:r>
              <w:rPr>
                <w:rFonts w:ascii="Arial" w:eastAsia="宋体" w:hAnsi="Arial" w:cs="Arial"/>
                <w:color w:val="000000"/>
                <w:sz w:val="17"/>
                <w:szCs w:val="17"/>
              </w:rPr>
              <w:t>116 </w:t>
            </w:r>
          </w:p>
        </w:tc>
        <w:tc>
          <w:tcPr>
            <w:tcW w:w="0" w:type="auto"/>
            <w:tcBorders>
              <w:top w:val="single" w:sz="8" w:space="0" w:color="E87722"/>
            </w:tcBorders>
            <w:shd w:val="clear" w:color="auto" w:fill="auto"/>
            <w:tcMar>
              <w:top w:w="40" w:type="dxa"/>
              <w:bottom w:w="40" w:type="dxa"/>
              <w:right w:w="20" w:type="dxa"/>
            </w:tcMar>
            <w:vAlign w:val="bottom"/>
          </w:tcPr>
          <w:p w14:paraId="1D02540E"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40F"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410" w14:textId="77777777" w:rsidR="004421F6" w:rsidRDefault="004421F6">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411" w14:textId="77777777" w:rsidR="004421F6" w:rsidRDefault="00F15622">
            <w:pPr>
              <w:jc w:val="right"/>
              <w:textAlignment w:val="bottom"/>
            </w:pPr>
            <w:r>
              <w:rPr>
                <w:rFonts w:ascii="Arial" w:eastAsia="宋体" w:hAnsi="Arial" w:cs="Arial"/>
                <w:color w:val="000000"/>
                <w:sz w:val="17"/>
                <w:szCs w:val="17"/>
              </w:rPr>
              <w:t>116 </w:t>
            </w:r>
          </w:p>
        </w:tc>
        <w:tc>
          <w:tcPr>
            <w:tcW w:w="0" w:type="auto"/>
            <w:tcBorders>
              <w:top w:val="single" w:sz="8" w:space="0" w:color="E87722"/>
            </w:tcBorders>
            <w:shd w:val="clear" w:color="auto" w:fill="auto"/>
            <w:tcMar>
              <w:top w:w="40" w:type="dxa"/>
              <w:bottom w:w="40" w:type="dxa"/>
              <w:right w:w="20" w:type="dxa"/>
            </w:tcMar>
            <w:vAlign w:val="bottom"/>
          </w:tcPr>
          <w:p w14:paraId="1D025412" w14:textId="77777777" w:rsidR="004421F6" w:rsidRDefault="004421F6">
            <w:pPr>
              <w:jc w:val="right"/>
              <w:rPr>
                <w:rFonts w:ascii="宋体"/>
              </w:rPr>
            </w:pPr>
          </w:p>
        </w:tc>
        <w:tc>
          <w:tcPr>
            <w:tcW w:w="0" w:type="auto"/>
            <w:shd w:val="clear" w:color="auto" w:fill="auto"/>
          </w:tcPr>
          <w:p w14:paraId="1D025413" w14:textId="77777777" w:rsidR="004421F6" w:rsidRDefault="004421F6">
            <w:pPr>
              <w:rPr>
                <w:rFonts w:ascii="宋体"/>
              </w:rPr>
            </w:pPr>
          </w:p>
        </w:tc>
        <w:tc>
          <w:tcPr>
            <w:tcW w:w="0" w:type="auto"/>
            <w:shd w:val="clear" w:color="auto" w:fill="auto"/>
          </w:tcPr>
          <w:p w14:paraId="1D025414" w14:textId="77777777" w:rsidR="004421F6" w:rsidRDefault="004421F6">
            <w:pPr>
              <w:rPr>
                <w:rFonts w:ascii="宋体"/>
              </w:rPr>
            </w:pPr>
          </w:p>
        </w:tc>
        <w:tc>
          <w:tcPr>
            <w:tcW w:w="0" w:type="auto"/>
            <w:shd w:val="clear" w:color="auto" w:fill="auto"/>
          </w:tcPr>
          <w:p w14:paraId="1D025415" w14:textId="77777777" w:rsidR="004421F6" w:rsidRDefault="004421F6">
            <w:pPr>
              <w:rPr>
                <w:rFonts w:ascii="宋体"/>
              </w:rPr>
            </w:pPr>
          </w:p>
        </w:tc>
        <w:tc>
          <w:tcPr>
            <w:tcW w:w="0" w:type="auto"/>
            <w:shd w:val="clear" w:color="auto" w:fill="auto"/>
          </w:tcPr>
          <w:p w14:paraId="1D025416" w14:textId="77777777" w:rsidR="004421F6" w:rsidRDefault="004421F6">
            <w:pPr>
              <w:rPr>
                <w:rFonts w:ascii="宋体"/>
              </w:rPr>
            </w:pPr>
          </w:p>
        </w:tc>
        <w:tc>
          <w:tcPr>
            <w:tcW w:w="0" w:type="auto"/>
            <w:shd w:val="clear" w:color="auto" w:fill="auto"/>
          </w:tcPr>
          <w:p w14:paraId="1D025417" w14:textId="77777777" w:rsidR="004421F6" w:rsidRDefault="004421F6">
            <w:pPr>
              <w:rPr>
                <w:rFonts w:ascii="宋体"/>
              </w:rPr>
            </w:pPr>
          </w:p>
        </w:tc>
        <w:tc>
          <w:tcPr>
            <w:tcW w:w="0" w:type="auto"/>
            <w:shd w:val="clear" w:color="auto" w:fill="auto"/>
          </w:tcPr>
          <w:p w14:paraId="1D025418" w14:textId="77777777" w:rsidR="004421F6" w:rsidRDefault="004421F6">
            <w:pPr>
              <w:rPr>
                <w:rFonts w:ascii="宋体"/>
              </w:rPr>
            </w:pPr>
          </w:p>
        </w:tc>
        <w:tc>
          <w:tcPr>
            <w:tcW w:w="0" w:type="auto"/>
            <w:shd w:val="clear" w:color="auto" w:fill="auto"/>
          </w:tcPr>
          <w:p w14:paraId="1D025419" w14:textId="77777777" w:rsidR="004421F6" w:rsidRDefault="004421F6">
            <w:pPr>
              <w:rPr>
                <w:rFonts w:ascii="宋体"/>
              </w:rPr>
            </w:pPr>
          </w:p>
        </w:tc>
        <w:tc>
          <w:tcPr>
            <w:tcW w:w="0" w:type="auto"/>
            <w:shd w:val="clear" w:color="auto" w:fill="auto"/>
          </w:tcPr>
          <w:p w14:paraId="1D02541A" w14:textId="77777777" w:rsidR="004421F6" w:rsidRDefault="004421F6">
            <w:pPr>
              <w:rPr>
                <w:rFonts w:ascii="宋体"/>
              </w:rPr>
            </w:pPr>
          </w:p>
        </w:tc>
        <w:tc>
          <w:tcPr>
            <w:tcW w:w="0" w:type="auto"/>
            <w:shd w:val="clear" w:color="auto" w:fill="auto"/>
          </w:tcPr>
          <w:p w14:paraId="1D02541B" w14:textId="77777777" w:rsidR="004421F6" w:rsidRDefault="004421F6">
            <w:pPr>
              <w:rPr>
                <w:rFonts w:ascii="宋体"/>
              </w:rPr>
            </w:pPr>
          </w:p>
        </w:tc>
        <w:tc>
          <w:tcPr>
            <w:tcW w:w="0" w:type="auto"/>
            <w:shd w:val="clear" w:color="auto" w:fill="auto"/>
          </w:tcPr>
          <w:p w14:paraId="1D02541C" w14:textId="77777777" w:rsidR="004421F6" w:rsidRDefault="004421F6">
            <w:pPr>
              <w:rPr>
                <w:rFonts w:ascii="宋体"/>
              </w:rPr>
            </w:pPr>
          </w:p>
        </w:tc>
        <w:tc>
          <w:tcPr>
            <w:tcW w:w="0" w:type="auto"/>
            <w:shd w:val="clear" w:color="auto" w:fill="auto"/>
          </w:tcPr>
          <w:p w14:paraId="1D02541D" w14:textId="77777777" w:rsidR="004421F6" w:rsidRDefault="004421F6">
            <w:pPr>
              <w:rPr>
                <w:rFonts w:ascii="宋体"/>
              </w:rPr>
            </w:pPr>
          </w:p>
        </w:tc>
        <w:tc>
          <w:tcPr>
            <w:tcW w:w="0" w:type="auto"/>
            <w:shd w:val="clear" w:color="auto" w:fill="auto"/>
          </w:tcPr>
          <w:p w14:paraId="1D02541E" w14:textId="77777777" w:rsidR="004421F6" w:rsidRDefault="004421F6">
            <w:pPr>
              <w:rPr>
                <w:rFonts w:ascii="宋体"/>
              </w:rPr>
            </w:pPr>
          </w:p>
        </w:tc>
        <w:tc>
          <w:tcPr>
            <w:tcW w:w="0" w:type="auto"/>
            <w:shd w:val="clear" w:color="auto" w:fill="auto"/>
          </w:tcPr>
          <w:p w14:paraId="1D02541F" w14:textId="77777777" w:rsidR="004421F6" w:rsidRDefault="004421F6">
            <w:pPr>
              <w:rPr>
                <w:rFonts w:ascii="宋体"/>
              </w:rPr>
            </w:pPr>
          </w:p>
        </w:tc>
        <w:tc>
          <w:tcPr>
            <w:tcW w:w="0" w:type="auto"/>
            <w:shd w:val="clear" w:color="auto" w:fill="auto"/>
          </w:tcPr>
          <w:p w14:paraId="1D025420" w14:textId="77777777" w:rsidR="004421F6" w:rsidRDefault="004421F6">
            <w:pPr>
              <w:rPr>
                <w:rFonts w:ascii="宋体"/>
              </w:rPr>
            </w:pPr>
          </w:p>
        </w:tc>
        <w:tc>
          <w:tcPr>
            <w:tcW w:w="0" w:type="auto"/>
            <w:shd w:val="clear" w:color="auto" w:fill="auto"/>
          </w:tcPr>
          <w:p w14:paraId="1D025421" w14:textId="77777777" w:rsidR="004421F6" w:rsidRDefault="004421F6">
            <w:pPr>
              <w:rPr>
                <w:rFonts w:ascii="宋体"/>
              </w:rPr>
            </w:pPr>
          </w:p>
        </w:tc>
        <w:tc>
          <w:tcPr>
            <w:tcW w:w="0" w:type="auto"/>
            <w:shd w:val="clear" w:color="auto" w:fill="auto"/>
          </w:tcPr>
          <w:p w14:paraId="1D025422" w14:textId="77777777" w:rsidR="004421F6" w:rsidRDefault="004421F6">
            <w:pPr>
              <w:rPr>
                <w:rFonts w:ascii="宋体"/>
              </w:rPr>
            </w:pPr>
          </w:p>
        </w:tc>
        <w:tc>
          <w:tcPr>
            <w:tcW w:w="0" w:type="auto"/>
            <w:shd w:val="clear" w:color="auto" w:fill="auto"/>
          </w:tcPr>
          <w:p w14:paraId="1D025423" w14:textId="77777777" w:rsidR="004421F6" w:rsidRDefault="004421F6">
            <w:pPr>
              <w:rPr>
                <w:rFonts w:ascii="宋体"/>
              </w:rPr>
            </w:pPr>
          </w:p>
        </w:tc>
        <w:tc>
          <w:tcPr>
            <w:tcW w:w="0" w:type="auto"/>
            <w:shd w:val="clear" w:color="auto" w:fill="auto"/>
          </w:tcPr>
          <w:p w14:paraId="1D025424" w14:textId="77777777" w:rsidR="004421F6" w:rsidRDefault="004421F6">
            <w:pPr>
              <w:rPr>
                <w:rFonts w:ascii="宋体"/>
              </w:rPr>
            </w:pPr>
          </w:p>
        </w:tc>
      </w:tr>
      <w:tr w:rsidR="004421F6" w14:paraId="1D025446"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426" w14:textId="77777777" w:rsidR="004421F6" w:rsidRDefault="00F15622">
            <w:pPr>
              <w:textAlignment w:val="bottom"/>
            </w:pPr>
            <w:r>
              <w:rPr>
                <w:rFonts w:ascii="Arial" w:eastAsia="宋体" w:hAnsi="Arial" w:cs="Arial"/>
                <w:color w:val="000000"/>
                <w:sz w:val="17"/>
                <w:szCs w:val="17"/>
              </w:rPr>
              <w:t>Repurchase of Class B Common Stock</w:t>
            </w:r>
          </w:p>
        </w:tc>
        <w:tc>
          <w:tcPr>
            <w:tcW w:w="0" w:type="auto"/>
            <w:gridSpan w:val="3"/>
            <w:tcBorders>
              <w:top w:val="single" w:sz="8" w:space="0" w:color="808080"/>
            </w:tcBorders>
            <w:shd w:val="clear" w:color="auto" w:fill="auto"/>
            <w:tcMar>
              <w:left w:w="20" w:type="dxa"/>
              <w:right w:w="20" w:type="dxa"/>
            </w:tcMar>
            <w:vAlign w:val="bottom"/>
          </w:tcPr>
          <w:p w14:paraId="1D025427"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28"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29"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42A" w14:textId="77777777" w:rsidR="004421F6" w:rsidRDefault="00F15622">
            <w:pPr>
              <w:jc w:val="right"/>
              <w:textAlignment w:val="bottom"/>
            </w:pPr>
            <w:r>
              <w:rPr>
                <w:rFonts w:ascii="Arial" w:eastAsia="宋体" w:hAnsi="Arial" w:cs="Arial"/>
                <w:color w:val="000000"/>
                <w:sz w:val="17"/>
                <w:szCs w:val="17"/>
              </w:rPr>
              <w:t>(12)</w:t>
            </w:r>
          </w:p>
        </w:tc>
        <w:tc>
          <w:tcPr>
            <w:tcW w:w="0" w:type="auto"/>
            <w:tcBorders>
              <w:top w:val="single" w:sz="8" w:space="0" w:color="808080"/>
            </w:tcBorders>
            <w:shd w:val="clear" w:color="auto" w:fill="auto"/>
            <w:tcMar>
              <w:top w:w="40" w:type="dxa"/>
              <w:bottom w:w="40" w:type="dxa"/>
              <w:right w:w="20" w:type="dxa"/>
            </w:tcMar>
            <w:vAlign w:val="bottom"/>
          </w:tcPr>
          <w:p w14:paraId="1D02542B"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2C"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42D" w14:textId="77777777" w:rsidR="004421F6" w:rsidRDefault="00F15622">
            <w:pPr>
              <w:jc w:val="right"/>
              <w:textAlignment w:val="bottom"/>
            </w:pPr>
            <w:r>
              <w:rPr>
                <w:rFonts w:ascii="Arial" w:eastAsia="宋体" w:hAnsi="Arial" w:cs="Arial"/>
                <w:color w:val="000000"/>
                <w:sz w:val="17"/>
                <w:szCs w:val="17"/>
              </w:rPr>
              <w:t>(55)</w:t>
            </w:r>
          </w:p>
        </w:tc>
        <w:tc>
          <w:tcPr>
            <w:tcW w:w="0" w:type="auto"/>
            <w:tcBorders>
              <w:top w:val="single" w:sz="8" w:space="0" w:color="808080"/>
            </w:tcBorders>
            <w:shd w:val="clear" w:color="auto" w:fill="auto"/>
            <w:tcMar>
              <w:top w:w="40" w:type="dxa"/>
              <w:bottom w:w="40" w:type="dxa"/>
              <w:right w:w="20" w:type="dxa"/>
            </w:tcMar>
            <w:vAlign w:val="bottom"/>
          </w:tcPr>
          <w:p w14:paraId="1D02542E"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2F"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430" w14:textId="77777777" w:rsidR="004421F6" w:rsidRDefault="00F15622">
            <w:pPr>
              <w:jc w:val="right"/>
              <w:textAlignment w:val="bottom"/>
            </w:pPr>
            <w:r>
              <w:rPr>
                <w:rFonts w:ascii="Arial" w:eastAsia="宋体" w:hAnsi="Arial" w:cs="Arial"/>
                <w:color w:val="000000"/>
                <w:sz w:val="17"/>
                <w:szCs w:val="17"/>
              </w:rPr>
              <w:t>(940)</w:t>
            </w:r>
          </w:p>
        </w:tc>
        <w:tc>
          <w:tcPr>
            <w:tcW w:w="0" w:type="auto"/>
            <w:tcBorders>
              <w:top w:val="single" w:sz="8" w:space="0" w:color="808080"/>
            </w:tcBorders>
            <w:shd w:val="clear" w:color="auto" w:fill="auto"/>
            <w:tcMar>
              <w:top w:w="40" w:type="dxa"/>
              <w:bottom w:w="40" w:type="dxa"/>
              <w:right w:w="20" w:type="dxa"/>
            </w:tcMar>
            <w:vAlign w:val="bottom"/>
          </w:tcPr>
          <w:p w14:paraId="1D02543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432" w14:textId="77777777" w:rsidR="004421F6" w:rsidRDefault="00F15622">
            <w:pPr>
              <w:jc w:val="right"/>
              <w:textAlignment w:val="bottom"/>
            </w:pPr>
            <w:r>
              <w:rPr>
                <w:rFonts w:ascii="Arial" w:eastAsia="宋体" w:hAnsi="Arial" w:cs="Arial"/>
                <w:color w:val="000000"/>
                <w:sz w:val="17"/>
                <w:szCs w:val="17"/>
              </w:rPr>
              <w:t>(995)</w:t>
            </w:r>
          </w:p>
        </w:tc>
        <w:tc>
          <w:tcPr>
            <w:tcW w:w="0" w:type="auto"/>
            <w:tcBorders>
              <w:top w:val="single" w:sz="8" w:space="0" w:color="808080"/>
            </w:tcBorders>
            <w:shd w:val="clear" w:color="auto" w:fill="auto"/>
            <w:tcMar>
              <w:top w:w="40" w:type="dxa"/>
              <w:bottom w:w="40" w:type="dxa"/>
              <w:right w:w="20" w:type="dxa"/>
            </w:tcMar>
            <w:vAlign w:val="bottom"/>
          </w:tcPr>
          <w:p w14:paraId="1D025433" w14:textId="77777777" w:rsidR="004421F6" w:rsidRDefault="004421F6">
            <w:pPr>
              <w:jc w:val="right"/>
              <w:rPr>
                <w:rFonts w:ascii="宋体"/>
              </w:rPr>
            </w:pPr>
          </w:p>
        </w:tc>
        <w:tc>
          <w:tcPr>
            <w:tcW w:w="0" w:type="auto"/>
            <w:shd w:val="clear" w:color="auto" w:fill="auto"/>
          </w:tcPr>
          <w:p w14:paraId="1D025434" w14:textId="77777777" w:rsidR="004421F6" w:rsidRDefault="004421F6">
            <w:pPr>
              <w:rPr>
                <w:rFonts w:ascii="宋体"/>
              </w:rPr>
            </w:pPr>
          </w:p>
        </w:tc>
        <w:tc>
          <w:tcPr>
            <w:tcW w:w="0" w:type="auto"/>
            <w:shd w:val="clear" w:color="auto" w:fill="auto"/>
          </w:tcPr>
          <w:p w14:paraId="1D025435" w14:textId="77777777" w:rsidR="004421F6" w:rsidRDefault="004421F6">
            <w:pPr>
              <w:rPr>
                <w:rFonts w:ascii="宋体"/>
              </w:rPr>
            </w:pPr>
          </w:p>
        </w:tc>
        <w:tc>
          <w:tcPr>
            <w:tcW w:w="0" w:type="auto"/>
            <w:shd w:val="clear" w:color="auto" w:fill="auto"/>
          </w:tcPr>
          <w:p w14:paraId="1D025436" w14:textId="77777777" w:rsidR="004421F6" w:rsidRDefault="004421F6">
            <w:pPr>
              <w:rPr>
                <w:rFonts w:ascii="宋体"/>
              </w:rPr>
            </w:pPr>
          </w:p>
        </w:tc>
        <w:tc>
          <w:tcPr>
            <w:tcW w:w="0" w:type="auto"/>
            <w:shd w:val="clear" w:color="auto" w:fill="auto"/>
          </w:tcPr>
          <w:p w14:paraId="1D025437" w14:textId="77777777" w:rsidR="004421F6" w:rsidRDefault="004421F6">
            <w:pPr>
              <w:rPr>
                <w:rFonts w:ascii="宋体"/>
              </w:rPr>
            </w:pPr>
          </w:p>
        </w:tc>
        <w:tc>
          <w:tcPr>
            <w:tcW w:w="0" w:type="auto"/>
            <w:shd w:val="clear" w:color="auto" w:fill="auto"/>
          </w:tcPr>
          <w:p w14:paraId="1D025438" w14:textId="77777777" w:rsidR="004421F6" w:rsidRDefault="004421F6">
            <w:pPr>
              <w:rPr>
                <w:rFonts w:ascii="宋体"/>
              </w:rPr>
            </w:pPr>
          </w:p>
        </w:tc>
        <w:tc>
          <w:tcPr>
            <w:tcW w:w="0" w:type="auto"/>
            <w:shd w:val="clear" w:color="auto" w:fill="auto"/>
          </w:tcPr>
          <w:p w14:paraId="1D025439" w14:textId="77777777" w:rsidR="004421F6" w:rsidRDefault="004421F6">
            <w:pPr>
              <w:rPr>
                <w:rFonts w:ascii="宋体"/>
              </w:rPr>
            </w:pPr>
          </w:p>
        </w:tc>
        <w:tc>
          <w:tcPr>
            <w:tcW w:w="0" w:type="auto"/>
            <w:shd w:val="clear" w:color="auto" w:fill="auto"/>
          </w:tcPr>
          <w:p w14:paraId="1D02543A" w14:textId="77777777" w:rsidR="004421F6" w:rsidRDefault="004421F6">
            <w:pPr>
              <w:rPr>
                <w:rFonts w:ascii="宋体"/>
              </w:rPr>
            </w:pPr>
          </w:p>
        </w:tc>
        <w:tc>
          <w:tcPr>
            <w:tcW w:w="0" w:type="auto"/>
            <w:shd w:val="clear" w:color="auto" w:fill="auto"/>
          </w:tcPr>
          <w:p w14:paraId="1D02543B" w14:textId="77777777" w:rsidR="004421F6" w:rsidRDefault="004421F6">
            <w:pPr>
              <w:rPr>
                <w:rFonts w:ascii="宋体"/>
              </w:rPr>
            </w:pPr>
          </w:p>
        </w:tc>
        <w:tc>
          <w:tcPr>
            <w:tcW w:w="0" w:type="auto"/>
            <w:shd w:val="clear" w:color="auto" w:fill="auto"/>
          </w:tcPr>
          <w:p w14:paraId="1D02543C" w14:textId="77777777" w:rsidR="004421F6" w:rsidRDefault="004421F6">
            <w:pPr>
              <w:rPr>
                <w:rFonts w:ascii="宋体"/>
              </w:rPr>
            </w:pPr>
          </w:p>
        </w:tc>
        <w:tc>
          <w:tcPr>
            <w:tcW w:w="0" w:type="auto"/>
            <w:shd w:val="clear" w:color="auto" w:fill="auto"/>
          </w:tcPr>
          <w:p w14:paraId="1D02543D" w14:textId="77777777" w:rsidR="004421F6" w:rsidRDefault="004421F6">
            <w:pPr>
              <w:rPr>
                <w:rFonts w:ascii="宋体"/>
              </w:rPr>
            </w:pPr>
          </w:p>
        </w:tc>
        <w:tc>
          <w:tcPr>
            <w:tcW w:w="0" w:type="auto"/>
            <w:shd w:val="clear" w:color="auto" w:fill="auto"/>
          </w:tcPr>
          <w:p w14:paraId="1D02543E" w14:textId="77777777" w:rsidR="004421F6" w:rsidRDefault="004421F6">
            <w:pPr>
              <w:rPr>
                <w:rFonts w:ascii="宋体"/>
              </w:rPr>
            </w:pPr>
          </w:p>
        </w:tc>
        <w:tc>
          <w:tcPr>
            <w:tcW w:w="0" w:type="auto"/>
            <w:shd w:val="clear" w:color="auto" w:fill="auto"/>
          </w:tcPr>
          <w:p w14:paraId="1D02543F" w14:textId="77777777" w:rsidR="004421F6" w:rsidRDefault="004421F6">
            <w:pPr>
              <w:rPr>
                <w:rFonts w:ascii="宋体"/>
              </w:rPr>
            </w:pPr>
          </w:p>
        </w:tc>
        <w:tc>
          <w:tcPr>
            <w:tcW w:w="0" w:type="auto"/>
            <w:shd w:val="clear" w:color="auto" w:fill="auto"/>
          </w:tcPr>
          <w:p w14:paraId="1D025440" w14:textId="77777777" w:rsidR="004421F6" w:rsidRDefault="004421F6">
            <w:pPr>
              <w:rPr>
                <w:rFonts w:ascii="宋体"/>
              </w:rPr>
            </w:pPr>
          </w:p>
        </w:tc>
        <w:tc>
          <w:tcPr>
            <w:tcW w:w="0" w:type="auto"/>
            <w:shd w:val="clear" w:color="auto" w:fill="auto"/>
          </w:tcPr>
          <w:p w14:paraId="1D025441" w14:textId="77777777" w:rsidR="004421F6" w:rsidRDefault="004421F6">
            <w:pPr>
              <w:rPr>
                <w:rFonts w:ascii="宋体"/>
              </w:rPr>
            </w:pPr>
          </w:p>
        </w:tc>
        <w:tc>
          <w:tcPr>
            <w:tcW w:w="0" w:type="auto"/>
            <w:shd w:val="clear" w:color="auto" w:fill="auto"/>
          </w:tcPr>
          <w:p w14:paraId="1D025442" w14:textId="77777777" w:rsidR="004421F6" w:rsidRDefault="004421F6">
            <w:pPr>
              <w:rPr>
                <w:rFonts w:ascii="宋体"/>
              </w:rPr>
            </w:pPr>
          </w:p>
        </w:tc>
        <w:tc>
          <w:tcPr>
            <w:tcW w:w="0" w:type="auto"/>
            <w:shd w:val="clear" w:color="auto" w:fill="auto"/>
          </w:tcPr>
          <w:p w14:paraId="1D025443" w14:textId="77777777" w:rsidR="004421F6" w:rsidRDefault="004421F6">
            <w:pPr>
              <w:rPr>
                <w:rFonts w:ascii="宋体"/>
              </w:rPr>
            </w:pPr>
          </w:p>
        </w:tc>
        <w:tc>
          <w:tcPr>
            <w:tcW w:w="0" w:type="auto"/>
            <w:shd w:val="clear" w:color="auto" w:fill="auto"/>
          </w:tcPr>
          <w:p w14:paraId="1D025444" w14:textId="77777777" w:rsidR="004421F6" w:rsidRDefault="004421F6">
            <w:pPr>
              <w:rPr>
                <w:rFonts w:ascii="宋体"/>
              </w:rPr>
            </w:pPr>
          </w:p>
        </w:tc>
        <w:tc>
          <w:tcPr>
            <w:tcW w:w="0" w:type="auto"/>
            <w:shd w:val="clear" w:color="auto" w:fill="auto"/>
          </w:tcPr>
          <w:p w14:paraId="1D025445" w14:textId="77777777" w:rsidR="004421F6" w:rsidRDefault="004421F6">
            <w:pPr>
              <w:rPr>
                <w:rFonts w:ascii="宋体"/>
              </w:rPr>
            </w:pPr>
          </w:p>
        </w:tc>
      </w:tr>
      <w:tr w:rsidR="004421F6" w14:paraId="1D025465"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447" w14:textId="77777777" w:rsidR="004421F6" w:rsidRDefault="00F15622">
            <w:pPr>
              <w:textAlignment w:val="bottom"/>
            </w:pPr>
            <w:r>
              <w:rPr>
                <w:rFonts w:ascii="Arial" w:eastAsia="宋体" w:hAnsi="Arial" w:cs="Arial"/>
                <w:color w:val="000000"/>
                <w:sz w:val="17"/>
                <w:szCs w:val="17"/>
              </w:rPr>
              <w:t>Dividends on common stock ($0.22 per share) and preferred stock ($0.10 per share)</w:t>
            </w:r>
          </w:p>
        </w:tc>
        <w:tc>
          <w:tcPr>
            <w:tcW w:w="0" w:type="auto"/>
            <w:gridSpan w:val="3"/>
            <w:tcBorders>
              <w:top w:val="single" w:sz="8" w:space="0" w:color="808080"/>
            </w:tcBorders>
            <w:shd w:val="clear" w:color="auto" w:fill="auto"/>
            <w:tcMar>
              <w:left w:w="20" w:type="dxa"/>
              <w:right w:w="20" w:type="dxa"/>
            </w:tcMar>
            <w:vAlign w:val="bottom"/>
          </w:tcPr>
          <w:p w14:paraId="1D025448"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49"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4A"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4B"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4C"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4D"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4E"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44F" w14:textId="77777777" w:rsidR="004421F6" w:rsidRDefault="00F15622">
            <w:pPr>
              <w:jc w:val="right"/>
              <w:textAlignment w:val="bottom"/>
            </w:pPr>
            <w:r>
              <w:rPr>
                <w:rFonts w:ascii="Arial" w:eastAsia="宋体" w:hAnsi="Arial" w:cs="Arial"/>
                <w:color w:val="000000"/>
                <w:sz w:val="17"/>
                <w:szCs w:val="17"/>
              </w:rPr>
              <w:t>(344)</w:t>
            </w:r>
          </w:p>
        </w:tc>
        <w:tc>
          <w:tcPr>
            <w:tcW w:w="0" w:type="auto"/>
            <w:tcBorders>
              <w:top w:val="single" w:sz="8" w:space="0" w:color="808080"/>
            </w:tcBorders>
            <w:shd w:val="clear" w:color="auto" w:fill="auto"/>
            <w:tcMar>
              <w:top w:w="40" w:type="dxa"/>
              <w:bottom w:w="40" w:type="dxa"/>
              <w:right w:w="20" w:type="dxa"/>
            </w:tcMar>
            <w:vAlign w:val="bottom"/>
          </w:tcPr>
          <w:p w14:paraId="1D025450"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451" w14:textId="77777777" w:rsidR="004421F6" w:rsidRDefault="00F15622">
            <w:pPr>
              <w:jc w:val="right"/>
              <w:textAlignment w:val="bottom"/>
            </w:pPr>
            <w:r>
              <w:rPr>
                <w:rFonts w:ascii="Arial" w:eastAsia="宋体" w:hAnsi="Arial" w:cs="Arial"/>
                <w:color w:val="000000"/>
                <w:sz w:val="17"/>
                <w:szCs w:val="17"/>
              </w:rPr>
              <w:t>(344)</w:t>
            </w:r>
          </w:p>
        </w:tc>
        <w:tc>
          <w:tcPr>
            <w:tcW w:w="0" w:type="auto"/>
            <w:tcBorders>
              <w:top w:val="single" w:sz="8" w:space="0" w:color="808080"/>
            </w:tcBorders>
            <w:shd w:val="clear" w:color="auto" w:fill="auto"/>
            <w:tcMar>
              <w:top w:w="40" w:type="dxa"/>
              <w:bottom w:w="40" w:type="dxa"/>
              <w:right w:w="20" w:type="dxa"/>
            </w:tcMar>
            <w:vAlign w:val="bottom"/>
          </w:tcPr>
          <w:p w14:paraId="1D025452" w14:textId="77777777" w:rsidR="004421F6" w:rsidRDefault="004421F6">
            <w:pPr>
              <w:jc w:val="right"/>
              <w:rPr>
                <w:rFonts w:ascii="宋体"/>
              </w:rPr>
            </w:pPr>
          </w:p>
        </w:tc>
        <w:tc>
          <w:tcPr>
            <w:tcW w:w="0" w:type="auto"/>
            <w:shd w:val="clear" w:color="auto" w:fill="auto"/>
          </w:tcPr>
          <w:p w14:paraId="1D025453" w14:textId="77777777" w:rsidR="004421F6" w:rsidRDefault="004421F6">
            <w:pPr>
              <w:rPr>
                <w:rFonts w:ascii="宋体"/>
              </w:rPr>
            </w:pPr>
          </w:p>
        </w:tc>
        <w:tc>
          <w:tcPr>
            <w:tcW w:w="0" w:type="auto"/>
            <w:shd w:val="clear" w:color="auto" w:fill="auto"/>
          </w:tcPr>
          <w:p w14:paraId="1D025454" w14:textId="77777777" w:rsidR="004421F6" w:rsidRDefault="004421F6">
            <w:pPr>
              <w:rPr>
                <w:rFonts w:ascii="宋体"/>
              </w:rPr>
            </w:pPr>
          </w:p>
        </w:tc>
        <w:tc>
          <w:tcPr>
            <w:tcW w:w="0" w:type="auto"/>
            <w:shd w:val="clear" w:color="auto" w:fill="auto"/>
          </w:tcPr>
          <w:p w14:paraId="1D025455" w14:textId="77777777" w:rsidR="004421F6" w:rsidRDefault="004421F6">
            <w:pPr>
              <w:rPr>
                <w:rFonts w:ascii="宋体"/>
              </w:rPr>
            </w:pPr>
          </w:p>
        </w:tc>
        <w:tc>
          <w:tcPr>
            <w:tcW w:w="0" w:type="auto"/>
            <w:shd w:val="clear" w:color="auto" w:fill="auto"/>
          </w:tcPr>
          <w:p w14:paraId="1D025456" w14:textId="77777777" w:rsidR="004421F6" w:rsidRDefault="004421F6">
            <w:pPr>
              <w:rPr>
                <w:rFonts w:ascii="宋体"/>
              </w:rPr>
            </w:pPr>
          </w:p>
        </w:tc>
        <w:tc>
          <w:tcPr>
            <w:tcW w:w="0" w:type="auto"/>
            <w:shd w:val="clear" w:color="auto" w:fill="auto"/>
          </w:tcPr>
          <w:p w14:paraId="1D025457" w14:textId="77777777" w:rsidR="004421F6" w:rsidRDefault="004421F6">
            <w:pPr>
              <w:rPr>
                <w:rFonts w:ascii="宋体"/>
              </w:rPr>
            </w:pPr>
          </w:p>
        </w:tc>
        <w:tc>
          <w:tcPr>
            <w:tcW w:w="0" w:type="auto"/>
            <w:shd w:val="clear" w:color="auto" w:fill="auto"/>
          </w:tcPr>
          <w:p w14:paraId="1D025458" w14:textId="77777777" w:rsidR="004421F6" w:rsidRDefault="004421F6">
            <w:pPr>
              <w:rPr>
                <w:rFonts w:ascii="宋体"/>
              </w:rPr>
            </w:pPr>
          </w:p>
        </w:tc>
        <w:tc>
          <w:tcPr>
            <w:tcW w:w="0" w:type="auto"/>
            <w:shd w:val="clear" w:color="auto" w:fill="auto"/>
          </w:tcPr>
          <w:p w14:paraId="1D025459" w14:textId="77777777" w:rsidR="004421F6" w:rsidRDefault="004421F6">
            <w:pPr>
              <w:rPr>
                <w:rFonts w:ascii="宋体"/>
              </w:rPr>
            </w:pPr>
          </w:p>
        </w:tc>
        <w:tc>
          <w:tcPr>
            <w:tcW w:w="0" w:type="auto"/>
            <w:shd w:val="clear" w:color="auto" w:fill="auto"/>
          </w:tcPr>
          <w:p w14:paraId="1D02545A" w14:textId="77777777" w:rsidR="004421F6" w:rsidRDefault="004421F6">
            <w:pPr>
              <w:rPr>
                <w:rFonts w:ascii="宋体"/>
              </w:rPr>
            </w:pPr>
          </w:p>
        </w:tc>
        <w:tc>
          <w:tcPr>
            <w:tcW w:w="0" w:type="auto"/>
            <w:shd w:val="clear" w:color="auto" w:fill="auto"/>
          </w:tcPr>
          <w:p w14:paraId="1D02545B" w14:textId="77777777" w:rsidR="004421F6" w:rsidRDefault="004421F6">
            <w:pPr>
              <w:rPr>
                <w:rFonts w:ascii="宋体"/>
              </w:rPr>
            </w:pPr>
          </w:p>
        </w:tc>
        <w:tc>
          <w:tcPr>
            <w:tcW w:w="0" w:type="auto"/>
            <w:shd w:val="clear" w:color="auto" w:fill="auto"/>
          </w:tcPr>
          <w:p w14:paraId="1D02545C" w14:textId="77777777" w:rsidR="004421F6" w:rsidRDefault="004421F6">
            <w:pPr>
              <w:rPr>
                <w:rFonts w:ascii="宋体"/>
              </w:rPr>
            </w:pPr>
          </w:p>
        </w:tc>
        <w:tc>
          <w:tcPr>
            <w:tcW w:w="0" w:type="auto"/>
            <w:shd w:val="clear" w:color="auto" w:fill="auto"/>
          </w:tcPr>
          <w:p w14:paraId="1D02545D" w14:textId="77777777" w:rsidR="004421F6" w:rsidRDefault="004421F6">
            <w:pPr>
              <w:rPr>
                <w:rFonts w:ascii="宋体"/>
              </w:rPr>
            </w:pPr>
          </w:p>
        </w:tc>
        <w:tc>
          <w:tcPr>
            <w:tcW w:w="0" w:type="auto"/>
            <w:shd w:val="clear" w:color="auto" w:fill="auto"/>
          </w:tcPr>
          <w:p w14:paraId="1D02545E" w14:textId="77777777" w:rsidR="004421F6" w:rsidRDefault="004421F6">
            <w:pPr>
              <w:rPr>
                <w:rFonts w:ascii="宋体"/>
              </w:rPr>
            </w:pPr>
          </w:p>
        </w:tc>
        <w:tc>
          <w:tcPr>
            <w:tcW w:w="0" w:type="auto"/>
            <w:shd w:val="clear" w:color="auto" w:fill="auto"/>
          </w:tcPr>
          <w:p w14:paraId="1D02545F" w14:textId="77777777" w:rsidR="004421F6" w:rsidRDefault="004421F6">
            <w:pPr>
              <w:rPr>
                <w:rFonts w:ascii="宋体"/>
              </w:rPr>
            </w:pPr>
          </w:p>
        </w:tc>
        <w:tc>
          <w:tcPr>
            <w:tcW w:w="0" w:type="auto"/>
            <w:shd w:val="clear" w:color="auto" w:fill="auto"/>
          </w:tcPr>
          <w:p w14:paraId="1D025460" w14:textId="77777777" w:rsidR="004421F6" w:rsidRDefault="004421F6">
            <w:pPr>
              <w:rPr>
                <w:rFonts w:ascii="宋体"/>
              </w:rPr>
            </w:pPr>
          </w:p>
        </w:tc>
        <w:tc>
          <w:tcPr>
            <w:tcW w:w="0" w:type="auto"/>
            <w:shd w:val="clear" w:color="auto" w:fill="auto"/>
          </w:tcPr>
          <w:p w14:paraId="1D025461" w14:textId="77777777" w:rsidR="004421F6" w:rsidRDefault="004421F6">
            <w:pPr>
              <w:rPr>
                <w:rFonts w:ascii="宋体"/>
              </w:rPr>
            </w:pPr>
          </w:p>
        </w:tc>
        <w:tc>
          <w:tcPr>
            <w:tcW w:w="0" w:type="auto"/>
            <w:shd w:val="clear" w:color="auto" w:fill="auto"/>
          </w:tcPr>
          <w:p w14:paraId="1D025462" w14:textId="77777777" w:rsidR="004421F6" w:rsidRDefault="004421F6">
            <w:pPr>
              <w:rPr>
                <w:rFonts w:ascii="宋体"/>
              </w:rPr>
            </w:pPr>
          </w:p>
        </w:tc>
        <w:tc>
          <w:tcPr>
            <w:tcW w:w="0" w:type="auto"/>
            <w:shd w:val="clear" w:color="auto" w:fill="auto"/>
          </w:tcPr>
          <w:p w14:paraId="1D025463" w14:textId="77777777" w:rsidR="004421F6" w:rsidRDefault="004421F6">
            <w:pPr>
              <w:rPr>
                <w:rFonts w:ascii="宋体"/>
              </w:rPr>
            </w:pPr>
          </w:p>
        </w:tc>
        <w:tc>
          <w:tcPr>
            <w:tcW w:w="0" w:type="auto"/>
            <w:shd w:val="clear" w:color="auto" w:fill="auto"/>
          </w:tcPr>
          <w:p w14:paraId="1D025464" w14:textId="77777777" w:rsidR="004421F6" w:rsidRDefault="004421F6">
            <w:pPr>
              <w:rPr>
                <w:rFonts w:ascii="宋体"/>
              </w:rPr>
            </w:pPr>
          </w:p>
        </w:tc>
      </w:tr>
      <w:tr w:rsidR="004421F6" w14:paraId="1D025485"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466" w14:textId="77777777" w:rsidR="004421F6" w:rsidRDefault="00F15622">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8" w:space="0" w:color="808080"/>
            </w:tcBorders>
            <w:shd w:val="clear" w:color="auto" w:fill="auto"/>
            <w:tcMar>
              <w:left w:w="20" w:type="dxa"/>
              <w:right w:w="20" w:type="dxa"/>
            </w:tcMar>
            <w:vAlign w:val="bottom"/>
          </w:tcPr>
          <w:p w14:paraId="1D025467"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68"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69"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6A"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6B"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46C" w14:textId="77777777" w:rsidR="004421F6" w:rsidRDefault="00F15622">
            <w:pPr>
              <w:jc w:val="right"/>
              <w:textAlignment w:val="bottom"/>
            </w:pPr>
            <w:r>
              <w:rPr>
                <w:rFonts w:ascii="Arial" w:eastAsia="宋体" w:hAnsi="Arial" w:cs="Arial"/>
                <w:color w:val="000000"/>
                <w:sz w:val="17"/>
                <w:szCs w:val="17"/>
              </w:rPr>
              <w:t>(8)</w:t>
            </w:r>
          </w:p>
        </w:tc>
        <w:tc>
          <w:tcPr>
            <w:tcW w:w="0" w:type="auto"/>
            <w:tcBorders>
              <w:top w:val="single" w:sz="8" w:space="0" w:color="808080"/>
            </w:tcBorders>
            <w:shd w:val="clear" w:color="auto" w:fill="auto"/>
            <w:tcMar>
              <w:top w:w="40" w:type="dxa"/>
              <w:bottom w:w="40" w:type="dxa"/>
              <w:right w:w="20" w:type="dxa"/>
            </w:tcMar>
            <w:vAlign w:val="bottom"/>
          </w:tcPr>
          <w:p w14:paraId="1D02546D"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6E"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46F" w14:textId="77777777" w:rsidR="004421F6" w:rsidRDefault="00F15622">
            <w:pPr>
              <w:jc w:val="right"/>
              <w:textAlignment w:val="bottom"/>
            </w:pPr>
            <w:r>
              <w:rPr>
                <w:rFonts w:ascii="Arial" w:eastAsia="宋体" w:hAnsi="Arial" w:cs="Arial"/>
                <w:color w:val="000000"/>
                <w:sz w:val="17"/>
                <w:szCs w:val="17"/>
              </w:rPr>
              <w:t>(4)</w:t>
            </w:r>
          </w:p>
        </w:tc>
        <w:tc>
          <w:tcPr>
            <w:tcW w:w="0" w:type="auto"/>
            <w:tcBorders>
              <w:top w:val="single" w:sz="8" w:space="0" w:color="808080"/>
            </w:tcBorders>
            <w:shd w:val="clear" w:color="auto" w:fill="auto"/>
            <w:tcMar>
              <w:top w:w="40" w:type="dxa"/>
              <w:bottom w:w="40" w:type="dxa"/>
              <w:right w:w="20" w:type="dxa"/>
            </w:tcMar>
            <w:vAlign w:val="bottom"/>
          </w:tcPr>
          <w:p w14:paraId="1D025470"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471" w14:textId="77777777" w:rsidR="004421F6" w:rsidRDefault="00F15622">
            <w:pPr>
              <w:jc w:val="right"/>
              <w:textAlignment w:val="bottom"/>
            </w:pPr>
            <w:r>
              <w:rPr>
                <w:rFonts w:ascii="Arial" w:eastAsia="宋体" w:hAnsi="Arial" w:cs="Arial"/>
                <w:color w:val="000000"/>
                <w:sz w:val="17"/>
                <w:szCs w:val="17"/>
              </w:rPr>
              <w:t>(12)</w:t>
            </w:r>
          </w:p>
        </w:tc>
        <w:tc>
          <w:tcPr>
            <w:tcW w:w="0" w:type="auto"/>
            <w:tcBorders>
              <w:top w:val="single" w:sz="8" w:space="0" w:color="808080"/>
            </w:tcBorders>
            <w:shd w:val="clear" w:color="auto" w:fill="auto"/>
            <w:tcMar>
              <w:top w:w="40" w:type="dxa"/>
              <w:bottom w:w="40" w:type="dxa"/>
              <w:right w:w="20" w:type="dxa"/>
            </w:tcMar>
            <w:vAlign w:val="bottom"/>
          </w:tcPr>
          <w:p w14:paraId="1D025472" w14:textId="77777777" w:rsidR="004421F6" w:rsidRDefault="004421F6">
            <w:pPr>
              <w:jc w:val="right"/>
              <w:rPr>
                <w:rFonts w:ascii="宋体"/>
              </w:rPr>
            </w:pPr>
          </w:p>
        </w:tc>
        <w:tc>
          <w:tcPr>
            <w:tcW w:w="0" w:type="auto"/>
            <w:shd w:val="clear" w:color="auto" w:fill="auto"/>
          </w:tcPr>
          <w:p w14:paraId="1D025473" w14:textId="77777777" w:rsidR="004421F6" w:rsidRDefault="004421F6">
            <w:pPr>
              <w:rPr>
                <w:rFonts w:ascii="宋体"/>
              </w:rPr>
            </w:pPr>
          </w:p>
        </w:tc>
        <w:tc>
          <w:tcPr>
            <w:tcW w:w="0" w:type="auto"/>
            <w:shd w:val="clear" w:color="auto" w:fill="auto"/>
          </w:tcPr>
          <w:p w14:paraId="1D025474" w14:textId="77777777" w:rsidR="004421F6" w:rsidRDefault="004421F6">
            <w:pPr>
              <w:rPr>
                <w:rFonts w:ascii="宋体"/>
              </w:rPr>
            </w:pPr>
          </w:p>
        </w:tc>
        <w:tc>
          <w:tcPr>
            <w:tcW w:w="0" w:type="auto"/>
            <w:shd w:val="clear" w:color="auto" w:fill="auto"/>
          </w:tcPr>
          <w:p w14:paraId="1D025475" w14:textId="77777777" w:rsidR="004421F6" w:rsidRDefault="004421F6">
            <w:pPr>
              <w:rPr>
                <w:rFonts w:ascii="宋体"/>
              </w:rPr>
            </w:pPr>
          </w:p>
        </w:tc>
        <w:tc>
          <w:tcPr>
            <w:tcW w:w="0" w:type="auto"/>
            <w:shd w:val="clear" w:color="auto" w:fill="auto"/>
          </w:tcPr>
          <w:p w14:paraId="1D025476" w14:textId="77777777" w:rsidR="004421F6" w:rsidRDefault="004421F6">
            <w:pPr>
              <w:rPr>
                <w:rFonts w:ascii="宋体"/>
              </w:rPr>
            </w:pPr>
          </w:p>
        </w:tc>
        <w:tc>
          <w:tcPr>
            <w:tcW w:w="0" w:type="auto"/>
            <w:shd w:val="clear" w:color="auto" w:fill="auto"/>
          </w:tcPr>
          <w:p w14:paraId="1D025477" w14:textId="77777777" w:rsidR="004421F6" w:rsidRDefault="004421F6">
            <w:pPr>
              <w:rPr>
                <w:rFonts w:ascii="宋体"/>
              </w:rPr>
            </w:pPr>
          </w:p>
        </w:tc>
        <w:tc>
          <w:tcPr>
            <w:tcW w:w="0" w:type="auto"/>
            <w:shd w:val="clear" w:color="auto" w:fill="auto"/>
          </w:tcPr>
          <w:p w14:paraId="1D025478" w14:textId="77777777" w:rsidR="004421F6" w:rsidRDefault="004421F6">
            <w:pPr>
              <w:rPr>
                <w:rFonts w:ascii="宋体"/>
              </w:rPr>
            </w:pPr>
          </w:p>
        </w:tc>
        <w:tc>
          <w:tcPr>
            <w:tcW w:w="0" w:type="auto"/>
            <w:shd w:val="clear" w:color="auto" w:fill="auto"/>
          </w:tcPr>
          <w:p w14:paraId="1D025479" w14:textId="77777777" w:rsidR="004421F6" w:rsidRDefault="004421F6">
            <w:pPr>
              <w:rPr>
                <w:rFonts w:ascii="宋体"/>
              </w:rPr>
            </w:pPr>
          </w:p>
        </w:tc>
        <w:tc>
          <w:tcPr>
            <w:tcW w:w="0" w:type="auto"/>
            <w:shd w:val="clear" w:color="auto" w:fill="auto"/>
          </w:tcPr>
          <w:p w14:paraId="1D02547A" w14:textId="77777777" w:rsidR="004421F6" w:rsidRDefault="004421F6">
            <w:pPr>
              <w:rPr>
                <w:rFonts w:ascii="宋体"/>
              </w:rPr>
            </w:pPr>
          </w:p>
        </w:tc>
        <w:tc>
          <w:tcPr>
            <w:tcW w:w="0" w:type="auto"/>
            <w:shd w:val="clear" w:color="auto" w:fill="auto"/>
          </w:tcPr>
          <w:p w14:paraId="1D02547B" w14:textId="77777777" w:rsidR="004421F6" w:rsidRDefault="004421F6">
            <w:pPr>
              <w:rPr>
                <w:rFonts w:ascii="宋体"/>
              </w:rPr>
            </w:pPr>
          </w:p>
        </w:tc>
        <w:tc>
          <w:tcPr>
            <w:tcW w:w="0" w:type="auto"/>
            <w:shd w:val="clear" w:color="auto" w:fill="auto"/>
          </w:tcPr>
          <w:p w14:paraId="1D02547C" w14:textId="77777777" w:rsidR="004421F6" w:rsidRDefault="004421F6">
            <w:pPr>
              <w:rPr>
                <w:rFonts w:ascii="宋体"/>
              </w:rPr>
            </w:pPr>
          </w:p>
        </w:tc>
        <w:tc>
          <w:tcPr>
            <w:tcW w:w="0" w:type="auto"/>
            <w:shd w:val="clear" w:color="auto" w:fill="auto"/>
          </w:tcPr>
          <w:p w14:paraId="1D02547D" w14:textId="77777777" w:rsidR="004421F6" w:rsidRDefault="004421F6">
            <w:pPr>
              <w:rPr>
                <w:rFonts w:ascii="宋体"/>
              </w:rPr>
            </w:pPr>
          </w:p>
        </w:tc>
        <w:tc>
          <w:tcPr>
            <w:tcW w:w="0" w:type="auto"/>
            <w:shd w:val="clear" w:color="auto" w:fill="auto"/>
          </w:tcPr>
          <w:p w14:paraId="1D02547E" w14:textId="77777777" w:rsidR="004421F6" w:rsidRDefault="004421F6">
            <w:pPr>
              <w:rPr>
                <w:rFonts w:ascii="宋体"/>
              </w:rPr>
            </w:pPr>
          </w:p>
        </w:tc>
        <w:tc>
          <w:tcPr>
            <w:tcW w:w="0" w:type="auto"/>
            <w:shd w:val="clear" w:color="auto" w:fill="auto"/>
          </w:tcPr>
          <w:p w14:paraId="1D02547F" w14:textId="77777777" w:rsidR="004421F6" w:rsidRDefault="004421F6">
            <w:pPr>
              <w:rPr>
                <w:rFonts w:ascii="宋体"/>
              </w:rPr>
            </w:pPr>
          </w:p>
        </w:tc>
        <w:tc>
          <w:tcPr>
            <w:tcW w:w="0" w:type="auto"/>
            <w:shd w:val="clear" w:color="auto" w:fill="auto"/>
          </w:tcPr>
          <w:p w14:paraId="1D025480" w14:textId="77777777" w:rsidR="004421F6" w:rsidRDefault="004421F6">
            <w:pPr>
              <w:rPr>
                <w:rFonts w:ascii="宋体"/>
              </w:rPr>
            </w:pPr>
          </w:p>
        </w:tc>
        <w:tc>
          <w:tcPr>
            <w:tcW w:w="0" w:type="auto"/>
            <w:shd w:val="clear" w:color="auto" w:fill="auto"/>
          </w:tcPr>
          <w:p w14:paraId="1D025481" w14:textId="77777777" w:rsidR="004421F6" w:rsidRDefault="004421F6">
            <w:pPr>
              <w:rPr>
                <w:rFonts w:ascii="宋体"/>
              </w:rPr>
            </w:pPr>
          </w:p>
        </w:tc>
        <w:tc>
          <w:tcPr>
            <w:tcW w:w="0" w:type="auto"/>
            <w:shd w:val="clear" w:color="auto" w:fill="auto"/>
          </w:tcPr>
          <w:p w14:paraId="1D025482" w14:textId="77777777" w:rsidR="004421F6" w:rsidRDefault="004421F6">
            <w:pPr>
              <w:rPr>
                <w:rFonts w:ascii="宋体"/>
              </w:rPr>
            </w:pPr>
          </w:p>
        </w:tc>
        <w:tc>
          <w:tcPr>
            <w:tcW w:w="0" w:type="auto"/>
            <w:shd w:val="clear" w:color="auto" w:fill="auto"/>
          </w:tcPr>
          <w:p w14:paraId="1D025483" w14:textId="77777777" w:rsidR="004421F6" w:rsidRDefault="004421F6">
            <w:pPr>
              <w:rPr>
                <w:rFonts w:ascii="宋体"/>
              </w:rPr>
            </w:pPr>
          </w:p>
        </w:tc>
        <w:tc>
          <w:tcPr>
            <w:tcW w:w="0" w:type="auto"/>
            <w:shd w:val="clear" w:color="auto" w:fill="auto"/>
          </w:tcPr>
          <w:p w14:paraId="1D025484" w14:textId="77777777" w:rsidR="004421F6" w:rsidRDefault="004421F6">
            <w:pPr>
              <w:rPr>
                <w:rFonts w:ascii="宋体"/>
              </w:rPr>
            </w:pPr>
          </w:p>
        </w:tc>
      </w:tr>
      <w:tr w:rsidR="004421F6" w14:paraId="1D0254A4"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486" w14:textId="77777777" w:rsidR="004421F6" w:rsidRDefault="00F15622">
            <w:pPr>
              <w:textAlignment w:val="bottom"/>
            </w:pPr>
            <w:r>
              <w:rPr>
                <w:rFonts w:ascii="Arial" w:eastAsia="宋体" w:hAnsi="Arial" w:cs="Arial"/>
                <w:color w:val="000000"/>
                <w:sz w:val="17"/>
                <w:szCs w:val="17"/>
              </w:rPr>
              <w:t>Stock-based compensation</w:t>
            </w:r>
          </w:p>
        </w:tc>
        <w:tc>
          <w:tcPr>
            <w:tcW w:w="0" w:type="auto"/>
            <w:gridSpan w:val="3"/>
            <w:tcBorders>
              <w:top w:val="single" w:sz="8" w:space="0" w:color="808080"/>
            </w:tcBorders>
            <w:shd w:val="clear" w:color="auto" w:fill="auto"/>
            <w:tcMar>
              <w:left w:w="20" w:type="dxa"/>
              <w:right w:w="20" w:type="dxa"/>
            </w:tcMar>
            <w:vAlign w:val="bottom"/>
          </w:tcPr>
          <w:p w14:paraId="1D025487"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88"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89"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8A"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8B"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48C" w14:textId="77777777" w:rsidR="004421F6" w:rsidRDefault="00F15622">
            <w:pPr>
              <w:jc w:val="right"/>
              <w:textAlignment w:val="bottom"/>
            </w:pPr>
            <w:r>
              <w:rPr>
                <w:rFonts w:ascii="Arial" w:eastAsia="宋体" w:hAnsi="Arial" w:cs="Arial"/>
                <w:color w:val="000000"/>
                <w:sz w:val="17"/>
                <w:szCs w:val="17"/>
              </w:rPr>
              <w:t>80 </w:t>
            </w:r>
          </w:p>
        </w:tc>
        <w:tc>
          <w:tcPr>
            <w:tcW w:w="0" w:type="auto"/>
            <w:tcBorders>
              <w:top w:val="single" w:sz="8" w:space="0" w:color="808080"/>
            </w:tcBorders>
            <w:shd w:val="clear" w:color="auto" w:fill="auto"/>
            <w:tcMar>
              <w:top w:w="40" w:type="dxa"/>
              <w:bottom w:w="40" w:type="dxa"/>
              <w:right w:w="20" w:type="dxa"/>
            </w:tcMar>
            <w:vAlign w:val="bottom"/>
          </w:tcPr>
          <w:p w14:paraId="1D02548D"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8E"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8F"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490" w14:textId="77777777" w:rsidR="004421F6" w:rsidRDefault="00F15622">
            <w:pPr>
              <w:jc w:val="right"/>
              <w:textAlignment w:val="bottom"/>
            </w:pPr>
            <w:r>
              <w:rPr>
                <w:rFonts w:ascii="Arial" w:eastAsia="宋体" w:hAnsi="Arial" w:cs="Arial"/>
                <w:color w:val="000000"/>
                <w:sz w:val="17"/>
                <w:szCs w:val="17"/>
              </w:rPr>
              <w:t>80 </w:t>
            </w:r>
          </w:p>
        </w:tc>
        <w:tc>
          <w:tcPr>
            <w:tcW w:w="0" w:type="auto"/>
            <w:tcBorders>
              <w:top w:val="single" w:sz="8" w:space="0" w:color="808080"/>
            </w:tcBorders>
            <w:shd w:val="clear" w:color="auto" w:fill="auto"/>
            <w:tcMar>
              <w:top w:w="40" w:type="dxa"/>
              <w:bottom w:w="40" w:type="dxa"/>
              <w:right w:w="20" w:type="dxa"/>
            </w:tcMar>
            <w:vAlign w:val="bottom"/>
          </w:tcPr>
          <w:p w14:paraId="1D025491" w14:textId="77777777" w:rsidR="004421F6" w:rsidRDefault="004421F6">
            <w:pPr>
              <w:jc w:val="right"/>
              <w:rPr>
                <w:rFonts w:ascii="宋体"/>
              </w:rPr>
            </w:pPr>
          </w:p>
        </w:tc>
        <w:tc>
          <w:tcPr>
            <w:tcW w:w="0" w:type="auto"/>
            <w:shd w:val="clear" w:color="auto" w:fill="auto"/>
          </w:tcPr>
          <w:p w14:paraId="1D025492" w14:textId="77777777" w:rsidR="004421F6" w:rsidRDefault="004421F6">
            <w:pPr>
              <w:rPr>
                <w:rFonts w:ascii="宋体"/>
              </w:rPr>
            </w:pPr>
          </w:p>
        </w:tc>
        <w:tc>
          <w:tcPr>
            <w:tcW w:w="0" w:type="auto"/>
            <w:shd w:val="clear" w:color="auto" w:fill="auto"/>
          </w:tcPr>
          <w:p w14:paraId="1D025493" w14:textId="77777777" w:rsidR="004421F6" w:rsidRDefault="004421F6">
            <w:pPr>
              <w:rPr>
                <w:rFonts w:ascii="宋体"/>
              </w:rPr>
            </w:pPr>
          </w:p>
        </w:tc>
        <w:tc>
          <w:tcPr>
            <w:tcW w:w="0" w:type="auto"/>
            <w:shd w:val="clear" w:color="auto" w:fill="auto"/>
          </w:tcPr>
          <w:p w14:paraId="1D025494" w14:textId="77777777" w:rsidR="004421F6" w:rsidRDefault="004421F6">
            <w:pPr>
              <w:rPr>
                <w:rFonts w:ascii="宋体"/>
              </w:rPr>
            </w:pPr>
          </w:p>
        </w:tc>
        <w:tc>
          <w:tcPr>
            <w:tcW w:w="0" w:type="auto"/>
            <w:shd w:val="clear" w:color="auto" w:fill="auto"/>
          </w:tcPr>
          <w:p w14:paraId="1D025495" w14:textId="77777777" w:rsidR="004421F6" w:rsidRDefault="004421F6">
            <w:pPr>
              <w:rPr>
                <w:rFonts w:ascii="宋体"/>
              </w:rPr>
            </w:pPr>
          </w:p>
        </w:tc>
        <w:tc>
          <w:tcPr>
            <w:tcW w:w="0" w:type="auto"/>
            <w:shd w:val="clear" w:color="auto" w:fill="auto"/>
          </w:tcPr>
          <w:p w14:paraId="1D025496" w14:textId="77777777" w:rsidR="004421F6" w:rsidRDefault="004421F6">
            <w:pPr>
              <w:rPr>
                <w:rFonts w:ascii="宋体"/>
              </w:rPr>
            </w:pPr>
          </w:p>
        </w:tc>
        <w:tc>
          <w:tcPr>
            <w:tcW w:w="0" w:type="auto"/>
            <w:shd w:val="clear" w:color="auto" w:fill="auto"/>
          </w:tcPr>
          <w:p w14:paraId="1D025497" w14:textId="77777777" w:rsidR="004421F6" w:rsidRDefault="004421F6">
            <w:pPr>
              <w:rPr>
                <w:rFonts w:ascii="宋体"/>
              </w:rPr>
            </w:pPr>
          </w:p>
        </w:tc>
        <w:tc>
          <w:tcPr>
            <w:tcW w:w="0" w:type="auto"/>
            <w:shd w:val="clear" w:color="auto" w:fill="auto"/>
          </w:tcPr>
          <w:p w14:paraId="1D025498" w14:textId="77777777" w:rsidR="004421F6" w:rsidRDefault="004421F6">
            <w:pPr>
              <w:rPr>
                <w:rFonts w:ascii="宋体"/>
              </w:rPr>
            </w:pPr>
          </w:p>
        </w:tc>
        <w:tc>
          <w:tcPr>
            <w:tcW w:w="0" w:type="auto"/>
            <w:shd w:val="clear" w:color="auto" w:fill="auto"/>
          </w:tcPr>
          <w:p w14:paraId="1D025499" w14:textId="77777777" w:rsidR="004421F6" w:rsidRDefault="004421F6">
            <w:pPr>
              <w:rPr>
                <w:rFonts w:ascii="宋体"/>
              </w:rPr>
            </w:pPr>
          </w:p>
        </w:tc>
        <w:tc>
          <w:tcPr>
            <w:tcW w:w="0" w:type="auto"/>
            <w:shd w:val="clear" w:color="auto" w:fill="auto"/>
          </w:tcPr>
          <w:p w14:paraId="1D02549A" w14:textId="77777777" w:rsidR="004421F6" w:rsidRDefault="004421F6">
            <w:pPr>
              <w:rPr>
                <w:rFonts w:ascii="宋体"/>
              </w:rPr>
            </w:pPr>
          </w:p>
        </w:tc>
        <w:tc>
          <w:tcPr>
            <w:tcW w:w="0" w:type="auto"/>
            <w:shd w:val="clear" w:color="auto" w:fill="auto"/>
          </w:tcPr>
          <w:p w14:paraId="1D02549B" w14:textId="77777777" w:rsidR="004421F6" w:rsidRDefault="004421F6">
            <w:pPr>
              <w:rPr>
                <w:rFonts w:ascii="宋体"/>
              </w:rPr>
            </w:pPr>
          </w:p>
        </w:tc>
        <w:tc>
          <w:tcPr>
            <w:tcW w:w="0" w:type="auto"/>
            <w:shd w:val="clear" w:color="auto" w:fill="auto"/>
          </w:tcPr>
          <w:p w14:paraId="1D02549C" w14:textId="77777777" w:rsidR="004421F6" w:rsidRDefault="004421F6">
            <w:pPr>
              <w:rPr>
                <w:rFonts w:ascii="宋体"/>
              </w:rPr>
            </w:pPr>
          </w:p>
        </w:tc>
        <w:tc>
          <w:tcPr>
            <w:tcW w:w="0" w:type="auto"/>
            <w:shd w:val="clear" w:color="auto" w:fill="auto"/>
          </w:tcPr>
          <w:p w14:paraId="1D02549D" w14:textId="77777777" w:rsidR="004421F6" w:rsidRDefault="004421F6">
            <w:pPr>
              <w:rPr>
                <w:rFonts w:ascii="宋体"/>
              </w:rPr>
            </w:pPr>
          </w:p>
        </w:tc>
        <w:tc>
          <w:tcPr>
            <w:tcW w:w="0" w:type="auto"/>
            <w:shd w:val="clear" w:color="auto" w:fill="auto"/>
          </w:tcPr>
          <w:p w14:paraId="1D02549E" w14:textId="77777777" w:rsidR="004421F6" w:rsidRDefault="004421F6">
            <w:pPr>
              <w:rPr>
                <w:rFonts w:ascii="宋体"/>
              </w:rPr>
            </w:pPr>
          </w:p>
        </w:tc>
        <w:tc>
          <w:tcPr>
            <w:tcW w:w="0" w:type="auto"/>
            <w:shd w:val="clear" w:color="auto" w:fill="auto"/>
          </w:tcPr>
          <w:p w14:paraId="1D02549F" w14:textId="77777777" w:rsidR="004421F6" w:rsidRDefault="004421F6">
            <w:pPr>
              <w:rPr>
                <w:rFonts w:ascii="宋体"/>
              </w:rPr>
            </w:pPr>
          </w:p>
        </w:tc>
        <w:tc>
          <w:tcPr>
            <w:tcW w:w="0" w:type="auto"/>
            <w:shd w:val="clear" w:color="auto" w:fill="auto"/>
          </w:tcPr>
          <w:p w14:paraId="1D0254A0" w14:textId="77777777" w:rsidR="004421F6" w:rsidRDefault="004421F6">
            <w:pPr>
              <w:rPr>
                <w:rFonts w:ascii="宋体"/>
              </w:rPr>
            </w:pPr>
          </w:p>
        </w:tc>
        <w:tc>
          <w:tcPr>
            <w:tcW w:w="0" w:type="auto"/>
            <w:shd w:val="clear" w:color="auto" w:fill="auto"/>
          </w:tcPr>
          <w:p w14:paraId="1D0254A1" w14:textId="77777777" w:rsidR="004421F6" w:rsidRDefault="004421F6">
            <w:pPr>
              <w:rPr>
                <w:rFonts w:ascii="宋体"/>
              </w:rPr>
            </w:pPr>
          </w:p>
        </w:tc>
        <w:tc>
          <w:tcPr>
            <w:tcW w:w="0" w:type="auto"/>
            <w:shd w:val="clear" w:color="auto" w:fill="auto"/>
          </w:tcPr>
          <w:p w14:paraId="1D0254A2" w14:textId="77777777" w:rsidR="004421F6" w:rsidRDefault="004421F6">
            <w:pPr>
              <w:rPr>
                <w:rFonts w:ascii="宋体"/>
              </w:rPr>
            </w:pPr>
          </w:p>
        </w:tc>
        <w:tc>
          <w:tcPr>
            <w:tcW w:w="0" w:type="auto"/>
            <w:shd w:val="clear" w:color="auto" w:fill="auto"/>
          </w:tcPr>
          <w:p w14:paraId="1D0254A3" w14:textId="77777777" w:rsidR="004421F6" w:rsidRDefault="004421F6">
            <w:pPr>
              <w:rPr>
                <w:rFonts w:ascii="宋体"/>
              </w:rPr>
            </w:pPr>
          </w:p>
        </w:tc>
      </w:tr>
      <w:tr w:rsidR="004421F6" w14:paraId="1D0254C3"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4A5" w14:textId="77777777" w:rsidR="004421F6" w:rsidRDefault="00F15622">
            <w:pPr>
              <w:textAlignment w:val="bottom"/>
            </w:pPr>
            <w:r>
              <w:rPr>
                <w:rFonts w:ascii="Arial" w:eastAsia="宋体" w:hAnsi="Arial" w:cs="Arial"/>
                <w:color w:val="000000"/>
                <w:sz w:val="17"/>
                <w:szCs w:val="17"/>
              </w:rPr>
              <w:t>Net income</w:t>
            </w:r>
          </w:p>
        </w:tc>
        <w:tc>
          <w:tcPr>
            <w:tcW w:w="0" w:type="auto"/>
            <w:gridSpan w:val="3"/>
            <w:tcBorders>
              <w:top w:val="single" w:sz="8" w:space="0" w:color="808080"/>
            </w:tcBorders>
            <w:shd w:val="clear" w:color="auto" w:fill="auto"/>
            <w:tcMar>
              <w:left w:w="20" w:type="dxa"/>
              <w:right w:w="20" w:type="dxa"/>
            </w:tcMar>
            <w:vAlign w:val="bottom"/>
          </w:tcPr>
          <w:p w14:paraId="1D0254A6"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A7"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A8"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A9"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AA"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AB"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AC"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4AD" w14:textId="77777777" w:rsidR="004421F6" w:rsidRDefault="00F15622">
            <w:pPr>
              <w:jc w:val="right"/>
              <w:textAlignment w:val="bottom"/>
            </w:pPr>
            <w:r>
              <w:rPr>
                <w:rFonts w:ascii="Arial" w:eastAsia="宋体" w:hAnsi="Arial" w:cs="Arial"/>
                <w:color w:val="000000"/>
                <w:sz w:val="17"/>
                <w:szCs w:val="17"/>
              </w:rPr>
              <w:t>1,367 </w:t>
            </w:r>
          </w:p>
        </w:tc>
        <w:tc>
          <w:tcPr>
            <w:tcW w:w="0" w:type="auto"/>
            <w:tcBorders>
              <w:top w:val="single" w:sz="8" w:space="0" w:color="808080"/>
            </w:tcBorders>
            <w:shd w:val="clear" w:color="auto" w:fill="auto"/>
            <w:tcMar>
              <w:top w:w="40" w:type="dxa"/>
              <w:bottom w:w="40" w:type="dxa"/>
              <w:right w:w="20" w:type="dxa"/>
            </w:tcMar>
            <w:vAlign w:val="bottom"/>
          </w:tcPr>
          <w:p w14:paraId="1D0254AE"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4AF" w14:textId="77777777" w:rsidR="004421F6" w:rsidRDefault="00F15622">
            <w:pPr>
              <w:jc w:val="right"/>
              <w:textAlignment w:val="bottom"/>
            </w:pPr>
            <w:r>
              <w:rPr>
                <w:rFonts w:ascii="Arial" w:eastAsia="宋体" w:hAnsi="Arial" w:cs="Arial"/>
                <w:color w:val="000000"/>
                <w:sz w:val="17"/>
                <w:szCs w:val="17"/>
              </w:rPr>
              <w:t>1,367 </w:t>
            </w:r>
          </w:p>
        </w:tc>
        <w:tc>
          <w:tcPr>
            <w:tcW w:w="0" w:type="auto"/>
            <w:tcBorders>
              <w:top w:val="single" w:sz="8" w:space="0" w:color="808080"/>
            </w:tcBorders>
            <w:shd w:val="clear" w:color="auto" w:fill="auto"/>
            <w:tcMar>
              <w:top w:w="40" w:type="dxa"/>
              <w:bottom w:w="40" w:type="dxa"/>
              <w:right w:w="20" w:type="dxa"/>
            </w:tcMar>
            <w:vAlign w:val="bottom"/>
          </w:tcPr>
          <w:p w14:paraId="1D0254B0" w14:textId="77777777" w:rsidR="004421F6" w:rsidRDefault="004421F6">
            <w:pPr>
              <w:jc w:val="right"/>
              <w:rPr>
                <w:rFonts w:ascii="宋体"/>
              </w:rPr>
            </w:pPr>
          </w:p>
        </w:tc>
        <w:tc>
          <w:tcPr>
            <w:tcW w:w="0" w:type="auto"/>
            <w:shd w:val="clear" w:color="auto" w:fill="auto"/>
          </w:tcPr>
          <w:p w14:paraId="1D0254B1" w14:textId="77777777" w:rsidR="004421F6" w:rsidRDefault="004421F6">
            <w:pPr>
              <w:rPr>
                <w:rFonts w:ascii="宋体"/>
              </w:rPr>
            </w:pPr>
          </w:p>
        </w:tc>
        <w:tc>
          <w:tcPr>
            <w:tcW w:w="0" w:type="auto"/>
            <w:shd w:val="clear" w:color="auto" w:fill="auto"/>
          </w:tcPr>
          <w:p w14:paraId="1D0254B2" w14:textId="77777777" w:rsidR="004421F6" w:rsidRDefault="004421F6">
            <w:pPr>
              <w:rPr>
                <w:rFonts w:ascii="宋体"/>
              </w:rPr>
            </w:pPr>
          </w:p>
        </w:tc>
        <w:tc>
          <w:tcPr>
            <w:tcW w:w="0" w:type="auto"/>
            <w:shd w:val="clear" w:color="auto" w:fill="auto"/>
          </w:tcPr>
          <w:p w14:paraId="1D0254B3" w14:textId="77777777" w:rsidR="004421F6" w:rsidRDefault="004421F6">
            <w:pPr>
              <w:rPr>
                <w:rFonts w:ascii="宋体"/>
              </w:rPr>
            </w:pPr>
          </w:p>
        </w:tc>
        <w:tc>
          <w:tcPr>
            <w:tcW w:w="0" w:type="auto"/>
            <w:shd w:val="clear" w:color="auto" w:fill="auto"/>
          </w:tcPr>
          <w:p w14:paraId="1D0254B4" w14:textId="77777777" w:rsidR="004421F6" w:rsidRDefault="004421F6">
            <w:pPr>
              <w:rPr>
                <w:rFonts w:ascii="宋体"/>
              </w:rPr>
            </w:pPr>
          </w:p>
        </w:tc>
        <w:tc>
          <w:tcPr>
            <w:tcW w:w="0" w:type="auto"/>
            <w:shd w:val="clear" w:color="auto" w:fill="auto"/>
          </w:tcPr>
          <w:p w14:paraId="1D0254B5" w14:textId="77777777" w:rsidR="004421F6" w:rsidRDefault="004421F6">
            <w:pPr>
              <w:rPr>
                <w:rFonts w:ascii="宋体"/>
              </w:rPr>
            </w:pPr>
          </w:p>
        </w:tc>
        <w:tc>
          <w:tcPr>
            <w:tcW w:w="0" w:type="auto"/>
            <w:shd w:val="clear" w:color="auto" w:fill="auto"/>
          </w:tcPr>
          <w:p w14:paraId="1D0254B6" w14:textId="77777777" w:rsidR="004421F6" w:rsidRDefault="004421F6">
            <w:pPr>
              <w:rPr>
                <w:rFonts w:ascii="宋体"/>
              </w:rPr>
            </w:pPr>
          </w:p>
        </w:tc>
        <w:tc>
          <w:tcPr>
            <w:tcW w:w="0" w:type="auto"/>
            <w:shd w:val="clear" w:color="auto" w:fill="auto"/>
          </w:tcPr>
          <w:p w14:paraId="1D0254B7" w14:textId="77777777" w:rsidR="004421F6" w:rsidRDefault="004421F6">
            <w:pPr>
              <w:rPr>
                <w:rFonts w:ascii="宋体"/>
              </w:rPr>
            </w:pPr>
          </w:p>
        </w:tc>
        <w:tc>
          <w:tcPr>
            <w:tcW w:w="0" w:type="auto"/>
            <w:shd w:val="clear" w:color="auto" w:fill="auto"/>
          </w:tcPr>
          <w:p w14:paraId="1D0254B8" w14:textId="77777777" w:rsidR="004421F6" w:rsidRDefault="004421F6">
            <w:pPr>
              <w:rPr>
                <w:rFonts w:ascii="宋体"/>
              </w:rPr>
            </w:pPr>
          </w:p>
        </w:tc>
        <w:tc>
          <w:tcPr>
            <w:tcW w:w="0" w:type="auto"/>
            <w:shd w:val="clear" w:color="auto" w:fill="auto"/>
          </w:tcPr>
          <w:p w14:paraId="1D0254B9" w14:textId="77777777" w:rsidR="004421F6" w:rsidRDefault="004421F6">
            <w:pPr>
              <w:rPr>
                <w:rFonts w:ascii="宋体"/>
              </w:rPr>
            </w:pPr>
          </w:p>
        </w:tc>
        <w:tc>
          <w:tcPr>
            <w:tcW w:w="0" w:type="auto"/>
            <w:shd w:val="clear" w:color="auto" w:fill="auto"/>
          </w:tcPr>
          <w:p w14:paraId="1D0254BA" w14:textId="77777777" w:rsidR="004421F6" w:rsidRDefault="004421F6">
            <w:pPr>
              <w:rPr>
                <w:rFonts w:ascii="宋体"/>
              </w:rPr>
            </w:pPr>
          </w:p>
        </w:tc>
        <w:tc>
          <w:tcPr>
            <w:tcW w:w="0" w:type="auto"/>
            <w:shd w:val="clear" w:color="auto" w:fill="auto"/>
          </w:tcPr>
          <w:p w14:paraId="1D0254BB" w14:textId="77777777" w:rsidR="004421F6" w:rsidRDefault="004421F6">
            <w:pPr>
              <w:rPr>
                <w:rFonts w:ascii="宋体"/>
              </w:rPr>
            </w:pPr>
          </w:p>
        </w:tc>
        <w:tc>
          <w:tcPr>
            <w:tcW w:w="0" w:type="auto"/>
            <w:shd w:val="clear" w:color="auto" w:fill="auto"/>
          </w:tcPr>
          <w:p w14:paraId="1D0254BC" w14:textId="77777777" w:rsidR="004421F6" w:rsidRDefault="004421F6">
            <w:pPr>
              <w:rPr>
                <w:rFonts w:ascii="宋体"/>
              </w:rPr>
            </w:pPr>
          </w:p>
        </w:tc>
        <w:tc>
          <w:tcPr>
            <w:tcW w:w="0" w:type="auto"/>
            <w:shd w:val="clear" w:color="auto" w:fill="auto"/>
          </w:tcPr>
          <w:p w14:paraId="1D0254BD" w14:textId="77777777" w:rsidR="004421F6" w:rsidRDefault="004421F6">
            <w:pPr>
              <w:rPr>
                <w:rFonts w:ascii="宋体"/>
              </w:rPr>
            </w:pPr>
          </w:p>
        </w:tc>
        <w:tc>
          <w:tcPr>
            <w:tcW w:w="0" w:type="auto"/>
            <w:shd w:val="clear" w:color="auto" w:fill="auto"/>
          </w:tcPr>
          <w:p w14:paraId="1D0254BE" w14:textId="77777777" w:rsidR="004421F6" w:rsidRDefault="004421F6">
            <w:pPr>
              <w:rPr>
                <w:rFonts w:ascii="宋体"/>
              </w:rPr>
            </w:pPr>
          </w:p>
        </w:tc>
        <w:tc>
          <w:tcPr>
            <w:tcW w:w="0" w:type="auto"/>
            <w:shd w:val="clear" w:color="auto" w:fill="auto"/>
          </w:tcPr>
          <w:p w14:paraId="1D0254BF" w14:textId="77777777" w:rsidR="004421F6" w:rsidRDefault="004421F6">
            <w:pPr>
              <w:rPr>
                <w:rFonts w:ascii="宋体"/>
              </w:rPr>
            </w:pPr>
          </w:p>
        </w:tc>
        <w:tc>
          <w:tcPr>
            <w:tcW w:w="0" w:type="auto"/>
            <w:shd w:val="clear" w:color="auto" w:fill="auto"/>
          </w:tcPr>
          <w:p w14:paraId="1D0254C0" w14:textId="77777777" w:rsidR="004421F6" w:rsidRDefault="004421F6">
            <w:pPr>
              <w:rPr>
                <w:rFonts w:ascii="宋体"/>
              </w:rPr>
            </w:pPr>
          </w:p>
        </w:tc>
        <w:tc>
          <w:tcPr>
            <w:tcW w:w="0" w:type="auto"/>
            <w:shd w:val="clear" w:color="auto" w:fill="auto"/>
          </w:tcPr>
          <w:p w14:paraId="1D0254C1" w14:textId="77777777" w:rsidR="004421F6" w:rsidRDefault="004421F6">
            <w:pPr>
              <w:rPr>
                <w:rFonts w:ascii="宋体"/>
              </w:rPr>
            </w:pPr>
          </w:p>
        </w:tc>
        <w:tc>
          <w:tcPr>
            <w:tcW w:w="0" w:type="auto"/>
            <w:shd w:val="clear" w:color="auto" w:fill="auto"/>
          </w:tcPr>
          <w:p w14:paraId="1D0254C2" w14:textId="77777777" w:rsidR="004421F6" w:rsidRDefault="004421F6">
            <w:pPr>
              <w:rPr>
                <w:rFonts w:ascii="宋体"/>
              </w:rPr>
            </w:pPr>
          </w:p>
        </w:tc>
      </w:tr>
      <w:tr w:rsidR="004421F6" w14:paraId="1D0254E2"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4C4" w14:textId="77777777" w:rsidR="004421F6" w:rsidRDefault="00F15622">
            <w:pPr>
              <w:textAlignment w:val="bottom"/>
            </w:pPr>
            <w:r>
              <w:rPr>
                <w:rFonts w:ascii="Arial" w:eastAsia="宋体" w:hAnsi="Arial" w:cs="Arial"/>
                <w:color w:val="000000"/>
                <w:sz w:val="17"/>
                <w:szCs w:val="17"/>
              </w:rPr>
              <w:t>Other comprehensive income (loss)</w:t>
            </w:r>
          </w:p>
        </w:tc>
        <w:tc>
          <w:tcPr>
            <w:tcW w:w="0" w:type="auto"/>
            <w:gridSpan w:val="3"/>
            <w:tcBorders>
              <w:top w:val="single" w:sz="8" w:space="0" w:color="808080"/>
            </w:tcBorders>
            <w:shd w:val="clear" w:color="auto" w:fill="auto"/>
            <w:tcMar>
              <w:left w:w="20" w:type="dxa"/>
              <w:right w:w="20" w:type="dxa"/>
            </w:tcMar>
            <w:vAlign w:val="bottom"/>
          </w:tcPr>
          <w:p w14:paraId="1D0254C5"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C6"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C7"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C8"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C9"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C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4CB" w14:textId="77777777" w:rsidR="004421F6" w:rsidRDefault="00F15622">
            <w:pPr>
              <w:jc w:val="right"/>
              <w:textAlignment w:val="bottom"/>
            </w:pPr>
            <w:r>
              <w:rPr>
                <w:rFonts w:ascii="Arial" w:eastAsia="宋体" w:hAnsi="Arial" w:cs="Arial"/>
                <w:color w:val="000000"/>
                <w:sz w:val="17"/>
                <w:szCs w:val="17"/>
              </w:rPr>
              <w:t>(51)</w:t>
            </w:r>
          </w:p>
        </w:tc>
        <w:tc>
          <w:tcPr>
            <w:tcW w:w="0" w:type="auto"/>
            <w:tcBorders>
              <w:top w:val="single" w:sz="8" w:space="0" w:color="808080"/>
            </w:tcBorders>
            <w:shd w:val="clear" w:color="auto" w:fill="auto"/>
            <w:tcMar>
              <w:top w:w="40" w:type="dxa"/>
              <w:bottom w:w="40" w:type="dxa"/>
              <w:right w:w="20" w:type="dxa"/>
            </w:tcMar>
            <w:vAlign w:val="bottom"/>
          </w:tcPr>
          <w:p w14:paraId="1D0254CC"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CD"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4CE" w14:textId="77777777" w:rsidR="004421F6" w:rsidRDefault="00F15622">
            <w:pPr>
              <w:jc w:val="right"/>
              <w:textAlignment w:val="bottom"/>
            </w:pPr>
            <w:r>
              <w:rPr>
                <w:rFonts w:ascii="Arial" w:eastAsia="宋体" w:hAnsi="Arial" w:cs="Arial"/>
                <w:color w:val="000000"/>
                <w:sz w:val="17"/>
                <w:szCs w:val="17"/>
              </w:rPr>
              <w:t>(51)</w:t>
            </w:r>
          </w:p>
        </w:tc>
        <w:tc>
          <w:tcPr>
            <w:tcW w:w="0" w:type="auto"/>
            <w:tcBorders>
              <w:top w:val="single" w:sz="8" w:space="0" w:color="808080"/>
            </w:tcBorders>
            <w:shd w:val="clear" w:color="auto" w:fill="auto"/>
            <w:tcMar>
              <w:top w:w="40" w:type="dxa"/>
              <w:bottom w:w="40" w:type="dxa"/>
              <w:right w:w="20" w:type="dxa"/>
            </w:tcMar>
            <w:vAlign w:val="bottom"/>
          </w:tcPr>
          <w:p w14:paraId="1D0254CF" w14:textId="77777777" w:rsidR="004421F6" w:rsidRDefault="004421F6">
            <w:pPr>
              <w:jc w:val="right"/>
              <w:rPr>
                <w:rFonts w:ascii="宋体"/>
              </w:rPr>
            </w:pPr>
          </w:p>
        </w:tc>
        <w:tc>
          <w:tcPr>
            <w:tcW w:w="0" w:type="auto"/>
            <w:shd w:val="clear" w:color="auto" w:fill="auto"/>
          </w:tcPr>
          <w:p w14:paraId="1D0254D0" w14:textId="77777777" w:rsidR="004421F6" w:rsidRDefault="004421F6">
            <w:pPr>
              <w:rPr>
                <w:rFonts w:ascii="宋体"/>
              </w:rPr>
            </w:pPr>
          </w:p>
        </w:tc>
        <w:tc>
          <w:tcPr>
            <w:tcW w:w="0" w:type="auto"/>
            <w:shd w:val="clear" w:color="auto" w:fill="auto"/>
          </w:tcPr>
          <w:p w14:paraId="1D0254D1" w14:textId="77777777" w:rsidR="004421F6" w:rsidRDefault="004421F6">
            <w:pPr>
              <w:rPr>
                <w:rFonts w:ascii="宋体"/>
              </w:rPr>
            </w:pPr>
          </w:p>
        </w:tc>
        <w:tc>
          <w:tcPr>
            <w:tcW w:w="0" w:type="auto"/>
            <w:shd w:val="clear" w:color="auto" w:fill="auto"/>
          </w:tcPr>
          <w:p w14:paraId="1D0254D2" w14:textId="77777777" w:rsidR="004421F6" w:rsidRDefault="004421F6">
            <w:pPr>
              <w:rPr>
                <w:rFonts w:ascii="宋体"/>
              </w:rPr>
            </w:pPr>
          </w:p>
        </w:tc>
        <w:tc>
          <w:tcPr>
            <w:tcW w:w="0" w:type="auto"/>
            <w:shd w:val="clear" w:color="auto" w:fill="auto"/>
          </w:tcPr>
          <w:p w14:paraId="1D0254D3" w14:textId="77777777" w:rsidR="004421F6" w:rsidRDefault="004421F6">
            <w:pPr>
              <w:rPr>
                <w:rFonts w:ascii="宋体"/>
              </w:rPr>
            </w:pPr>
          </w:p>
        </w:tc>
        <w:tc>
          <w:tcPr>
            <w:tcW w:w="0" w:type="auto"/>
            <w:shd w:val="clear" w:color="auto" w:fill="auto"/>
          </w:tcPr>
          <w:p w14:paraId="1D0254D4" w14:textId="77777777" w:rsidR="004421F6" w:rsidRDefault="004421F6">
            <w:pPr>
              <w:rPr>
                <w:rFonts w:ascii="宋体"/>
              </w:rPr>
            </w:pPr>
          </w:p>
        </w:tc>
        <w:tc>
          <w:tcPr>
            <w:tcW w:w="0" w:type="auto"/>
            <w:shd w:val="clear" w:color="auto" w:fill="auto"/>
          </w:tcPr>
          <w:p w14:paraId="1D0254D5" w14:textId="77777777" w:rsidR="004421F6" w:rsidRDefault="004421F6">
            <w:pPr>
              <w:rPr>
                <w:rFonts w:ascii="宋体"/>
              </w:rPr>
            </w:pPr>
          </w:p>
        </w:tc>
        <w:tc>
          <w:tcPr>
            <w:tcW w:w="0" w:type="auto"/>
            <w:shd w:val="clear" w:color="auto" w:fill="auto"/>
          </w:tcPr>
          <w:p w14:paraId="1D0254D6" w14:textId="77777777" w:rsidR="004421F6" w:rsidRDefault="004421F6">
            <w:pPr>
              <w:rPr>
                <w:rFonts w:ascii="宋体"/>
              </w:rPr>
            </w:pPr>
          </w:p>
        </w:tc>
        <w:tc>
          <w:tcPr>
            <w:tcW w:w="0" w:type="auto"/>
            <w:shd w:val="clear" w:color="auto" w:fill="auto"/>
          </w:tcPr>
          <w:p w14:paraId="1D0254D7" w14:textId="77777777" w:rsidR="004421F6" w:rsidRDefault="004421F6">
            <w:pPr>
              <w:rPr>
                <w:rFonts w:ascii="宋体"/>
              </w:rPr>
            </w:pPr>
          </w:p>
        </w:tc>
        <w:tc>
          <w:tcPr>
            <w:tcW w:w="0" w:type="auto"/>
            <w:shd w:val="clear" w:color="auto" w:fill="auto"/>
          </w:tcPr>
          <w:p w14:paraId="1D0254D8" w14:textId="77777777" w:rsidR="004421F6" w:rsidRDefault="004421F6">
            <w:pPr>
              <w:rPr>
                <w:rFonts w:ascii="宋体"/>
              </w:rPr>
            </w:pPr>
          </w:p>
        </w:tc>
        <w:tc>
          <w:tcPr>
            <w:tcW w:w="0" w:type="auto"/>
            <w:shd w:val="clear" w:color="auto" w:fill="auto"/>
          </w:tcPr>
          <w:p w14:paraId="1D0254D9" w14:textId="77777777" w:rsidR="004421F6" w:rsidRDefault="004421F6">
            <w:pPr>
              <w:rPr>
                <w:rFonts w:ascii="宋体"/>
              </w:rPr>
            </w:pPr>
          </w:p>
        </w:tc>
        <w:tc>
          <w:tcPr>
            <w:tcW w:w="0" w:type="auto"/>
            <w:shd w:val="clear" w:color="auto" w:fill="auto"/>
          </w:tcPr>
          <w:p w14:paraId="1D0254DA" w14:textId="77777777" w:rsidR="004421F6" w:rsidRDefault="004421F6">
            <w:pPr>
              <w:rPr>
                <w:rFonts w:ascii="宋体"/>
              </w:rPr>
            </w:pPr>
          </w:p>
        </w:tc>
        <w:tc>
          <w:tcPr>
            <w:tcW w:w="0" w:type="auto"/>
            <w:shd w:val="clear" w:color="auto" w:fill="auto"/>
          </w:tcPr>
          <w:p w14:paraId="1D0254DB" w14:textId="77777777" w:rsidR="004421F6" w:rsidRDefault="004421F6">
            <w:pPr>
              <w:rPr>
                <w:rFonts w:ascii="宋体"/>
              </w:rPr>
            </w:pPr>
          </w:p>
        </w:tc>
        <w:tc>
          <w:tcPr>
            <w:tcW w:w="0" w:type="auto"/>
            <w:shd w:val="clear" w:color="auto" w:fill="auto"/>
          </w:tcPr>
          <w:p w14:paraId="1D0254DC" w14:textId="77777777" w:rsidR="004421F6" w:rsidRDefault="004421F6">
            <w:pPr>
              <w:rPr>
                <w:rFonts w:ascii="宋体"/>
              </w:rPr>
            </w:pPr>
          </w:p>
        </w:tc>
        <w:tc>
          <w:tcPr>
            <w:tcW w:w="0" w:type="auto"/>
            <w:shd w:val="clear" w:color="auto" w:fill="auto"/>
          </w:tcPr>
          <w:p w14:paraId="1D0254DD" w14:textId="77777777" w:rsidR="004421F6" w:rsidRDefault="004421F6">
            <w:pPr>
              <w:rPr>
                <w:rFonts w:ascii="宋体"/>
              </w:rPr>
            </w:pPr>
          </w:p>
        </w:tc>
        <w:tc>
          <w:tcPr>
            <w:tcW w:w="0" w:type="auto"/>
            <w:shd w:val="clear" w:color="auto" w:fill="auto"/>
          </w:tcPr>
          <w:p w14:paraId="1D0254DE" w14:textId="77777777" w:rsidR="004421F6" w:rsidRDefault="004421F6">
            <w:pPr>
              <w:rPr>
                <w:rFonts w:ascii="宋体"/>
              </w:rPr>
            </w:pPr>
          </w:p>
        </w:tc>
        <w:tc>
          <w:tcPr>
            <w:tcW w:w="0" w:type="auto"/>
            <w:shd w:val="clear" w:color="auto" w:fill="auto"/>
          </w:tcPr>
          <w:p w14:paraId="1D0254DF" w14:textId="77777777" w:rsidR="004421F6" w:rsidRDefault="004421F6">
            <w:pPr>
              <w:rPr>
                <w:rFonts w:ascii="宋体"/>
              </w:rPr>
            </w:pPr>
          </w:p>
        </w:tc>
        <w:tc>
          <w:tcPr>
            <w:tcW w:w="0" w:type="auto"/>
            <w:shd w:val="clear" w:color="auto" w:fill="auto"/>
          </w:tcPr>
          <w:p w14:paraId="1D0254E0" w14:textId="77777777" w:rsidR="004421F6" w:rsidRDefault="004421F6">
            <w:pPr>
              <w:rPr>
                <w:rFonts w:ascii="宋体"/>
              </w:rPr>
            </w:pPr>
          </w:p>
        </w:tc>
        <w:tc>
          <w:tcPr>
            <w:tcW w:w="0" w:type="auto"/>
            <w:shd w:val="clear" w:color="auto" w:fill="auto"/>
          </w:tcPr>
          <w:p w14:paraId="1D0254E1" w14:textId="77777777" w:rsidR="004421F6" w:rsidRDefault="004421F6">
            <w:pPr>
              <w:rPr>
                <w:rFonts w:ascii="宋体"/>
              </w:rPr>
            </w:pPr>
          </w:p>
        </w:tc>
      </w:tr>
      <w:tr w:rsidR="004421F6" w14:paraId="1D025501"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4E3" w14:textId="77777777" w:rsidR="004421F6" w:rsidRDefault="00F15622">
            <w:pPr>
              <w:textAlignment w:val="bottom"/>
            </w:pPr>
            <w:r>
              <w:rPr>
                <w:rFonts w:ascii="Arial" w:eastAsia="宋体" w:hAnsi="Arial" w:cs="Arial"/>
                <w:color w:val="000000"/>
                <w:sz w:val="17"/>
                <w:szCs w:val="17"/>
              </w:rPr>
              <w:t>Adoption of ASC Topic 842</w:t>
            </w:r>
          </w:p>
        </w:tc>
        <w:tc>
          <w:tcPr>
            <w:tcW w:w="0" w:type="auto"/>
            <w:gridSpan w:val="3"/>
            <w:tcBorders>
              <w:top w:val="single" w:sz="8" w:space="0" w:color="808080"/>
            </w:tcBorders>
            <w:shd w:val="clear" w:color="auto" w:fill="auto"/>
            <w:tcMar>
              <w:left w:w="20" w:type="dxa"/>
              <w:right w:w="20" w:type="dxa"/>
            </w:tcMar>
            <w:vAlign w:val="bottom"/>
          </w:tcPr>
          <w:p w14:paraId="1D0254E4"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E5"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E6"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E7"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E8"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E9"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4EA"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4EB" w14:textId="77777777" w:rsidR="004421F6" w:rsidRDefault="00F15622">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auto"/>
            <w:tcMar>
              <w:top w:w="40" w:type="dxa"/>
              <w:bottom w:w="40" w:type="dxa"/>
              <w:right w:w="20" w:type="dxa"/>
            </w:tcMar>
            <w:vAlign w:val="bottom"/>
          </w:tcPr>
          <w:p w14:paraId="1D0254EC"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4ED" w14:textId="77777777" w:rsidR="004421F6" w:rsidRDefault="00F15622">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auto"/>
            <w:tcMar>
              <w:top w:w="40" w:type="dxa"/>
              <w:bottom w:w="40" w:type="dxa"/>
              <w:right w:w="20" w:type="dxa"/>
            </w:tcMar>
            <w:vAlign w:val="bottom"/>
          </w:tcPr>
          <w:p w14:paraId="1D0254EE" w14:textId="77777777" w:rsidR="004421F6" w:rsidRDefault="004421F6">
            <w:pPr>
              <w:jc w:val="right"/>
              <w:rPr>
                <w:rFonts w:ascii="宋体"/>
              </w:rPr>
            </w:pPr>
          </w:p>
        </w:tc>
        <w:tc>
          <w:tcPr>
            <w:tcW w:w="0" w:type="auto"/>
            <w:shd w:val="clear" w:color="auto" w:fill="auto"/>
          </w:tcPr>
          <w:p w14:paraId="1D0254EF" w14:textId="77777777" w:rsidR="004421F6" w:rsidRDefault="004421F6">
            <w:pPr>
              <w:rPr>
                <w:rFonts w:ascii="宋体"/>
              </w:rPr>
            </w:pPr>
          </w:p>
        </w:tc>
        <w:tc>
          <w:tcPr>
            <w:tcW w:w="0" w:type="auto"/>
            <w:shd w:val="clear" w:color="auto" w:fill="auto"/>
          </w:tcPr>
          <w:p w14:paraId="1D0254F0" w14:textId="77777777" w:rsidR="004421F6" w:rsidRDefault="004421F6">
            <w:pPr>
              <w:rPr>
                <w:rFonts w:ascii="宋体"/>
              </w:rPr>
            </w:pPr>
          </w:p>
        </w:tc>
        <w:tc>
          <w:tcPr>
            <w:tcW w:w="0" w:type="auto"/>
            <w:shd w:val="clear" w:color="auto" w:fill="auto"/>
          </w:tcPr>
          <w:p w14:paraId="1D0254F1" w14:textId="77777777" w:rsidR="004421F6" w:rsidRDefault="004421F6">
            <w:pPr>
              <w:rPr>
                <w:rFonts w:ascii="宋体"/>
              </w:rPr>
            </w:pPr>
          </w:p>
        </w:tc>
        <w:tc>
          <w:tcPr>
            <w:tcW w:w="0" w:type="auto"/>
            <w:shd w:val="clear" w:color="auto" w:fill="auto"/>
          </w:tcPr>
          <w:p w14:paraId="1D0254F2" w14:textId="77777777" w:rsidR="004421F6" w:rsidRDefault="004421F6">
            <w:pPr>
              <w:rPr>
                <w:rFonts w:ascii="宋体"/>
              </w:rPr>
            </w:pPr>
          </w:p>
        </w:tc>
        <w:tc>
          <w:tcPr>
            <w:tcW w:w="0" w:type="auto"/>
            <w:shd w:val="clear" w:color="auto" w:fill="auto"/>
          </w:tcPr>
          <w:p w14:paraId="1D0254F3" w14:textId="77777777" w:rsidR="004421F6" w:rsidRDefault="004421F6">
            <w:pPr>
              <w:rPr>
                <w:rFonts w:ascii="宋体"/>
              </w:rPr>
            </w:pPr>
          </w:p>
        </w:tc>
        <w:tc>
          <w:tcPr>
            <w:tcW w:w="0" w:type="auto"/>
            <w:shd w:val="clear" w:color="auto" w:fill="auto"/>
          </w:tcPr>
          <w:p w14:paraId="1D0254F4" w14:textId="77777777" w:rsidR="004421F6" w:rsidRDefault="004421F6">
            <w:pPr>
              <w:rPr>
                <w:rFonts w:ascii="宋体"/>
              </w:rPr>
            </w:pPr>
          </w:p>
        </w:tc>
        <w:tc>
          <w:tcPr>
            <w:tcW w:w="0" w:type="auto"/>
            <w:shd w:val="clear" w:color="auto" w:fill="auto"/>
          </w:tcPr>
          <w:p w14:paraId="1D0254F5" w14:textId="77777777" w:rsidR="004421F6" w:rsidRDefault="004421F6">
            <w:pPr>
              <w:rPr>
                <w:rFonts w:ascii="宋体"/>
              </w:rPr>
            </w:pPr>
          </w:p>
        </w:tc>
        <w:tc>
          <w:tcPr>
            <w:tcW w:w="0" w:type="auto"/>
            <w:shd w:val="clear" w:color="auto" w:fill="auto"/>
          </w:tcPr>
          <w:p w14:paraId="1D0254F6" w14:textId="77777777" w:rsidR="004421F6" w:rsidRDefault="004421F6">
            <w:pPr>
              <w:rPr>
                <w:rFonts w:ascii="宋体"/>
              </w:rPr>
            </w:pPr>
          </w:p>
        </w:tc>
        <w:tc>
          <w:tcPr>
            <w:tcW w:w="0" w:type="auto"/>
            <w:shd w:val="clear" w:color="auto" w:fill="auto"/>
          </w:tcPr>
          <w:p w14:paraId="1D0254F7" w14:textId="77777777" w:rsidR="004421F6" w:rsidRDefault="004421F6">
            <w:pPr>
              <w:rPr>
                <w:rFonts w:ascii="宋体"/>
              </w:rPr>
            </w:pPr>
          </w:p>
        </w:tc>
        <w:tc>
          <w:tcPr>
            <w:tcW w:w="0" w:type="auto"/>
            <w:shd w:val="clear" w:color="auto" w:fill="auto"/>
          </w:tcPr>
          <w:p w14:paraId="1D0254F8" w14:textId="77777777" w:rsidR="004421F6" w:rsidRDefault="004421F6">
            <w:pPr>
              <w:rPr>
                <w:rFonts w:ascii="宋体"/>
              </w:rPr>
            </w:pPr>
          </w:p>
        </w:tc>
        <w:tc>
          <w:tcPr>
            <w:tcW w:w="0" w:type="auto"/>
            <w:shd w:val="clear" w:color="auto" w:fill="auto"/>
          </w:tcPr>
          <w:p w14:paraId="1D0254F9" w14:textId="77777777" w:rsidR="004421F6" w:rsidRDefault="004421F6">
            <w:pPr>
              <w:rPr>
                <w:rFonts w:ascii="宋体"/>
              </w:rPr>
            </w:pPr>
          </w:p>
        </w:tc>
        <w:tc>
          <w:tcPr>
            <w:tcW w:w="0" w:type="auto"/>
            <w:shd w:val="clear" w:color="auto" w:fill="auto"/>
          </w:tcPr>
          <w:p w14:paraId="1D0254FA" w14:textId="77777777" w:rsidR="004421F6" w:rsidRDefault="004421F6">
            <w:pPr>
              <w:rPr>
                <w:rFonts w:ascii="宋体"/>
              </w:rPr>
            </w:pPr>
          </w:p>
        </w:tc>
        <w:tc>
          <w:tcPr>
            <w:tcW w:w="0" w:type="auto"/>
            <w:shd w:val="clear" w:color="auto" w:fill="auto"/>
          </w:tcPr>
          <w:p w14:paraId="1D0254FB" w14:textId="77777777" w:rsidR="004421F6" w:rsidRDefault="004421F6">
            <w:pPr>
              <w:rPr>
                <w:rFonts w:ascii="宋体"/>
              </w:rPr>
            </w:pPr>
          </w:p>
        </w:tc>
        <w:tc>
          <w:tcPr>
            <w:tcW w:w="0" w:type="auto"/>
            <w:shd w:val="clear" w:color="auto" w:fill="auto"/>
          </w:tcPr>
          <w:p w14:paraId="1D0254FC" w14:textId="77777777" w:rsidR="004421F6" w:rsidRDefault="004421F6">
            <w:pPr>
              <w:rPr>
                <w:rFonts w:ascii="宋体"/>
              </w:rPr>
            </w:pPr>
          </w:p>
        </w:tc>
        <w:tc>
          <w:tcPr>
            <w:tcW w:w="0" w:type="auto"/>
            <w:shd w:val="clear" w:color="auto" w:fill="auto"/>
          </w:tcPr>
          <w:p w14:paraId="1D0254FD" w14:textId="77777777" w:rsidR="004421F6" w:rsidRDefault="004421F6">
            <w:pPr>
              <w:rPr>
                <w:rFonts w:ascii="宋体"/>
              </w:rPr>
            </w:pPr>
          </w:p>
        </w:tc>
        <w:tc>
          <w:tcPr>
            <w:tcW w:w="0" w:type="auto"/>
            <w:shd w:val="clear" w:color="auto" w:fill="auto"/>
          </w:tcPr>
          <w:p w14:paraId="1D0254FE" w14:textId="77777777" w:rsidR="004421F6" w:rsidRDefault="004421F6">
            <w:pPr>
              <w:rPr>
                <w:rFonts w:ascii="宋体"/>
              </w:rPr>
            </w:pPr>
          </w:p>
        </w:tc>
        <w:tc>
          <w:tcPr>
            <w:tcW w:w="0" w:type="auto"/>
            <w:shd w:val="clear" w:color="auto" w:fill="auto"/>
          </w:tcPr>
          <w:p w14:paraId="1D0254FF" w14:textId="77777777" w:rsidR="004421F6" w:rsidRDefault="004421F6">
            <w:pPr>
              <w:rPr>
                <w:rFonts w:ascii="宋体"/>
              </w:rPr>
            </w:pPr>
          </w:p>
        </w:tc>
        <w:tc>
          <w:tcPr>
            <w:tcW w:w="0" w:type="auto"/>
            <w:shd w:val="clear" w:color="auto" w:fill="auto"/>
          </w:tcPr>
          <w:p w14:paraId="1D025500" w14:textId="77777777" w:rsidR="004421F6" w:rsidRDefault="004421F6">
            <w:pPr>
              <w:rPr>
                <w:rFonts w:ascii="宋体"/>
              </w:rPr>
            </w:pPr>
          </w:p>
        </w:tc>
      </w:tr>
      <w:tr w:rsidR="004421F6" w14:paraId="1D02552C"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502" w14:textId="77777777" w:rsidR="004421F6" w:rsidRDefault="00F15622">
            <w:pPr>
              <w:textAlignment w:val="bottom"/>
            </w:pPr>
            <w:r>
              <w:rPr>
                <w:rFonts w:ascii="Arial" w:eastAsia="宋体" w:hAnsi="Arial" w:cs="Arial"/>
                <w:b/>
                <w:bCs/>
                <w:color w:val="000000"/>
                <w:sz w:val="17"/>
                <w:szCs w:val="17"/>
              </w:rPr>
              <w:t>Balance at August 31, 2019</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D025503" w14:textId="77777777" w:rsidR="004421F6" w:rsidRDefault="00F15622">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504"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505"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506" w14:textId="77777777" w:rsidR="004421F6" w:rsidRDefault="00F15622">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507" w14:textId="77777777" w:rsidR="004421F6" w:rsidRDefault="004421F6">
            <w:pPr>
              <w:jc w:val="right"/>
              <w:rPr>
                <w:rFonts w:ascii="宋体"/>
              </w:rPr>
            </w:pPr>
          </w:p>
        </w:tc>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5508" w14:textId="77777777" w:rsidR="004421F6" w:rsidRDefault="004421F6">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D025509" w14:textId="77777777" w:rsidR="004421F6" w:rsidRDefault="00F15622">
            <w:pPr>
              <w:jc w:val="right"/>
              <w:textAlignment w:val="bottom"/>
            </w:pPr>
            <w:r>
              <w:rPr>
                <w:rFonts w:ascii="Arial" w:eastAsia="宋体" w:hAnsi="Arial" w:cs="Arial"/>
                <w:b/>
                <w:bCs/>
                <w:color w:val="000000"/>
                <w:sz w:val="17"/>
                <w:szCs w:val="17"/>
              </w:rPr>
              <w:t>1,245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50A"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50B"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50C" w14:textId="77777777" w:rsidR="004421F6" w:rsidRDefault="00F1562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50D"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50E"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50F" w14:textId="77777777" w:rsidR="004421F6" w:rsidRDefault="00F15622">
            <w:pPr>
              <w:jc w:val="right"/>
              <w:textAlignment w:val="bottom"/>
            </w:pPr>
            <w:r>
              <w:rPr>
                <w:rFonts w:ascii="Arial" w:eastAsia="宋体" w:hAnsi="Arial" w:cs="Arial"/>
                <w:b/>
                <w:bCs/>
                <w:color w:val="000000"/>
                <w:sz w:val="17"/>
                <w:szCs w:val="17"/>
              </w:rPr>
              <w:t>7,296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510"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511"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512" w14:textId="77777777" w:rsidR="004421F6" w:rsidRDefault="00F15622">
            <w:pPr>
              <w:jc w:val="right"/>
              <w:textAlignment w:val="bottom"/>
            </w:pPr>
            <w:r>
              <w:rPr>
                <w:rFonts w:ascii="Arial" w:eastAsia="宋体" w:hAnsi="Arial" w:cs="Arial"/>
                <w:b/>
                <w:bCs/>
                <w:color w:val="000000"/>
                <w:sz w:val="17"/>
                <w:szCs w:val="17"/>
              </w:rPr>
              <w:t>180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513"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514"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515" w14:textId="77777777" w:rsidR="004421F6" w:rsidRDefault="00F15622">
            <w:pPr>
              <w:jc w:val="right"/>
              <w:textAlignment w:val="bottom"/>
            </w:pPr>
            <w:r>
              <w:rPr>
                <w:rFonts w:ascii="Arial" w:eastAsia="宋体" w:hAnsi="Arial" w:cs="Arial"/>
                <w:b/>
                <w:bCs/>
                <w:color w:val="000000"/>
                <w:sz w:val="17"/>
                <w:szCs w:val="17"/>
              </w:rPr>
              <w:t>1,721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516"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517"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518" w14:textId="77777777" w:rsidR="004421F6" w:rsidRDefault="00F15622">
            <w:pPr>
              <w:jc w:val="right"/>
              <w:textAlignment w:val="bottom"/>
            </w:pPr>
            <w:r>
              <w:rPr>
                <w:rFonts w:ascii="Arial" w:eastAsia="宋体" w:hAnsi="Arial" w:cs="Arial"/>
                <w:b/>
                <w:bCs/>
                <w:color w:val="000000"/>
                <w:sz w:val="17"/>
                <w:szCs w:val="17"/>
              </w:rPr>
              <w:t>9,200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519" w14:textId="77777777" w:rsidR="004421F6" w:rsidRDefault="004421F6">
            <w:pPr>
              <w:jc w:val="right"/>
              <w:rPr>
                <w:rFonts w:ascii="宋体"/>
              </w:rPr>
            </w:pPr>
          </w:p>
        </w:tc>
        <w:tc>
          <w:tcPr>
            <w:tcW w:w="0" w:type="auto"/>
            <w:shd w:val="clear" w:color="auto" w:fill="auto"/>
          </w:tcPr>
          <w:p w14:paraId="1D02551A" w14:textId="77777777" w:rsidR="004421F6" w:rsidRDefault="004421F6">
            <w:pPr>
              <w:rPr>
                <w:rFonts w:ascii="宋体"/>
              </w:rPr>
            </w:pPr>
          </w:p>
        </w:tc>
        <w:tc>
          <w:tcPr>
            <w:tcW w:w="0" w:type="auto"/>
            <w:shd w:val="clear" w:color="auto" w:fill="auto"/>
          </w:tcPr>
          <w:p w14:paraId="1D02551B" w14:textId="77777777" w:rsidR="004421F6" w:rsidRDefault="004421F6">
            <w:pPr>
              <w:rPr>
                <w:rFonts w:ascii="宋体"/>
              </w:rPr>
            </w:pPr>
          </w:p>
        </w:tc>
        <w:tc>
          <w:tcPr>
            <w:tcW w:w="0" w:type="auto"/>
            <w:shd w:val="clear" w:color="auto" w:fill="auto"/>
          </w:tcPr>
          <w:p w14:paraId="1D02551C" w14:textId="77777777" w:rsidR="004421F6" w:rsidRDefault="004421F6">
            <w:pPr>
              <w:rPr>
                <w:rFonts w:ascii="宋体"/>
              </w:rPr>
            </w:pPr>
          </w:p>
        </w:tc>
        <w:tc>
          <w:tcPr>
            <w:tcW w:w="0" w:type="auto"/>
            <w:shd w:val="clear" w:color="auto" w:fill="auto"/>
          </w:tcPr>
          <w:p w14:paraId="1D02551D" w14:textId="77777777" w:rsidR="004421F6" w:rsidRDefault="004421F6">
            <w:pPr>
              <w:rPr>
                <w:rFonts w:ascii="宋体"/>
              </w:rPr>
            </w:pPr>
          </w:p>
        </w:tc>
        <w:tc>
          <w:tcPr>
            <w:tcW w:w="0" w:type="auto"/>
            <w:shd w:val="clear" w:color="auto" w:fill="auto"/>
          </w:tcPr>
          <w:p w14:paraId="1D02551E" w14:textId="77777777" w:rsidR="004421F6" w:rsidRDefault="004421F6">
            <w:pPr>
              <w:rPr>
                <w:rFonts w:ascii="宋体"/>
              </w:rPr>
            </w:pPr>
          </w:p>
        </w:tc>
        <w:tc>
          <w:tcPr>
            <w:tcW w:w="0" w:type="auto"/>
            <w:shd w:val="clear" w:color="auto" w:fill="auto"/>
          </w:tcPr>
          <w:p w14:paraId="1D02551F" w14:textId="77777777" w:rsidR="004421F6" w:rsidRDefault="004421F6">
            <w:pPr>
              <w:rPr>
                <w:rFonts w:ascii="宋体"/>
              </w:rPr>
            </w:pPr>
          </w:p>
        </w:tc>
        <w:tc>
          <w:tcPr>
            <w:tcW w:w="0" w:type="auto"/>
            <w:shd w:val="clear" w:color="auto" w:fill="auto"/>
          </w:tcPr>
          <w:p w14:paraId="1D025520" w14:textId="77777777" w:rsidR="004421F6" w:rsidRDefault="004421F6">
            <w:pPr>
              <w:rPr>
                <w:rFonts w:ascii="宋体"/>
              </w:rPr>
            </w:pPr>
          </w:p>
        </w:tc>
        <w:tc>
          <w:tcPr>
            <w:tcW w:w="0" w:type="auto"/>
            <w:shd w:val="clear" w:color="auto" w:fill="auto"/>
          </w:tcPr>
          <w:p w14:paraId="1D025521" w14:textId="77777777" w:rsidR="004421F6" w:rsidRDefault="004421F6">
            <w:pPr>
              <w:rPr>
                <w:rFonts w:ascii="宋体"/>
              </w:rPr>
            </w:pPr>
          </w:p>
        </w:tc>
        <w:tc>
          <w:tcPr>
            <w:tcW w:w="0" w:type="auto"/>
            <w:shd w:val="clear" w:color="auto" w:fill="auto"/>
          </w:tcPr>
          <w:p w14:paraId="1D025522" w14:textId="77777777" w:rsidR="004421F6" w:rsidRDefault="004421F6">
            <w:pPr>
              <w:rPr>
                <w:rFonts w:ascii="宋体"/>
              </w:rPr>
            </w:pPr>
          </w:p>
        </w:tc>
        <w:tc>
          <w:tcPr>
            <w:tcW w:w="0" w:type="auto"/>
            <w:shd w:val="clear" w:color="auto" w:fill="auto"/>
          </w:tcPr>
          <w:p w14:paraId="1D025523" w14:textId="77777777" w:rsidR="004421F6" w:rsidRDefault="004421F6">
            <w:pPr>
              <w:rPr>
                <w:rFonts w:ascii="宋体"/>
              </w:rPr>
            </w:pPr>
          </w:p>
        </w:tc>
        <w:tc>
          <w:tcPr>
            <w:tcW w:w="0" w:type="auto"/>
            <w:shd w:val="clear" w:color="auto" w:fill="auto"/>
          </w:tcPr>
          <w:p w14:paraId="1D025524" w14:textId="77777777" w:rsidR="004421F6" w:rsidRDefault="004421F6">
            <w:pPr>
              <w:rPr>
                <w:rFonts w:ascii="宋体"/>
              </w:rPr>
            </w:pPr>
          </w:p>
        </w:tc>
        <w:tc>
          <w:tcPr>
            <w:tcW w:w="0" w:type="auto"/>
            <w:shd w:val="clear" w:color="auto" w:fill="auto"/>
          </w:tcPr>
          <w:p w14:paraId="1D025525" w14:textId="77777777" w:rsidR="004421F6" w:rsidRDefault="004421F6">
            <w:pPr>
              <w:rPr>
                <w:rFonts w:ascii="宋体"/>
              </w:rPr>
            </w:pPr>
          </w:p>
        </w:tc>
        <w:tc>
          <w:tcPr>
            <w:tcW w:w="0" w:type="auto"/>
            <w:shd w:val="clear" w:color="auto" w:fill="auto"/>
          </w:tcPr>
          <w:p w14:paraId="1D025526" w14:textId="77777777" w:rsidR="004421F6" w:rsidRDefault="004421F6">
            <w:pPr>
              <w:rPr>
                <w:rFonts w:ascii="宋体"/>
              </w:rPr>
            </w:pPr>
          </w:p>
        </w:tc>
        <w:tc>
          <w:tcPr>
            <w:tcW w:w="0" w:type="auto"/>
            <w:shd w:val="clear" w:color="auto" w:fill="auto"/>
          </w:tcPr>
          <w:p w14:paraId="1D025527" w14:textId="77777777" w:rsidR="004421F6" w:rsidRDefault="004421F6">
            <w:pPr>
              <w:rPr>
                <w:rFonts w:ascii="宋体"/>
              </w:rPr>
            </w:pPr>
          </w:p>
        </w:tc>
        <w:tc>
          <w:tcPr>
            <w:tcW w:w="0" w:type="auto"/>
            <w:shd w:val="clear" w:color="auto" w:fill="auto"/>
          </w:tcPr>
          <w:p w14:paraId="1D025528" w14:textId="77777777" w:rsidR="004421F6" w:rsidRDefault="004421F6">
            <w:pPr>
              <w:rPr>
                <w:rFonts w:ascii="宋体"/>
              </w:rPr>
            </w:pPr>
          </w:p>
        </w:tc>
        <w:tc>
          <w:tcPr>
            <w:tcW w:w="0" w:type="auto"/>
            <w:shd w:val="clear" w:color="auto" w:fill="auto"/>
          </w:tcPr>
          <w:p w14:paraId="1D025529" w14:textId="77777777" w:rsidR="004421F6" w:rsidRDefault="004421F6">
            <w:pPr>
              <w:rPr>
                <w:rFonts w:ascii="宋体"/>
              </w:rPr>
            </w:pPr>
          </w:p>
        </w:tc>
        <w:tc>
          <w:tcPr>
            <w:tcW w:w="0" w:type="auto"/>
            <w:shd w:val="clear" w:color="auto" w:fill="auto"/>
          </w:tcPr>
          <w:p w14:paraId="1D02552A" w14:textId="77777777" w:rsidR="004421F6" w:rsidRDefault="004421F6">
            <w:pPr>
              <w:rPr>
                <w:rFonts w:ascii="宋体"/>
              </w:rPr>
            </w:pPr>
          </w:p>
        </w:tc>
        <w:tc>
          <w:tcPr>
            <w:tcW w:w="0" w:type="auto"/>
            <w:shd w:val="clear" w:color="auto" w:fill="auto"/>
          </w:tcPr>
          <w:p w14:paraId="1D02552B" w14:textId="77777777" w:rsidR="004421F6" w:rsidRDefault="004421F6">
            <w:pPr>
              <w:rPr>
                <w:rFonts w:ascii="宋体"/>
              </w:rPr>
            </w:pPr>
          </w:p>
        </w:tc>
      </w:tr>
    </w:tbl>
    <w:p w14:paraId="1D02552D" w14:textId="77777777" w:rsidR="004421F6" w:rsidRDefault="00F15622">
      <w:pPr>
        <w:spacing w:before="11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1D02552E" w14:textId="77777777" w:rsidR="004421F6" w:rsidRDefault="00F15622">
      <w:pPr>
        <w:spacing w:before="120" w:after="120"/>
        <w:jc w:val="right"/>
      </w:pPr>
      <w:r>
        <w:rPr>
          <w:rFonts w:ascii="Arial" w:eastAsia="宋体" w:hAnsi="Arial" w:cs="Arial"/>
          <w:color w:val="E87722"/>
          <w:sz w:val="17"/>
          <w:szCs w:val="17"/>
        </w:rPr>
        <w:t>5</w:t>
      </w:r>
    </w:p>
    <w:p w14:paraId="1D02552F" w14:textId="77777777" w:rsidR="004421F6" w:rsidRDefault="00F15622">
      <w:r>
        <w:pict w14:anchorId="1D027280">
          <v:rect id="_x0000_i1031" style="width:415.3pt;height:1.5pt" o:hralign="center" o:hrstd="t" o:hr="t" fillcolor="#a0a0a0" stroked="f"/>
        </w:pict>
      </w:r>
    </w:p>
    <w:p w14:paraId="1D025530" w14:textId="77777777" w:rsidR="004421F6" w:rsidRDefault="004421F6"/>
    <w:p w14:paraId="1D025531" w14:textId="77777777" w:rsidR="004421F6" w:rsidRDefault="00F15622">
      <w:hyperlink r:id="rId48" w:anchor="i3e524f2e23844e81ba9d33a05ac3917c_7" w:history="1">
        <w:r>
          <w:rPr>
            <w:rStyle w:val="a5"/>
            <w:rFonts w:ascii="sans-serif" w:eastAsia="sans-serif" w:hAnsi="sans-serif" w:cs="sans-serif"/>
            <w:sz w:val="17"/>
            <w:szCs w:val="17"/>
          </w:rPr>
          <w:t>Table of Contents</w:t>
        </w:r>
      </w:hyperlink>
    </w:p>
    <w:p w14:paraId="1D025532" w14:textId="77777777" w:rsidR="004421F6" w:rsidRDefault="004421F6"/>
    <w:p w14:paraId="1D025533" w14:textId="77777777" w:rsidR="004421F6" w:rsidRDefault="00F15622">
      <w:pPr>
        <w:spacing w:before="360" w:after="180"/>
      </w:pPr>
      <w:r>
        <w:rPr>
          <w:rFonts w:ascii="sans-serif" w:eastAsia="sans-serif" w:hAnsi="sans-serif" w:cs="sans-serif"/>
          <w:color w:val="000000"/>
          <w:sz w:val="44"/>
          <w:szCs w:val="44"/>
        </w:rPr>
        <w:t>NOTES TO THE UNAUDITED CONDENSED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768"/>
        <w:gridCol w:w="36"/>
        <w:gridCol w:w="69"/>
        <w:gridCol w:w="6895"/>
        <w:gridCol w:w="37"/>
        <w:gridCol w:w="69"/>
        <w:gridCol w:w="357"/>
        <w:gridCol w:w="36"/>
      </w:tblGrid>
      <w:tr w:rsidR="004421F6" w14:paraId="1D02553D" w14:textId="77777777">
        <w:tc>
          <w:tcPr>
            <w:tcW w:w="50" w:type="pct"/>
            <w:shd w:val="clear" w:color="auto" w:fill="auto"/>
          </w:tcPr>
          <w:p w14:paraId="1D025534" w14:textId="77777777" w:rsidR="004421F6" w:rsidRDefault="004421F6">
            <w:pPr>
              <w:rPr>
                <w:rFonts w:ascii="宋体"/>
              </w:rPr>
            </w:pPr>
          </w:p>
        </w:tc>
        <w:tc>
          <w:tcPr>
            <w:tcW w:w="469" w:type="pct"/>
            <w:shd w:val="clear" w:color="auto" w:fill="auto"/>
          </w:tcPr>
          <w:p w14:paraId="1D025535" w14:textId="77777777" w:rsidR="004421F6" w:rsidRDefault="004421F6">
            <w:pPr>
              <w:rPr>
                <w:rFonts w:ascii="宋体"/>
              </w:rPr>
            </w:pPr>
          </w:p>
        </w:tc>
        <w:tc>
          <w:tcPr>
            <w:tcW w:w="5" w:type="pct"/>
            <w:shd w:val="clear" w:color="auto" w:fill="auto"/>
          </w:tcPr>
          <w:p w14:paraId="1D025536" w14:textId="77777777" w:rsidR="004421F6" w:rsidRDefault="004421F6">
            <w:pPr>
              <w:rPr>
                <w:rFonts w:ascii="宋体"/>
              </w:rPr>
            </w:pPr>
          </w:p>
        </w:tc>
        <w:tc>
          <w:tcPr>
            <w:tcW w:w="50" w:type="pct"/>
            <w:shd w:val="clear" w:color="auto" w:fill="auto"/>
          </w:tcPr>
          <w:p w14:paraId="1D025537" w14:textId="77777777" w:rsidR="004421F6" w:rsidRDefault="004421F6">
            <w:pPr>
              <w:rPr>
                <w:rFonts w:ascii="宋体"/>
              </w:rPr>
            </w:pPr>
          </w:p>
        </w:tc>
        <w:tc>
          <w:tcPr>
            <w:tcW w:w="4142" w:type="pct"/>
            <w:shd w:val="clear" w:color="auto" w:fill="auto"/>
          </w:tcPr>
          <w:p w14:paraId="1D025538" w14:textId="77777777" w:rsidR="004421F6" w:rsidRDefault="004421F6">
            <w:pPr>
              <w:rPr>
                <w:rFonts w:ascii="宋体"/>
              </w:rPr>
            </w:pPr>
          </w:p>
        </w:tc>
        <w:tc>
          <w:tcPr>
            <w:tcW w:w="5" w:type="pct"/>
            <w:shd w:val="clear" w:color="auto" w:fill="auto"/>
          </w:tcPr>
          <w:p w14:paraId="1D025539" w14:textId="77777777" w:rsidR="004421F6" w:rsidRDefault="004421F6">
            <w:pPr>
              <w:rPr>
                <w:rFonts w:ascii="宋体"/>
              </w:rPr>
            </w:pPr>
          </w:p>
        </w:tc>
        <w:tc>
          <w:tcPr>
            <w:tcW w:w="50" w:type="pct"/>
            <w:shd w:val="clear" w:color="auto" w:fill="auto"/>
          </w:tcPr>
          <w:p w14:paraId="1D02553A" w14:textId="77777777" w:rsidR="004421F6" w:rsidRDefault="004421F6">
            <w:pPr>
              <w:rPr>
                <w:rFonts w:ascii="宋体"/>
              </w:rPr>
            </w:pPr>
          </w:p>
        </w:tc>
        <w:tc>
          <w:tcPr>
            <w:tcW w:w="222" w:type="pct"/>
            <w:shd w:val="clear" w:color="auto" w:fill="auto"/>
          </w:tcPr>
          <w:p w14:paraId="1D02553B" w14:textId="77777777" w:rsidR="004421F6" w:rsidRDefault="004421F6">
            <w:pPr>
              <w:rPr>
                <w:rFonts w:ascii="宋体"/>
              </w:rPr>
            </w:pPr>
          </w:p>
        </w:tc>
        <w:tc>
          <w:tcPr>
            <w:tcW w:w="5" w:type="pct"/>
            <w:shd w:val="clear" w:color="auto" w:fill="auto"/>
          </w:tcPr>
          <w:p w14:paraId="1D02553C" w14:textId="77777777" w:rsidR="004421F6" w:rsidRDefault="004421F6">
            <w:pPr>
              <w:rPr>
                <w:rFonts w:ascii="宋体"/>
              </w:rPr>
            </w:pPr>
          </w:p>
        </w:tc>
      </w:tr>
      <w:tr w:rsidR="004421F6" w14:paraId="1D02554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53E" w14:textId="77777777" w:rsidR="004421F6" w:rsidRDefault="00F15622">
            <w:pPr>
              <w:textAlignment w:val="bottom"/>
            </w:pPr>
            <w:r>
              <w:rPr>
                <w:rFonts w:ascii="sans-serif" w:eastAsia="sans-serif" w:hAnsi="sans-serif" w:cs="sans-serif"/>
                <w:b/>
                <w:bCs/>
                <w:color w:val="000000"/>
                <w:sz w:val="18"/>
                <w:szCs w:val="18"/>
              </w:rPr>
              <w:t>Note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53F" w14:textId="77777777" w:rsidR="004421F6" w:rsidRDefault="00F15622">
            <w:pPr>
              <w:textAlignment w:val="bottom"/>
            </w:pPr>
            <w:hyperlink r:id="rId49" w:anchor="i3e524f2e23844e81ba9d33a05ac3917c_40" w:history="1">
              <w:r>
                <w:rPr>
                  <w:rStyle w:val="a5"/>
                  <w:rFonts w:ascii="sans-serif" w:eastAsia="sans-serif" w:hAnsi="sans-serif" w:cs="sans-serif"/>
                  <w:color w:val="000000"/>
                  <w:sz w:val="16"/>
                  <w:szCs w:val="16"/>
                  <w:u w:val="none"/>
                </w:rPr>
                <w:t>Summary of Significant Accounting Policies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540" w14:textId="77777777" w:rsidR="004421F6" w:rsidRDefault="00F15622">
            <w:pPr>
              <w:textAlignment w:val="bottom"/>
            </w:pPr>
            <w:hyperlink r:id="rId50" w:anchor="i3e524f2e23844e81ba9d33a05ac3917c_40" w:history="1">
              <w:r>
                <w:rPr>
                  <w:rStyle w:val="a5"/>
                  <w:rFonts w:ascii="sans-serif" w:eastAsia="sans-serif" w:hAnsi="sans-serif" w:cs="sans-serif"/>
                  <w:color w:val="000000"/>
                  <w:sz w:val="16"/>
                  <w:szCs w:val="16"/>
                  <w:u w:val="none"/>
                </w:rPr>
                <w:t>7</w:t>
              </w:r>
            </w:hyperlink>
          </w:p>
        </w:tc>
      </w:tr>
      <w:tr w:rsidR="004421F6" w14:paraId="1D02554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42" w14:textId="77777777" w:rsidR="004421F6" w:rsidRDefault="00F15622">
            <w:pPr>
              <w:textAlignment w:val="bottom"/>
            </w:pPr>
            <w:r>
              <w:rPr>
                <w:rFonts w:ascii="sans-serif" w:eastAsia="sans-serif" w:hAnsi="sans-serif" w:cs="sans-serif"/>
                <w:b/>
                <w:bCs/>
                <w:color w:val="000000"/>
                <w:sz w:val="18"/>
                <w:szCs w:val="18"/>
              </w:rPr>
              <w:t>Note 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43" w14:textId="77777777" w:rsidR="004421F6" w:rsidRDefault="00F15622">
            <w:pPr>
              <w:textAlignment w:val="bottom"/>
            </w:pPr>
            <w:hyperlink r:id="rId51" w:anchor="i3e524f2e23844e81ba9d33a05ac3917c_46" w:history="1">
              <w:r>
                <w:rPr>
                  <w:rStyle w:val="a5"/>
                  <w:rFonts w:ascii="sans-serif" w:eastAsia="sans-serif" w:hAnsi="sans-serif" w:cs="sans-serif"/>
                  <w:color w:val="000000"/>
                  <w:sz w:val="16"/>
                  <w:szCs w:val="16"/>
                  <w:u w:val="none"/>
                </w:rPr>
                <w:t>Inv</w:t>
              </w:r>
              <w:r>
                <w:rPr>
                  <w:rStyle w:val="a5"/>
                  <w:rFonts w:ascii="sans-serif" w:eastAsia="sans-serif" w:hAnsi="sans-serif" w:cs="sans-serif"/>
                  <w:color w:val="000000"/>
                  <w:sz w:val="16"/>
                  <w:szCs w:val="16"/>
                  <w:u w:val="none"/>
                </w:rPr>
                <w:t>entories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44" w14:textId="77777777" w:rsidR="004421F6" w:rsidRDefault="00F15622">
            <w:pPr>
              <w:textAlignment w:val="bottom"/>
            </w:pPr>
            <w:hyperlink r:id="rId52" w:anchor="i3e524f2e23844e81ba9d33a05ac3917c_46" w:history="1">
              <w:r>
                <w:rPr>
                  <w:rStyle w:val="a5"/>
                  <w:rFonts w:ascii="sans-serif" w:eastAsia="sans-serif" w:hAnsi="sans-serif" w:cs="sans-serif"/>
                  <w:color w:val="000000"/>
                  <w:sz w:val="16"/>
                  <w:szCs w:val="16"/>
                  <w:u w:val="none"/>
                </w:rPr>
                <w:t>7</w:t>
              </w:r>
            </w:hyperlink>
          </w:p>
        </w:tc>
      </w:tr>
      <w:tr w:rsidR="004421F6" w14:paraId="1D02554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46" w14:textId="77777777" w:rsidR="004421F6" w:rsidRDefault="00F15622">
            <w:pPr>
              <w:textAlignment w:val="bottom"/>
            </w:pPr>
            <w:r>
              <w:rPr>
                <w:rFonts w:ascii="sans-serif" w:eastAsia="sans-serif" w:hAnsi="sans-serif" w:cs="sans-serif"/>
                <w:b/>
                <w:bCs/>
                <w:color w:val="000000"/>
                <w:sz w:val="18"/>
                <w:szCs w:val="18"/>
              </w:rPr>
              <w:t>Note 3</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47" w14:textId="77777777" w:rsidR="004421F6" w:rsidRDefault="00F15622">
            <w:pPr>
              <w:textAlignment w:val="bottom"/>
            </w:pPr>
            <w:hyperlink r:id="rId53" w:anchor="i3e524f2e23844e81ba9d33a05ac3917c_49" w:history="1">
              <w:r>
                <w:rPr>
                  <w:rStyle w:val="a5"/>
                  <w:rFonts w:ascii="sans-serif" w:eastAsia="sans-serif" w:hAnsi="sans-serif" w:cs="sans-serif"/>
                  <w:color w:val="000000"/>
                  <w:sz w:val="16"/>
                  <w:szCs w:val="16"/>
                  <w:u w:val="none"/>
                </w:rPr>
                <w:t>Accrued Liabilities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48" w14:textId="77777777" w:rsidR="004421F6" w:rsidRDefault="00F15622">
            <w:pPr>
              <w:textAlignment w:val="bottom"/>
            </w:pPr>
            <w:hyperlink r:id="rId54" w:anchor="i3e524f2e23844e81ba9d33a05ac3917c_49" w:history="1">
              <w:r>
                <w:rPr>
                  <w:rStyle w:val="a5"/>
                  <w:rFonts w:ascii="sans-serif" w:eastAsia="sans-serif" w:hAnsi="sans-serif" w:cs="sans-serif"/>
                  <w:color w:val="000000"/>
                  <w:sz w:val="16"/>
                  <w:szCs w:val="16"/>
                  <w:u w:val="none"/>
                </w:rPr>
                <w:t>7</w:t>
              </w:r>
            </w:hyperlink>
          </w:p>
        </w:tc>
      </w:tr>
      <w:tr w:rsidR="004421F6" w14:paraId="1D02554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4A" w14:textId="77777777" w:rsidR="004421F6" w:rsidRDefault="00F15622">
            <w:pPr>
              <w:textAlignment w:val="bottom"/>
            </w:pPr>
            <w:r>
              <w:rPr>
                <w:rFonts w:ascii="sans-serif" w:eastAsia="sans-serif" w:hAnsi="sans-serif" w:cs="sans-serif"/>
                <w:b/>
                <w:bCs/>
                <w:color w:val="000000"/>
                <w:sz w:val="18"/>
                <w:szCs w:val="18"/>
              </w:rPr>
              <w:t>Note 4</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4B" w14:textId="77777777" w:rsidR="004421F6" w:rsidRDefault="00F15622">
            <w:pPr>
              <w:textAlignment w:val="bottom"/>
            </w:pPr>
            <w:hyperlink r:id="rId55" w:anchor="i3e524f2e23844e81ba9d33a05ac3917c_52" w:history="1">
              <w:r>
                <w:rPr>
                  <w:rStyle w:val="a5"/>
                  <w:rFonts w:ascii="sans-serif" w:eastAsia="sans-serif" w:hAnsi="sans-serif" w:cs="sans-serif"/>
                  <w:color w:val="000000"/>
                  <w:sz w:val="16"/>
                  <w:szCs w:val="16"/>
                  <w:u w:val="none"/>
                </w:rPr>
                <w:t>Fair Value Measurements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4C" w14:textId="77777777" w:rsidR="004421F6" w:rsidRDefault="00F15622">
            <w:pPr>
              <w:textAlignment w:val="bottom"/>
            </w:pPr>
            <w:hyperlink r:id="rId56" w:anchor="i3e524f2e23844e81ba9d33a05ac3917c_52" w:history="1">
              <w:r>
                <w:rPr>
                  <w:rStyle w:val="a5"/>
                  <w:rFonts w:ascii="sans-serif" w:eastAsia="sans-serif" w:hAnsi="sans-serif" w:cs="sans-serif"/>
                  <w:color w:val="000000"/>
                  <w:sz w:val="16"/>
                  <w:szCs w:val="16"/>
                  <w:u w:val="none"/>
                </w:rPr>
                <w:t>7</w:t>
              </w:r>
            </w:hyperlink>
          </w:p>
        </w:tc>
      </w:tr>
      <w:tr w:rsidR="004421F6" w14:paraId="1D025551"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4E" w14:textId="77777777" w:rsidR="004421F6" w:rsidRDefault="00F15622">
            <w:pPr>
              <w:textAlignment w:val="bottom"/>
            </w:pPr>
            <w:r>
              <w:rPr>
                <w:rFonts w:ascii="sans-serif" w:eastAsia="sans-serif" w:hAnsi="sans-serif" w:cs="sans-serif"/>
                <w:b/>
                <w:bCs/>
                <w:color w:val="000000"/>
                <w:sz w:val="18"/>
                <w:szCs w:val="18"/>
              </w:rPr>
              <w:t>Note 5</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4F" w14:textId="77777777" w:rsidR="004421F6" w:rsidRDefault="00F15622">
            <w:pPr>
              <w:textAlignment w:val="bottom"/>
            </w:pPr>
            <w:hyperlink r:id="rId57" w:anchor="i3e524f2e23844e81ba9d33a05ac3917c_58" w:history="1">
              <w:r>
                <w:rPr>
                  <w:rStyle w:val="a5"/>
                  <w:rFonts w:ascii="sans-serif" w:eastAsia="sans-serif" w:hAnsi="sans-serif" w:cs="sans-serif"/>
                  <w:color w:val="000000"/>
                  <w:sz w:val="16"/>
                  <w:szCs w:val="16"/>
                  <w:u w:val="none"/>
                </w:rPr>
                <w:t xml:space="preserve">Short-Term Borrowings </w:t>
              </w:r>
              <w:r>
                <w:rPr>
                  <w:rStyle w:val="a5"/>
                  <w:rFonts w:ascii="sans-serif" w:eastAsia="sans-serif" w:hAnsi="sans-serif" w:cs="sans-serif"/>
                  <w:color w:val="000000"/>
                  <w:sz w:val="16"/>
                  <w:szCs w:val="16"/>
                  <w:u w:val="none"/>
                </w:rPr>
                <w:t>and Credit Lines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50" w14:textId="77777777" w:rsidR="004421F6" w:rsidRDefault="00F15622">
            <w:pPr>
              <w:textAlignment w:val="bottom"/>
            </w:pPr>
            <w:hyperlink r:id="rId58" w:anchor="i3e524f2e23844e81ba9d33a05ac3917c_58" w:history="1">
              <w:r>
                <w:rPr>
                  <w:rStyle w:val="a5"/>
                  <w:rFonts w:ascii="sans-serif" w:eastAsia="sans-serif" w:hAnsi="sans-serif" w:cs="sans-serif"/>
                  <w:color w:val="000000"/>
                  <w:sz w:val="16"/>
                  <w:szCs w:val="16"/>
                  <w:u w:val="none"/>
                </w:rPr>
                <w:t>9</w:t>
              </w:r>
            </w:hyperlink>
          </w:p>
        </w:tc>
      </w:tr>
      <w:tr w:rsidR="004421F6" w14:paraId="1D02555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52" w14:textId="77777777" w:rsidR="004421F6" w:rsidRDefault="00F15622">
            <w:pPr>
              <w:textAlignment w:val="bottom"/>
            </w:pPr>
            <w:r>
              <w:rPr>
                <w:rFonts w:ascii="sans-serif" w:eastAsia="sans-serif" w:hAnsi="sans-serif" w:cs="sans-serif"/>
                <w:b/>
                <w:bCs/>
                <w:color w:val="000000"/>
                <w:sz w:val="18"/>
                <w:szCs w:val="18"/>
              </w:rPr>
              <w:t>Note 6</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53" w14:textId="77777777" w:rsidR="004421F6" w:rsidRDefault="00F15622">
            <w:pPr>
              <w:textAlignment w:val="bottom"/>
            </w:pPr>
            <w:hyperlink r:id="rId59" w:anchor="i3e524f2e23844e81ba9d33a05ac3917c_64" w:history="1">
              <w:r>
                <w:rPr>
                  <w:rStyle w:val="a5"/>
                  <w:rFonts w:ascii="sans-serif" w:eastAsia="sans-serif" w:hAnsi="sans-serif" w:cs="sans-serif"/>
                  <w:color w:val="000000"/>
                  <w:sz w:val="16"/>
                  <w:szCs w:val="16"/>
                  <w:u w:val="none"/>
                </w:rPr>
                <w:t>Income Taxes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54" w14:textId="77777777" w:rsidR="004421F6" w:rsidRDefault="00F15622">
            <w:pPr>
              <w:textAlignment w:val="bottom"/>
            </w:pPr>
            <w:hyperlink r:id="rId60" w:anchor="i3e524f2e23844e81ba9d33a05ac3917c_64" w:history="1">
              <w:r>
                <w:rPr>
                  <w:rStyle w:val="a5"/>
                  <w:rFonts w:ascii="sans-serif" w:eastAsia="sans-serif" w:hAnsi="sans-serif" w:cs="sans-serif"/>
                  <w:color w:val="000000"/>
                  <w:sz w:val="16"/>
                  <w:szCs w:val="16"/>
                  <w:u w:val="none"/>
                </w:rPr>
                <w:t>9</w:t>
              </w:r>
            </w:hyperlink>
          </w:p>
        </w:tc>
      </w:tr>
      <w:tr w:rsidR="004421F6" w14:paraId="1D02555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56" w14:textId="77777777" w:rsidR="004421F6" w:rsidRDefault="00F15622">
            <w:pPr>
              <w:textAlignment w:val="bottom"/>
            </w:pPr>
            <w:r>
              <w:rPr>
                <w:rFonts w:ascii="sans-serif" w:eastAsia="sans-serif" w:hAnsi="sans-serif" w:cs="sans-serif"/>
                <w:b/>
                <w:bCs/>
                <w:color w:val="000000"/>
                <w:sz w:val="18"/>
                <w:szCs w:val="18"/>
              </w:rPr>
              <w:t>Note 7</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57" w14:textId="77777777" w:rsidR="004421F6" w:rsidRDefault="00F15622">
            <w:pPr>
              <w:textAlignment w:val="bottom"/>
            </w:pPr>
            <w:hyperlink r:id="rId61" w:anchor="i3e524f2e23844e81ba9d33a05ac3917c_67" w:history="1">
              <w:r>
                <w:rPr>
                  <w:rStyle w:val="a5"/>
                  <w:rFonts w:ascii="sans-serif" w:eastAsia="sans-serif" w:hAnsi="sans-serif" w:cs="sans-serif"/>
                  <w:color w:val="000000"/>
                  <w:sz w:val="16"/>
                  <w:szCs w:val="16"/>
                  <w:u w:val="none"/>
                </w:rPr>
                <w:t>Stock-Based Compensation</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58" w14:textId="77777777" w:rsidR="004421F6" w:rsidRDefault="00F15622">
            <w:pPr>
              <w:textAlignment w:val="bottom"/>
            </w:pPr>
            <w:hyperlink r:id="rId62" w:anchor="i3e524f2e23844e81ba9d33a05ac3917c_67" w:history="1">
              <w:r>
                <w:rPr>
                  <w:rStyle w:val="a5"/>
                  <w:rFonts w:ascii="sans-serif" w:eastAsia="sans-serif" w:hAnsi="sans-serif" w:cs="sans-serif"/>
                  <w:color w:val="000000"/>
                  <w:sz w:val="16"/>
                  <w:szCs w:val="16"/>
                  <w:u w:val="none"/>
                </w:rPr>
                <w:t>10</w:t>
              </w:r>
            </w:hyperlink>
          </w:p>
        </w:tc>
      </w:tr>
      <w:tr w:rsidR="004421F6" w14:paraId="1D02555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5A" w14:textId="77777777" w:rsidR="004421F6" w:rsidRDefault="00F15622">
            <w:pPr>
              <w:textAlignment w:val="bottom"/>
            </w:pPr>
            <w:r>
              <w:rPr>
                <w:rFonts w:ascii="sans-serif" w:eastAsia="sans-serif" w:hAnsi="sans-serif" w:cs="sans-serif"/>
                <w:b/>
                <w:bCs/>
                <w:color w:val="000000"/>
                <w:sz w:val="18"/>
                <w:szCs w:val="18"/>
              </w:rPr>
              <w:t>Note 8</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5B" w14:textId="77777777" w:rsidR="004421F6" w:rsidRDefault="00F15622">
            <w:pPr>
              <w:textAlignment w:val="bottom"/>
            </w:pPr>
            <w:hyperlink r:id="rId63" w:anchor="i3e524f2e23844e81ba9d33a05ac3917c_70" w:history="1">
              <w:r>
                <w:rPr>
                  <w:rStyle w:val="a5"/>
                  <w:rFonts w:ascii="sans-serif" w:eastAsia="sans-serif" w:hAnsi="sans-serif" w:cs="sans-serif"/>
                  <w:color w:val="000000"/>
                  <w:sz w:val="16"/>
                  <w:szCs w:val="16"/>
                  <w:u w:val="none"/>
                </w:rPr>
                <w:t>Earnings Per Share</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5C" w14:textId="77777777" w:rsidR="004421F6" w:rsidRDefault="00F15622">
            <w:pPr>
              <w:textAlignment w:val="bottom"/>
            </w:pPr>
            <w:hyperlink r:id="rId64" w:anchor="i3e524f2e23844e81ba9d33a05ac3917c_70" w:history="1">
              <w:r>
                <w:rPr>
                  <w:rStyle w:val="a5"/>
                  <w:rFonts w:ascii="sans-serif" w:eastAsia="sans-serif" w:hAnsi="sans-serif" w:cs="sans-serif"/>
                  <w:color w:val="000000"/>
                  <w:sz w:val="16"/>
                  <w:szCs w:val="16"/>
                  <w:u w:val="none"/>
                </w:rPr>
                <w:t>11</w:t>
              </w:r>
            </w:hyperlink>
          </w:p>
        </w:tc>
      </w:tr>
      <w:tr w:rsidR="004421F6" w14:paraId="1D025561"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5E" w14:textId="77777777" w:rsidR="004421F6" w:rsidRDefault="00F15622">
            <w:pPr>
              <w:textAlignment w:val="bottom"/>
            </w:pPr>
            <w:r>
              <w:rPr>
                <w:rFonts w:ascii="sans-serif" w:eastAsia="sans-serif" w:hAnsi="sans-serif" w:cs="sans-serif"/>
                <w:b/>
                <w:bCs/>
                <w:color w:val="000000"/>
                <w:sz w:val="18"/>
                <w:szCs w:val="18"/>
              </w:rPr>
              <w:t>Note 9</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5F" w14:textId="77777777" w:rsidR="004421F6" w:rsidRDefault="00F15622">
            <w:pPr>
              <w:textAlignment w:val="bottom"/>
            </w:pPr>
            <w:hyperlink r:id="rId65" w:anchor="i3e524f2e23844e81ba9d33a05ac3917c_73" w:history="1">
              <w:r>
                <w:rPr>
                  <w:rStyle w:val="a5"/>
                  <w:rFonts w:ascii="sans-serif" w:eastAsia="sans-serif" w:hAnsi="sans-serif" w:cs="sans-serif"/>
                  <w:color w:val="000000"/>
                  <w:sz w:val="16"/>
                  <w:szCs w:val="16"/>
                  <w:u w:val="none"/>
                </w:rPr>
                <w:t>Risk Management and Derivatives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60" w14:textId="77777777" w:rsidR="004421F6" w:rsidRDefault="00F15622">
            <w:pPr>
              <w:textAlignment w:val="bottom"/>
            </w:pPr>
            <w:hyperlink r:id="rId66" w:anchor="i3e524f2e23844e81ba9d33a05ac3917c_73" w:history="1">
              <w:r>
                <w:rPr>
                  <w:rStyle w:val="a5"/>
                  <w:rFonts w:ascii="sans-serif" w:eastAsia="sans-serif" w:hAnsi="sans-serif" w:cs="sans-serif"/>
                  <w:color w:val="000000"/>
                  <w:sz w:val="16"/>
                  <w:szCs w:val="16"/>
                  <w:u w:val="none"/>
                </w:rPr>
                <w:t>11</w:t>
              </w:r>
            </w:hyperlink>
          </w:p>
        </w:tc>
      </w:tr>
      <w:tr w:rsidR="004421F6" w14:paraId="1D02556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62" w14:textId="77777777" w:rsidR="004421F6" w:rsidRDefault="00F15622">
            <w:pPr>
              <w:textAlignment w:val="bottom"/>
            </w:pPr>
            <w:r>
              <w:rPr>
                <w:rFonts w:ascii="sans-serif" w:eastAsia="sans-serif" w:hAnsi="sans-serif" w:cs="sans-serif"/>
                <w:b/>
                <w:bCs/>
                <w:color w:val="000000"/>
                <w:sz w:val="18"/>
                <w:szCs w:val="18"/>
              </w:rPr>
              <w:t>Note 10</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63" w14:textId="77777777" w:rsidR="004421F6" w:rsidRDefault="00F15622">
            <w:pPr>
              <w:textAlignment w:val="bottom"/>
            </w:pPr>
            <w:hyperlink r:id="rId67" w:anchor="i3e524f2e23844e81ba9d33a05ac3917c_79" w:history="1">
              <w:r>
                <w:rPr>
                  <w:rStyle w:val="a5"/>
                  <w:rFonts w:ascii="sans-serif" w:eastAsia="sans-serif" w:hAnsi="sans-serif" w:cs="sans-serif"/>
                  <w:color w:val="000000"/>
                  <w:sz w:val="16"/>
                  <w:szCs w:val="16"/>
                  <w:u w:val="none"/>
                </w:rPr>
                <w:t>Accumulated Other Comprehensive Income (Loss)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64" w14:textId="77777777" w:rsidR="004421F6" w:rsidRDefault="00F15622">
            <w:pPr>
              <w:textAlignment w:val="bottom"/>
            </w:pPr>
            <w:hyperlink r:id="rId68" w:anchor="i3e524f2e23844e81ba9d33a05ac3917c_79" w:history="1">
              <w:r>
                <w:rPr>
                  <w:rStyle w:val="a5"/>
                  <w:rFonts w:ascii="sans-serif" w:eastAsia="sans-serif" w:hAnsi="sans-serif" w:cs="sans-serif"/>
                  <w:color w:val="000000"/>
                  <w:sz w:val="16"/>
                  <w:szCs w:val="16"/>
                  <w:u w:val="none"/>
                </w:rPr>
                <w:t>15</w:t>
              </w:r>
            </w:hyperlink>
          </w:p>
        </w:tc>
      </w:tr>
      <w:tr w:rsidR="004421F6" w14:paraId="1D02556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66" w14:textId="77777777" w:rsidR="004421F6" w:rsidRDefault="00F15622">
            <w:pPr>
              <w:textAlignment w:val="bottom"/>
            </w:pPr>
            <w:r>
              <w:rPr>
                <w:rFonts w:ascii="sans-serif" w:eastAsia="sans-serif" w:hAnsi="sans-serif" w:cs="sans-serif"/>
                <w:b/>
                <w:bCs/>
                <w:color w:val="000000"/>
                <w:sz w:val="18"/>
                <w:szCs w:val="18"/>
              </w:rPr>
              <w:t>Note 11</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67" w14:textId="77777777" w:rsidR="004421F6" w:rsidRDefault="00F15622">
            <w:pPr>
              <w:textAlignment w:val="bottom"/>
            </w:pPr>
            <w:hyperlink r:id="rId69" w:anchor="i3e524f2e23844e81ba9d33a05ac3917c_82" w:history="1">
              <w:r>
                <w:rPr>
                  <w:rStyle w:val="a5"/>
                  <w:rFonts w:ascii="sans-serif" w:eastAsia="sans-serif" w:hAnsi="sans-serif" w:cs="sans-serif"/>
                  <w:color w:val="000000"/>
                  <w:sz w:val="16"/>
                  <w:szCs w:val="16"/>
                  <w:u w:val="none"/>
                </w:rPr>
                <w:t>Revenues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68" w14:textId="77777777" w:rsidR="004421F6" w:rsidRDefault="00F15622">
            <w:pPr>
              <w:textAlignment w:val="bottom"/>
            </w:pPr>
            <w:hyperlink r:id="rId70" w:anchor="i3e524f2e23844e81ba9d33a05ac3917c_82" w:history="1">
              <w:r>
                <w:rPr>
                  <w:rStyle w:val="a5"/>
                  <w:rFonts w:ascii="sans-serif" w:eastAsia="sans-serif" w:hAnsi="sans-serif" w:cs="sans-serif"/>
                  <w:color w:val="000000"/>
                  <w:sz w:val="16"/>
                  <w:szCs w:val="16"/>
                  <w:u w:val="none"/>
                </w:rPr>
                <w:t>17</w:t>
              </w:r>
            </w:hyperlink>
          </w:p>
        </w:tc>
      </w:tr>
      <w:tr w:rsidR="004421F6" w14:paraId="1D02556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6A" w14:textId="77777777" w:rsidR="004421F6" w:rsidRDefault="00F15622">
            <w:pPr>
              <w:textAlignment w:val="bottom"/>
            </w:pPr>
            <w:r>
              <w:rPr>
                <w:rFonts w:ascii="sans-serif" w:eastAsia="sans-serif" w:hAnsi="sans-serif" w:cs="sans-serif"/>
                <w:b/>
                <w:bCs/>
                <w:color w:val="000000"/>
                <w:sz w:val="18"/>
                <w:szCs w:val="18"/>
              </w:rPr>
              <w:t>Note 12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6B" w14:textId="77777777" w:rsidR="004421F6" w:rsidRDefault="00F15622">
            <w:pPr>
              <w:textAlignment w:val="bottom"/>
            </w:pPr>
            <w:hyperlink r:id="rId71" w:anchor="i3e524f2e23844e81ba9d33a05ac3917c_85" w:history="1">
              <w:r>
                <w:rPr>
                  <w:rStyle w:val="a5"/>
                  <w:rFonts w:ascii="sans-serif" w:eastAsia="sans-serif" w:hAnsi="sans-serif" w:cs="sans-serif"/>
                  <w:color w:val="000000"/>
                  <w:sz w:val="16"/>
                  <w:szCs w:val="16"/>
                  <w:u w:val="none"/>
                </w:rPr>
                <w:t>Operating Segments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6C" w14:textId="77777777" w:rsidR="004421F6" w:rsidRDefault="00F15622">
            <w:pPr>
              <w:textAlignment w:val="bottom"/>
            </w:pPr>
            <w:hyperlink r:id="rId72" w:anchor="i3e524f2e23844e81ba9d33a05ac3917c_85" w:history="1">
              <w:r>
                <w:rPr>
                  <w:rStyle w:val="a5"/>
                  <w:rFonts w:ascii="sans-serif" w:eastAsia="sans-serif" w:hAnsi="sans-serif" w:cs="sans-serif"/>
                  <w:color w:val="000000"/>
                  <w:sz w:val="16"/>
                  <w:szCs w:val="16"/>
                  <w:u w:val="none"/>
                </w:rPr>
                <w:t>18</w:t>
              </w:r>
            </w:hyperlink>
          </w:p>
        </w:tc>
      </w:tr>
      <w:tr w:rsidR="004421F6" w14:paraId="1D025571"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6E" w14:textId="77777777" w:rsidR="004421F6" w:rsidRDefault="00F15622">
            <w:pPr>
              <w:textAlignment w:val="bottom"/>
            </w:pPr>
            <w:r>
              <w:rPr>
                <w:rFonts w:ascii="sans-serif" w:eastAsia="sans-serif" w:hAnsi="sans-serif" w:cs="sans-serif"/>
                <w:b/>
                <w:bCs/>
                <w:color w:val="000000"/>
                <w:sz w:val="18"/>
                <w:szCs w:val="18"/>
              </w:rPr>
              <w:t>Note 13</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6F" w14:textId="77777777" w:rsidR="004421F6" w:rsidRDefault="00F15622">
            <w:pPr>
              <w:textAlignment w:val="bottom"/>
            </w:pPr>
            <w:hyperlink r:id="rId73" w:anchor="i3e524f2e23844e81ba9d33a05ac3917c_91" w:history="1">
              <w:r>
                <w:rPr>
                  <w:rStyle w:val="a5"/>
                  <w:rFonts w:ascii="sans-serif" w:eastAsia="sans-serif" w:hAnsi="sans-serif" w:cs="sans-serif"/>
                  <w:color w:val="000000"/>
                  <w:sz w:val="16"/>
                  <w:szCs w:val="16"/>
                  <w:u w:val="none"/>
                </w:rPr>
                <w:t>Acquisitions and Divestitures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70" w14:textId="77777777" w:rsidR="004421F6" w:rsidRDefault="00F15622">
            <w:pPr>
              <w:textAlignment w:val="bottom"/>
            </w:pPr>
            <w:hyperlink r:id="rId74" w:anchor="i3e524f2e23844e81ba9d33a05ac3917c_91" w:history="1">
              <w:r>
                <w:rPr>
                  <w:rStyle w:val="a5"/>
                  <w:rFonts w:ascii="sans-serif" w:eastAsia="sans-serif" w:hAnsi="sans-serif" w:cs="sans-serif"/>
                  <w:color w:val="000000"/>
                  <w:sz w:val="16"/>
                  <w:szCs w:val="16"/>
                  <w:u w:val="none"/>
                </w:rPr>
                <w:t>20</w:t>
              </w:r>
            </w:hyperlink>
          </w:p>
        </w:tc>
      </w:tr>
      <w:tr w:rsidR="004421F6" w14:paraId="1D025575"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1D025572" w14:textId="77777777" w:rsidR="004421F6" w:rsidRDefault="00F15622">
            <w:pPr>
              <w:textAlignment w:val="bottom"/>
            </w:pPr>
            <w:r>
              <w:rPr>
                <w:rFonts w:ascii="sans-serif" w:eastAsia="sans-serif" w:hAnsi="sans-serif" w:cs="sans-serif"/>
                <w:b/>
                <w:bCs/>
                <w:color w:val="000000"/>
                <w:sz w:val="18"/>
                <w:szCs w:val="18"/>
              </w:rPr>
              <w:t>Note 14</w:t>
            </w: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1D025573" w14:textId="77777777" w:rsidR="004421F6" w:rsidRDefault="00F15622">
            <w:pPr>
              <w:textAlignment w:val="bottom"/>
            </w:pPr>
            <w:hyperlink r:id="rId75" w:anchor="i3e524f2e23844e81ba9d33a05ac3917c_94" w:history="1">
              <w:r>
                <w:rPr>
                  <w:rStyle w:val="a5"/>
                  <w:rFonts w:ascii="sans-serif" w:eastAsia="sans-serif" w:hAnsi="sans-serif" w:cs="sans-serif"/>
                  <w:color w:val="000000"/>
                  <w:sz w:val="16"/>
                  <w:szCs w:val="16"/>
                  <w:u w:val="none"/>
                </w:rPr>
                <w:t>Restructuring</w:t>
              </w:r>
            </w:hyperlink>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1D025574" w14:textId="77777777" w:rsidR="004421F6" w:rsidRDefault="00F15622">
            <w:pPr>
              <w:textAlignment w:val="bottom"/>
            </w:pPr>
            <w:hyperlink r:id="rId76" w:anchor="i3e524f2e23844e81ba9d33a05ac3917c_94" w:history="1">
              <w:r>
                <w:rPr>
                  <w:rStyle w:val="a5"/>
                  <w:rFonts w:ascii="sans-serif" w:eastAsia="sans-serif" w:hAnsi="sans-serif" w:cs="sans-serif"/>
                  <w:color w:val="000000"/>
                  <w:sz w:val="16"/>
                  <w:szCs w:val="16"/>
                  <w:u w:val="none"/>
                </w:rPr>
                <w:t>20</w:t>
              </w:r>
            </w:hyperlink>
          </w:p>
        </w:tc>
      </w:tr>
    </w:tbl>
    <w:p w14:paraId="1D025576" w14:textId="77777777" w:rsidR="004421F6" w:rsidRDefault="00F15622">
      <w:pPr>
        <w:spacing w:before="120" w:after="120"/>
      </w:pPr>
      <w:r>
        <w:rPr>
          <w:rFonts w:ascii="Arial" w:eastAsia="宋体" w:hAnsi="Arial" w:cs="Arial"/>
          <w:color w:val="E87722"/>
          <w:sz w:val="17"/>
          <w:szCs w:val="17"/>
        </w:rPr>
        <w:t>6</w:t>
      </w:r>
      <w:r>
        <w:rPr>
          <w:rFonts w:ascii="sans-serif" w:eastAsia="sans-serif" w:hAnsi="sans-serif" w:cs="sans-serif"/>
          <w:color w:val="000000"/>
          <w:sz w:val="17"/>
          <w:szCs w:val="17"/>
        </w:rPr>
        <w:t xml:space="preserve"> </w:t>
      </w:r>
    </w:p>
    <w:p w14:paraId="1D025577" w14:textId="77777777" w:rsidR="004421F6" w:rsidRDefault="00F15622">
      <w:r>
        <w:pict w14:anchorId="1D027281">
          <v:rect id="_x0000_i1032" style="width:415.3pt;height:1.5pt" o:hralign="center" o:hrstd="t" o:hr="t" fillcolor="#a0a0a0" stroked="f"/>
        </w:pict>
      </w:r>
    </w:p>
    <w:p w14:paraId="1D025578" w14:textId="77777777" w:rsidR="004421F6" w:rsidRDefault="004421F6"/>
    <w:p w14:paraId="1D025579" w14:textId="77777777" w:rsidR="004421F6" w:rsidRDefault="00F15622">
      <w:hyperlink r:id="rId77" w:anchor="i3e524f2e23844e81ba9d33a05ac3917c_7" w:history="1">
        <w:r>
          <w:rPr>
            <w:rStyle w:val="a5"/>
            <w:rFonts w:ascii="sans-serif" w:eastAsia="sans-serif" w:hAnsi="sans-serif" w:cs="sans-serif"/>
            <w:sz w:val="17"/>
            <w:szCs w:val="17"/>
          </w:rPr>
          <w:t>Table of Contents</w:t>
        </w:r>
      </w:hyperlink>
    </w:p>
    <w:p w14:paraId="1D02557A" w14:textId="77777777" w:rsidR="004421F6" w:rsidRDefault="004421F6"/>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421F6" w14:paraId="1D02557E" w14:textId="77777777">
        <w:tc>
          <w:tcPr>
            <w:tcW w:w="50" w:type="pct"/>
            <w:shd w:val="clear" w:color="auto" w:fill="auto"/>
          </w:tcPr>
          <w:p w14:paraId="1D02557B" w14:textId="77777777" w:rsidR="004421F6" w:rsidRDefault="004421F6">
            <w:pPr>
              <w:rPr>
                <w:rFonts w:ascii="宋体"/>
              </w:rPr>
            </w:pPr>
          </w:p>
        </w:tc>
        <w:tc>
          <w:tcPr>
            <w:tcW w:w="4945" w:type="pct"/>
            <w:shd w:val="clear" w:color="auto" w:fill="auto"/>
          </w:tcPr>
          <w:p w14:paraId="1D02557C" w14:textId="77777777" w:rsidR="004421F6" w:rsidRDefault="004421F6">
            <w:pPr>
              <w:rPr>
                <w:rFonts w:ascii="宋体"/>
              </w:rPr>
            </w:pPr>
          </w:p>
        </w:tc>
        <w:tc>
          <w:tcPr>
            <w:tcW w:w="5" w:type="pct"/>
            <w:shd w:val="clear" w:color="auto" w:fill="auto"/>
          </w:tcPr>
          <w:p w14:paraId="1D02557D" w14:textId="77777777" w:rsidR="004421F6" w:rsidRDefault="004421F6">
            <w:pPr>
              <w:rPr>
                <w:rFonts w:ascii="宋体"/>
              </w:rPr>
            </w:pPr>
          </w:p>
        </w:tc>
      </w:tr>
      <w:tr w:rsidR="004421F6" w14:paraId="1D025580" w14:textId="77777777">
        <w:tc>
          <w:tcPr>
            <w:tcW w:w="0" w:type="auto"/>
            <w:gridSpan w:val="3"/>
            <w:shd w:val="clear" w:color="auto" w:fill="auto"/>
            <w:tcMar>
              <w:top w:w="40" w:type="dxa"/>
              <w:left w:w="20" w:type="dxa"/>
              <w:bottom w:w="40" w:type="dxa"/>
              <w:right w:w="20" w:type="dxa"/>
            </w:tcMar>
            <w:vAlign w:val="bottom"/>
          </w:tcPr>
          <w:p w14:paraId="1D02557F" w14:textId="77777777" w:rsidR="004421F6" w:rsidRDefault="00F15622">
            <w:pPr>
              <w:textAlignment w:val="bottom"/>
            </w:pPr>
            <w:r>
              <w:rPr>
                <w:rFonts w:ascii="sans-serif" w:eastAsia="sans-serif" w:hAnsi="sans-serif" w:cs="sans-serif"/>
                <w:b/>
                <w:bCs/>
                <w:color w:val="E87722"/>
                <w:sz w:val="36"/>
                <w:szCs w:val="36"/>
              </w:rPr>
              <w:t>NOTE 1 — SUMMARY OF SIGNIFICANT ACCOUNTING POLICIES</w:t>
            </w:r>
          </w:p>
        </w:tc>
      </w:tr>
    </w:tbl>
    <w:p w14:paraId="1D025581" w14:textId="77777777" w:rsidR="004421F6" w:rsidRDefault="00F15622">
      <w:pPr>
        <w:spacing w:before="240" w:after="120"/>
      </w:pPr>
      <w:r>
        <w:rPr>
          <w:rFonts w:ascii="sans-serif" w:eastAsia="sans-serif" w:hAnsi="sans-serif" w:cs="sans-serif"/>
          <w:b/>
          <w:bCs/>
          <w:color w:val="000000"/>
          <w:sz w:val="28"/>
          <w:szCs w:val="28"/>
        </w:rPr>
        <w:t>BASIS OF PRESENTATION</w:t>
      </w:r>
    </w:p>
    <w:p w14:paraId="1D025582" w14:textId="77777777" w:rsidR="004421F6" w:rsidRDefault="00F15622">
      <w:pPr>
        <w:spacing w:before="120" w:after="120"/>
      </w:pPr>
      <w:r>
        <w:rPr>
          <w:rFonts w:ascii="Arial" w:eastAsia="宋体" w:hAnsi="Arial" w:cs="Arial"/>
          <w:color w:val="000000"/>
          <w:sz w:val="17"/>
          <w:szCs w:val="17"/>
        </w:rPr>
        <w:t xml:space="preserve">The </w:t>
      </w:r>
      <w:r>
        <w:rPr>
          <w:rFonts w:ascii="Arial" w:eastAsia="宋体" w:hAnsi="Arial" w:cs="Arial"/>
          <w:color w:val="000000"/>
          <w:sz w:val="17"/>
          <w:szCs w:val="17"/>
        </w:rPr>
        <w:t xml:space="preserve">Unaudited Condensed Consolidated Financial Statements include the accounts of NIKE, Inc. and its subsidiaries (the “Company” or “NIKE”) and reflect all normal recurring adjustments which are, in the opinion of management, necessary for a fair statement of </w:t>
      </w:r>
      <w:r>
        <w:rPr>
          <w:rFonts w:ascii="Arial" w:eastAsia="宋体" w:hAnsi="Arial" w:cs="Arial"/>
          <w:color w:val="000000"/>
          <w:sz w:val="17"/>
          <w:szCs w:val="17"/>
        </w:rPr>
        <w:t>the results of operations for the interim period. The year-end Condensed Consolidated Balance Sheet data as of May 31, 2020 was derived from audited financial statements, but does not include all disclosures required by accounting principles generally acce</w:t>
      </w:r>
      <w:r>
        <w:rPr>
          <w:rFonts w:ascii="Arial" w:eastAsia="宋体" w:hAnsi="Arial" w:cs="Arial"/>
          <w:color w:val="000000"/>
          <w:sz w:val="17"/>
          <w:szCs w:val="17"/>
        </w:rPr>
        <w:t>pted in the United States of America (“U.S. GAAP”). The interim financial information and notes thereto should be read in conjunction with the Company's latest Annual Report on Form 10-K. The results of operations for the three months ended August 31, 2020</w:t>
      </w:r>
      <w:r>
        <w:rPr>
          <w:rFonts w:ascii="Arial" w:eastAsia="宋体" w:hAnsi="Arial" w:cs="Arial"/>
          <w:color w:val="000000"/>
          <w:sz w:val="17"/>
          <w:szCs w:val="17"/>
        </w:rPr>
        <w:t xml:space="preserve"> are not necessarily indicative of results to be expected for the entire fiscal year.</w:t>
      </w:r>
    </w:p>
    <w:p w14:paraId="1D025583" w14:textId="77777777" w:rsidR="004421F6" w:rsidRDefault="00F15622">
      <w:r>
        <w:rPr>
          <w:rFonts w:ascii="Arial" w:eastAsia="宋体" w:hAnsi="Arial" w:cs="Arial"/>
          <w:color w:val="212529"/>
          <w:sz w:val="17"/>
          <w:szCs w:val="17"/>
        </w:rPr>
        <w:t xml:space="preserve">As previously disclosed in the Annual Report on Form 10-K for the fiscal year ended </w:t>
      </w:r>
      <w:r>
        <w:rPr>
          <w:rFonts w:ascii="Arial" w:eastAsia="宋体" w:hAnsi="Arial" w:cs="Arial"/>
          <w:color w:val="000000"/>
          <w:sz w:val="17"/>
          <w:szCs w:val="17"/>
        </w:rPr>
        <w:t>May 31, 2020</w:t>
      </w:r>
      <w:r>
        <w:rPr>
          <w:rFonts w:ascii="Arial" w:eastAsia="宋体" w:hAnsi="Arial" w:cs="Arial"/>
          <w:color w:val="212529"/>
          <w:sz w:val="17"/>
          <w:szCs w:val="17"/>
        </w:rPr>
        <w:t>, the extent to which the evolving COVID-19 pandemic impacts the Company's</w:t>
      </w:r>
      <w:r>
        <w:rPr>
          <w:rFonts w:ascii="Arial" w:eastAsia="宋体" w:hAnsi="Arial" w:cs="Arial"/>
          <w:color w:val="212529"/>
          <w:sz w:val="17"/>
          <w:szCs w:val="17"/>
        </w:rPr>
        <w:t xml:space="preserve"> financial statements will depend on a number of factors, including the magnitude and duration of the pandemic. There remains risk that COVID-19 could have material adverse impacts on future revenue growth as well as overall profitability and may lead to h</w:t>
      </w:r>
      <w:r>
        <w:rPr>
          <w:rFonts w:ascii="Arial" w:eastAsia="宋体" w:hAnsi="Arial" w:cs="Arial"/>
          <w:color w:val="212529"/>
          <w:sz w:val="17"/>
          <w:szCs w:val="17"/>
        </w:rPr>
        <w:t>igher than normal inventory levels in various markets, revised payment terms with certain wholesale customers, higher sales-related reserves and a volatile effective tax rate driven by changes in the mix of earnings across the Company's jurisdictions.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421F6" w14:paraId="1D025587" w14:textId="77777777">
        <w:tc>
          <w:tcPr>
            <w:tcW w:w="50" w:type="pct"/>
            <w:shd w:val="clear" w:color="auto" w:fill="auto"/>
          </w:tcPr>
          <w:p w14:paraId="1D025584" w14:textId="77777777" w:rsidR="004421F6" w:rsidRDefault="004421F6">
            <w:pPr>
              <w:rPr>
                <w:rFonts w:ascii="宋体"/>
              </w:rPr>
            </w:pPr>
          </w:p>
        </w:tc>
        <w:tc>
          <w:tcPr>
            <w:tcW w:w="4945" w:type="pct"/>
            <w:shd w:val="clear" w:color="auto" w:fill="auto"/>
          </w:tcPr>
          <w:p w14:paraId="1D025585" w14:textId="77777777" w:rsidR="004421F6" w:rsidRDefault="004421F6">
            <w:pPr>
              <w:rPr>
                <w:rFonts w:ascii="宋体"/>
              </w:rPr>
            </w:pPr>
          </w:p>
        </w:tc>
        <w:tc>
          <w:tcPr>
            <w:tcW w:w="5" w:type="pct"/>
            <w:shd w:val="clear" w:color="auto" w:fill="auto"/>
          </w:tcPr>
          <w:p w14:paraId="1D025586" w14:textId="77777777" w:rsidR="004421F6" w:rsidRDefault="004421F6">
            <w:pPr>
              <w:rPr>
                <w:rFonts w:ascii="宋体"/>
              </w:rPr>
            </w:pPr>
          </w:p>
        </w:tc>
      </w:tr>
      <w:tr w:rsidR="004421F6" w14:paraId="1D025589" w14:textId="77777777">
        <w:tc>
          <w:tcPr>
            <w:tcW w:w="0" w:type="auto"/>
            <w:gridSpan w:val="3"/>
            <w:shd w:val="clear" w:color="auto" w:fill="auto"/>
            <w:tcMar>
              <w:top w:w="40" w:type="dxa"/>
              <w:left w:w="20" w:type="dxa"/>
              <w:bottom w:w="40" w:type="dxa"/>
              <w:right w:w="20" w:type="dxa"/>
            </w:tcMar>
            <w:vAlign w:val="bottom"/>
          </w:tcPr>
          <w:p w14:paraId="1D025588" w14:textId="77777777" w:rsidR="004421F6" w:rsidRDefault="00F15622">
            <w:pPr>
              <w:textAlignment w:val="bottom"/>
            </w:pPr>
            <w:r>
              <w:rPr>
                <w:rFonts w:ascii="sans-serif" w:eastAsia="sans-serif" w:hAnsi="sans-serif" w:cs="sans-serif"/>
                <w:b/>
                <w:bCs/>
                <w:color w:val="E87722"/>
                <w:sz w:val="36"/>
                <w:szCs w:val="36"/>
              </w:rPr>
              <w:t>NOTE 2 — INVENTORIES</w:t>
            </w:r>
          </w:p>
        </w:tc>
      </w:tr>
    </w:tbl>
    <w:p w14:paraId="1D02558A" w14:textId="77777777" w:rsidR="004421F6" w:rsidRDefault="00F15622">
      <w:pPr>
        <w:spacing w:before="120" w:after="120"/>
      </w:pPr>
      <w:r>
        <w:rPr>
          <w:rFonts w:ascii="Arial" w:eastAsia="宋体" w:hAnsi="Arial" w:cs="Arial"/>
          <w:color w:val="000000"/>
          <w:sz w:val="17"/>
          <w:szCs w:val="17"/>
        </w:rPr>
        <w:t>Inventory balances of $6,705 million and $7,367 million at August 31, 2020 and May 31, 2020, respectively, were substantially all finished goods.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421F6" w14:paraId="1D02558E" w14:textId="77777777">
        <w:tc>
          <w:tcPr>
            <w:tcW w:w="50" w:type="pct"/>
            <w:shd w:val="clear" w:color="auto" w:fill="auto"/>
          </w:tcPr>
          <w:p w14:paraId="1D02558B" w14:textId="77777777" w:rsidR="004421F6" w:rsidRDefault="004421F6">
            <w:pPr>
              <w:rPr>
                <w:rFonts w:ascii="宋体"/>
              </w:rPr>
            </w:pPr>
          </w:p>
        </w:tc>
        <w:tc>
          <w:tcPr>
            <w:tcW w:w="4945" w:type="pct"/>
            <w:shd w:val="clear" w:color="auto" w:fill="auto"/>
          </w:tcPr>
          <w:p w14:paraId="1D02558C" w14:textId="77777777" w:rsidR="004421F6" w:rsidRDefault="004421F6">
            <w:pPr>
              <w:rPr>
                <w:rFonts w:ascii="宋体"/>
              </w:rPr>
            </w:pPr>
          </w:p>
        </w:tc>
        <w:tc>
          <w:tcPr>
            <w:tcW w:w="5" w:type="pct"/>
            <w:shd w:val="clear" w:color="auto" w:fill="auto"/>
          </w:tcPr>
          <w:p w14:paraId="1D02558D" w14:textId="77777777" w:rsidR="004421F6" w:rsidRDefault="004421F6">
            <w:pPr>
              <w:rPr>
                <w:rFonts w:ascii="宋体"/>
              </w:rPr>
            </w:pPr>
          </w:p>
        </w:tc>
      </w:tr>
      <w:tr w:rsidR="004421F6" w14:paraId="1D025590" w14:textId="77777777">
        <w:tc>
          <w:tcPr>
            <w:tcW w:w="0" w:type="auto"/>
            <w:gridSpan w:val="3"/>
            <w:shd w:val="clear" w:color="auto" w:fill="auto"/>
            <w:tcMar>
              <w:top w:w="40" w:type="dxa"/>
              <w:left w:w="20" w:type="dxa"/>
              <w:bottom w:w="40" w:type="dxa"/>
              <w:right w:w="20" w:type="dxa"/>
            </w:tcMar>
            <w:vAlign w:val="bottom"/>
          </w:tcPr>
          <w:p w14:paraId="1D02558F" w14:textId="77777777" w:rsidR="004421F6" w:rsidRDefault="00F15622">
            <w:pPr>
              <w:textAlignment w:val="bottom"/>
            </w:pPr>
            <w:r>
              <w:rPr>
                <w:rFonts w:ascii="sans-serif" w:eastAsia="sans-serif" w:hAnsi="sans-serif" w:cs="sans-serif"/>
                <w:b/>
                <w:bCs/>
                <w:color w:val="E87722"/>
                <w:sz w:val="36"/>
                <w:szCs w:val="36"/>
              </w:rPr>
              <w:t>NOTE 3 — ACCRUED LIABILITIES</w:t>
            </w:r>
          </w:p>
        </w:tc>
      </w:tr>
    </w:tbl>
    <w:p w14:paraId="1D025591" w14:textId="77777777" w:rsidR="004421F6" w:rsidRDefault="00F15622">
      <w:r>
        <w:rPr>
          <w:rFonts w:ascii="Arial" w:eastAsia="宋体" w:hAnsi="Arial" w:cs="Arial"/>
          <w:color w:val="000000"/>
          <w:sz w:val="17"/>
          <w:szCs w:val="17"/>
        </w:rPr>
        <w:t>Accrued liabilities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39"/>
        <w:gridCol w:w="4912"/>
        <w:gridCol w:w="38"/>
        <w:gridCol w:w="130"/>
        <w:gridCol w:w="1467"/>
        <w:gridCol w:w="41"/>
        <w:gridCol w:w="36"/>
        <w:gridCol w:w="36"/>
        <w:gridCol w:w="36"/>
        <w:gridCol w:w="130"/>
        <w:gridCol w:w="1430"/>
        <w:gridCol w:w="41"/>
      </w:tblGrid>
      <w:tr w:rsidR="004421F6" w14:paraId="1D02559E" w14:textId="77777777">
        <w:tc>
          <w:tcPr>
            <w:tcW w:w="50" w:type="pct"/>
            <w:shd w:val="clear" w:color="auto" w:fill="auto"/>
          </w:tcPr>
          <w:p w14:paraId="1D025592" w14:textId="77777777" w:rsidR="004421F6" w:rsidRDefault="004421F6">
            <w:pPr>
              <w:rPr>
                <w:rFonts w:ascii="宋体"/>
              </w:rPr>
            </w:pPr>
          </w:p>
        </w:tc>
        <w:tc>
          <w:tcPr>
            <w:tcW w:w="2977" w:type="pct"/>
            <w:shd w:val="clear" w:color="auto" w:fill="auto"/>
          </w:tcPr>
          <w:p w14:paraId="1D025593" w14:textId="77777777" w:rsidR="004421F6" w:rsidRDefault="004421F6">
            <w:pPr>
              <w:rPr>
                <w:rFonts w:ascii="宋体"/>
              </w:rPr>
            </w:pPr>
          </w:p>
        </w:tc>
        <w:tc>
          <w:tcPr>
            <w:tcW w:w="5" w:type="pct"/>
            <w:shd w:val="clear" w:color="auto" w:fill="auto"/>
          </w:tcPr>
          <w:p w14:paraId="1D025594" w14:textId="77777777" w:rsidR="004421F6" w:rsidRDefault="004421F6">
            <w:pPr>
              <w:rPr>
                <w:rFonts w:ascii="宋体"/>
              </w:rPr>
            </w:pPr>
          </w:p>
        </w:tc>
        <w:tc>
          <w:tcPr>
            <w:tcW w:w="50" w:type="pct"/>
            <w:shd w:val="clear" w:color="auto" w:fill="auto"/>
          </w:tcPr>
          <w:p w14:paraId="1D025595" w14:textId="77777777" w:rsidR="004421F6" w:rsidRDefault="004421F6">
            <w:pPr>
              <w:rPr>
                <w:rFonts w:ascii="宋体"/>
              </w:rPr>
            </w:pPr>
          </w:p>
        </w:tc>
        <w:tc>
          <w:tcPr>
            <w:tcW w:w="909" w:type="pct"/>
            <w:shd w:val="clear" w:color="auto" w:fill="auto"/>
          </w:tcPr>
          <w:p w14:paraId="1D025596" w14:textId="77777777" w:rsidR="004421F6" w:rsidRDefault="004421F6">
            <w:pPr>
              <w:rPr>
                <w:rFonts w:ascii="宋体"/>
              </w:rPr>
            </w:pPr>
          </w:p>
        </w:tc>
        <w:tc>
          <w:tcPr>
            <w:tcW w:w="5" w:type="pct"/>
            <w:shd w:val="clear" w:color="auto" w:fill="auto"/>
          </w:tcPr>
          <w:p w14:paraId="1D025597" w14:textId="77777777" w:rsidR="004421F6" w:rsidRDefault="004421F6">
            <w:pPr>
              <w:rPr>
                <w:rFonts w:ascii="宋体"/>
              </w:rPr>
            </w:pPr>
          </w:p>
        </w:tc>
        <w:tc>
          <w:tcPr>
            <w:tcW w:w="5" w:type="pct"/>
            <w:shd w:val="clear" w:color="auto" w:fill="auto"/>
          </w:tcPr>
          <w:p w14:paraId="1D025598" w14:textId="77777777" w:rsidR="004421F6" w:rsidRDefault="004421F6">
            <w:pPr>
              <w:rPr>
                <w:rFonts w:ascii="宋体"/>
              </w:rPr>
            </w:pPr>
          </w:p>
        </w:tc>
        <w:tc>
          <w:tcPr>
            <w:tcW w:w="28" w:type="pct"/>
            <w:shd w:val="clear" w:color="auto" w:fill="auto"/>
          </w:tcPr>
          <w:p w14:paraId="1D025599" w14:textId="77777777" w:rsidR="004421F6" w:rsidRDefault="004421F6">
            <w:pPr>
              <w:rPr>
                <w:rFonts w:ascii="宋体"/>
              </w:rPr>
            </w:pPr>
          </w:p>
        </w:tc>
        <w:tc>
          <w:tcPr>
            <w:tcW w:w="5" w:type="pct"/>
            <w:shd w:val="clear" w:color="auto" w:fill="auto"/>
          </w:tcPr>
          <w:p w14:paraId="1D02559A" w14:textId="77777777" w:rsidR="004421F6" w:rsidRDefault="004421F6">
            <w:pPr>
              <w:rPr>
                <w:rFonts w:ascii="宋体"/>
              </w:rPr>
            </w:pPr>
          </w:p>
        </w:tc>
        <w:tc>
          <w:tcPr>
            <w:tcW w:w="50" w:type="pct"/>
            <w:shd w:val="clear" w:color="auto" w:fill="auto"/>
          </w:tcPr>
          <w:p w14:paraId="1D02559B" w14:textId="77777777" w:rsidR="004421F6" w:rsidRDefault="004421F6">
            <w:pPr>
              <w:rPr>
                <w:rFonts w:ascii="宋体"/>
              </w:rPr>
            </w:pPr>
          </w:p>
        </w:tc>
        <w:tc>
          <w:tcPr>
            <w:tcW w:w="909" w:type="pct"/>
            <w:shd w:val="clear" w:color="auto" w:fill="auto"/>
          </w:tcPr>
          <w:p w14:paraId="1D02559C" w14:textId="77777777" w:rsidR="004421F6" w:rsidRDefault="004421F6">
            <w:pPr>
              <w:rPr>
                <w:rFonts w:ascii="宋体"/>
              </w:rPr>
            </w:pPr>
          </w:p>
        </w:tc>
        <w:tc>
          <w:tcPr>
            <w:tcW w:w="5" w:type="pct"/>
            <w:shd w:val="clear" w:color="auto" w:fill="auto"/>
          </w:tcPr>
          <w:p w14:paraId="1D02559D" w14:textId="77777777" w:rsidR="004421F6" w:rsidRDefault="004421F6">
            <w:pPr>
              <w:rPr>
                <w:rFonts w:ascii="宋体"/>
              </w:rPr>
            </w:pPr>
          </w:p>
        </w:tc>
      </w:tr>
      <w:tr w:rsidR="004421F6" w14:paraId="1D0255A3" w14:textId="77777777">
        <w:tc>
          <w:tcPr>
            <w:tcW w:w="0" w:type="auto"/>
            <w:gridSpan w:val="3"/>
            <w:shd w:val="clear" w:color="auto" w:fill="auto"/>
            <w:tcMar>
              <w:left w:w="20" w:type="dxa"/>
              <w:right w:w="20" w:type="dxa"/>
            </w:tcMar>
            <w:vAlign w:val="bottom"/>
          </w:tcPr>
          <w:p w14:paraId="1D02559F" w14:textId="77777777" w:rsidR="004421F6" w:rsidRDefault="004421F6">
            <w:pPr>
              <w:rPr>
                <w:rFonts w:ascii="宋体"/>
              </w:rPr>
            </w:pPr>
          </w:p>
        </w:tc>
        <w:tc>
          <w:tcPr>
            <w:tcW w:w="0" w:type="auto"/>
            <w:gridSpan w:val="3"/>
            <w:shd w:val="clear" w:color="auto" w:fill="auto"/>
            <w:tcMar>
              <w:top w:w="40" w:type="dxa"/>
              <w:left w:w="20" w:type="dxa"/>
              <w:bottom w:w="40" w:type="dxa"/>
              <w:right w:w="20" w:type="dxa"/>
            </w:tcMar>
            <w:vAlign w:val="bottom"/>
          </w:tcPr>
          <w:p w14:paraId="1D0255A0" w14:textId="77777777" w:rsidR="004421F6" w:rsidRDefault="00F15622">
            <w:pPr>
              <w:jc w:val="center"/>
              <w:textAlignment w:val="bottom"/>
            </w:pPr>
            <w:r>
              <w:rPr>
                <w:rFonts w:ascii="sans-serif" w:eastAsia="sans-serif" w:hAnsi="sans-serif" w:cs="sans-serif"/>
                <w:b/>
                <w:bCs/>
                <w:color w:val="000000"/>
                <w:sz w:val="17"/>
                <w:szCs w:val="17"/>
              </w:rPr>
              <w:t>AUGUST 31,</w:t>
            </w:r>
          </w:p>
        </w:tc>
        <w:tc>
          <w:tcPr>
            <w:tcW w:w="0" w:type="auto"/>
            <w:gridSpan w:val="3"/>
            <w:shd w:val="clear" w:color="auto" w:fill="auto"/>
            <w:tcMar>
              <w:left w:w="20" w:type="dxa"/>
              <w:right w:w="20" w:type="dxa"/>
            </w:tcMar>
            <w:vAlign w:val="bottom"/>
          </w:tcPr>
          <w:p w14:paraId="1D0255A1" w14:textId="77777777" w:rsidR="004421F6" w:rsidRDefault="004421F6">
            <w:pPr>
              <w:jc w:val="center"/>
              <w:rPr>
                <w:rFonts w:ascii="宋体"/>
              </w:rPr>
            </w:pPr>
          </w:p>
        </w:tc>
        <w:tc>
          <w:tcPr>
            <w:tcW w:w="0" w:type="auto"/>
            <w:gridSpan w:val="3"/>
            <w:shd w:val="clear" w:color="auto" w:fill="auto"/>
            <w:tcMar>
              <w:top w:w="40" w:type="dxa"/>
              <w:left w:w="20" w:type="dxa"/>
              <w:bottom w:w="40" w:type="dxa"/>
              <w:right w:w="20" w:type="dxa"/>
            </w:tcMar>
            <w:vAlign w:val="bottom"/>
          </w:tcPr>
          <w:p w14:paraId="1D0255A2" w14:textId="77777777" w:rsidR="004421F6" w:rsidRDefault="00F15622">
            <w:pPr>
              <w:jc w:val="center"/>
              <w:textAlignment w:val="bottom"/>
            </w:pPr>
            <w:r>
              <w:rPr>
                <w:rFonts w:ascii="sans-serif" w:eastAsia="sans-serif" w:hAnsi="sans-serif" w:cs="sans-serif"/>
                <w:b/>
                <w:bCs/>
                <w:color w:val="000000"/>
                <w:sz w:val="17"/>
                <w:szCs w:val="17"/>
              </w:rPr>
              <w:t>MAY 31,</w:t>
            </w:r>
          </w:p>
        </w:tc>
      </w:tr>
      <w:tr w:rsidR="004421F6" w14:paraId="1D0255A8" w14:textId="77777777">
        <w:tc>
          <w:tcPr>
            <w:tcW w:w="0" w:type="auto"/>
            <w:gridSpan w:val="3"/>
            <w:shd w:val="clear" w:color="auto" w:fill="auto"/>
            <w:tcMar>
              <w:top w:w="40" w:type="dxa"/>
              <w:left w:w="20" w:type="dxa"/>
              <w:bottom w:w="40" w:type="dxa"/>
              <w:right w:w="20" w:type="dxa"/>
            </w:tcMar>
            <w:vAlign w:val="bottom"/>
          </w:tcPr>
          <w:p w14:paraId="1D0255A4"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5A5"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left w:w="20" w:type="dxa"/>
              <w:right w:w="20" w:type="dxa"/>
            </w:tcMar>
            <w:vAlign w:val="bottom"/>
          </w:tcPr>
          <w:p w14:paraId="1D0255A6" w14:textId="77777777" w:rsidR="004421F6" w:rsidRDefault="004421F6">
            <w:pPr>
              <w:jc w:val="cente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5A7" w14:textId="77777777" w:rsidR="004421F6" w:rsidRDefault="00F15622">
            <w:pPr>
              <w:jc w:val="center"/>
              <w:textAlignment w:val="bottom"/>
            </w:pPr>
            <w:r>
              <w:rPr>
                <w:rFonts w:ascii="sans-serif" w:eastAsia="sans-serif" w:hAnsi="sans-serif" w:cs="sans-serif"/>
                <w:b/>
                <w:bCs/>
                <w:color w:val="000000"/>
                <w:sz w:val="17"/>
                <w:szCs w:val="17"/>
              </w:rPr>
              <w:t>2020</w:t>
            </w:r>
          </w:p>
        </w:tc>
      </w:tr>
      <w:tr w:rsidR="004421F6" w14:paraId="1D0255B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5A9" w14:textId="77777777" w:rsidR="004421F6" w:rsidRDefault="00F15622">
            <w:pPr>
              <w:textAlignment w:val="bottom"/>
            </w:pPr>
            <w:r>
              <w:rPr>
                <w:rFonts w:ascii="Arial" w:eastAsia="宋体" w:hAnsi="Arial" w:cs="Arial"/>
                <w:color w:val="000000"/>
                <w:sz w:val="17"/>
                <w:szCs w:val="17"/>
              </w:rPr>
              <w:t>Sales-related reserves</w:t>
            </w:r>
          </w:p>
        </w:tc>
        <w:tc>
          <w:tcPr>
            <w:tcW w:w="0" w:type="auto"/>
            <w:tcBorders>
              <w:top w:val="single" w:sz="8" w:space="0" w:color="E87722"/>
            </w:tcBorders>
            <w:shd w:val="clear" w:color="auto" w:fill="FFF1E7"/>
            <w:tcMar>
              <w:top w:w="40" w:type="dxa"/>
              <w:left w:w="20" w:type="dxa"/>
              <w:bottom w:w="40" w:type="dxa"/>
            </w:tcMar>
            <w:vAlign w:val="bottom"/>
          </w:tcPr>
          <w:p w14:paraId="1D0255AA"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55AB" w14:textId="77777777" w:rsidR="004421F6" w:rsidRDefault="00F15622">
            <w:pPr>
              <w:jc w:val="right"/>
              <w:textAlignment w:val="bottom"/>
            </w:pPr>
            <w:r>
              <w:rPr>
                <w:rFonts w:ascii="Arial" w:eastAsia="宋体" w:hAnsi="Arial" w:cs="Arial"/>
                <w:color w:val="000000"/>
                <w:sz w:val="17"/>
                <w:szCs w:val="17"/>
              </w:rPr>
              <w:t>1,127 </w:t>
            </w:r>
          </w:p>
        </w:tc>
        <w:tc>
          <w:tcPr>
            <w:tcW w:w="0" w:type="auto"/>
            <w:tcBorders>
              <w:top w:val="single" w:sz="8" w:space="0" w:color="E87722"/>
            </w:tcBorders>
            <w:shd w:val="clear" w:color="auto" w:fill="FFF1E7"/>
            <w:tcMar>
              <w:top w:w="40" w:type="dxa"/>
              <w:bottom w:w="40" w:type="dxa"/>
              <w:right w:w="20" w:type="dxa"/>
            </w:tcMar>
            <w:vAlign w:val="bottom"/>
          </w:tcPr>
          <w:p w14:paraId="1D0255AC"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5AD"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5AE"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5AF" w14:textId="77777777" w:rsidR="004421F6" w:rsidRDefault="00F15622">
            <w:pPr>
              <w:jc w:val="right"/>
              <w:textAlignment w:val="bottom"/>
            </w:pPr>
            <w:r>
              <w:rPr>
                <w:rFonts w:ascii="Arial" w:eastAsia="宋体" w:hAnsi="Arial" w:cs="Arial"/>
                <w:color w:val="000000"/>
                <w:sz w:val="17"/>
                <w:szCs w:val="17"/>
              </w:rPr>
              <w:t>1,178 </w:t>
            </w:r>
          </w:p>
        </w:tc>
        <w:tc>
          <w:tcPr>
            <w:tcW w:w="0" w:type="auto"/>
            <w:tcBorders>
              <w:top w:val="single" w:sz="8" w:space="0" w:color="E87722"/>
            </w:tcBorders>
            <w:shd w:val="clear" w:color="auto" w:fill="auto"/>
            <w:tcMar>
              <w:top w:w="40" w:type="dxa"/>
              <w:bottom w:w="40" w:type="dxa"/>
              <w:right w:w="20" w:type="dxa"/>
            </w:tcMar>
            <w:vAlign w:val="bottom"/>
          </w:tcPr>
          <w:p w14:paraId="1D0255B0" w14:textId="77777777" w:rsidR="004421F6" w:rsidRDefault="004421F6">
            <w:pPr>
              <w:jc w:val="right"/>
              <w:rPr>
                <w:rFonts w:ascii="宋体"/>
              </w:rPr>
            </w:pPr>
          </w:p>
        </w:tc>
      </w:tr>
      <w:tr w:rsidR="004421F6" w14:paraId="1D0255B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B2" w14:textId="77777777" w:rsidR="004421F6" w:rsidRDefault="00F15622">
            <w:pPr>
              <w:textAlignment w:val="bottom"/>
            </w:pPr>
            <w:r>
              <w:rPr>
                <w:rFonts w:ascii="Arial" w:eastAsia="宋体" w:hAnsi="Arial" w:cs="Arial"/>
                <w:color w:val="000000"/>
                <w:sz w:val="17"/>
                <w:szCs w:val="17"/>
              </w:rPr>
              <w:t>Compensation and benefits, excluding taxes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5B3" w14:textId="77777777" w:rsidR="004421F6" w:rsidRDefault="00F15622">
            <w:pPr>
              <w:jc w:val="right"/>
              <w:textAlignment w:val="bottom"/>
            </w:pPr>
            <w:r>
              <w:rPr>
                <w:rFonts w:ascii="Arial" w:eastAsia="宋体" w:hAnsi="Arial" w:cs="Arial"/>
                <w:color w:val="000000"/>
                <w:sz w:val="17"/>
                <w:szCs w:val="17"/>
              </w:rPr>
              <w:t>950 </w:t>
            </w:r>
          </w:p>
        </w:tc>
        <w:tc>
          <w:tcPr>
            <w:tcW w:w="0" w:type="auto"/>
            <w:tcBorders>
              <w:top w:val="single" w:sz="8" w:space="0" w:color="808080"/>
            </w:tcBorders>
            <w:shd w:val="clear" w:color="auto" w:fill="FFF1E7"/>
            <w:tcMar>
              <w:top w:w="40" w:type="dxa"/>
              <w:bottom w:w="40" w:type="dxa"/>
              <w:right w:w="20" w:type="dxa"/>
            </w:tcMar>
            <w:vAlign w:val="bottom"/>
          </w:tcPr>
          <w:p w14:paraId="1D0255B4"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5B5"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5B6" w14:textId="77777777" w:rsidR="004421F6" w:rsidRDefault="00F15622">
            <w:pPr>
              <w:jc w:val="right"/>
              <w:textAlignment w:val="bottom"/>
            </w:pPr>
            <w:r>
              <w:rPr>
                <w:rFonts w:ascii="Arial" w:eastAsia="宋体" w:hAnsi="Arial" w:cs="Arial"/>
                <w:color w:val="000000"/>
                <w:sz w:val="17"/>
                <w:szCs w:val="17"/>
              </w:rPr>
              <w:t>1,248 </w:t>
            </w:r>
          </w:p>
        </w:tc>
        <w:tc>
          <w:tcPr>
            <w:tcW w:w="0" w:type="auto"/>
            <w:tcBorders>
              <w:top w:val="single" w:sz="8" w:space="0" w:color="808080"/>
            </w:tcBorders>
            <w:shd w:val="clear" w:color="auto" w:fill="auto"/>
            <w:tcMar>
              <w:top w:w="40" w:type="dxa"/>
              <w:bottom w:w="40" w:type="dxa"/>
              <w:right w:w="20" w:type="dxa"/>
            </w:tcMar>
            <w:vAlign w:val="bottom"/>
          </w:tcPr>
          <w:p w14:paraId="1D0255B7" w14:textId="77777777" w:rsidR="004421F6" w:rsidRDefault="004421F6">
            <w:pPr>
              <w:jc w:val="right"/>
              <w:rPr>
                <w:rFonts w:ascii="宋体"/>
              </w:rPr>
            </w:pPr>
          </w:p>
        </w:tc>
      </w:tr>
      <w:tr w:rsidR="004421F6" w14:paraId="1D0255BF"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B9" w14:textId="77777777" w:rsidR="004421F6" w:rsidRDefault="00F15622">
            <w:pPr>
              <w:textAlignment w:val="bottom"/>
            </w:pPr>
            <w:r>
              <w:rPr>
                <w:rFonts w:ascii="Arial" w:eastAsia="宋体" w:hAnsi="Arial" w:cs="Arial"/>
                <w:color w:val="000000"/>
                <w:sz w:val="17"/>
                <w:szCs w:val="17"/>
              </w:rPr>
              <w:t>Fair value of derivatives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5BA" w14:textId="77777777" w:rsidR="004421F6" w:rsidRDefault="00F15622">
            <w:pPr>
              <w:jc w:val="right"/>
              <w:textAlignment w:val="bottom"/>
            </w:pPr>
            <w:r>
              <w:rPr>
                <w:rFonts w:ascii="Arial" w:eastAsia="宋体" w:hAnsi="Arial" w:cs="Arial"/>
                <w:color w:val="000000"/>
                <w:sz w:val="17"/>
                <w:szCs w:val="17"/>
              </w:rPr>
              <w:t>512 </w:t>
            </w:r>
          </w:p>
        </w:tc>
        <w:tc>
          <w:tcPr>
            <w:tcW w:w="0" w:type="auto"/>
            <w:tcBorders>
              <w:top w:val="single" w:sz="8" w:space="0" w:color="808080"/>
            </w:tcBorders>
            <w:shd w:val="clear" w:color="auto" w:fill="FFF1E7"/>
            <w:tcMar>
              <w:top w:w="40" w:type="dxa"/>
              <w:bottom w:w="40" w:type="dxa"/>
              <w:right w:w="20" w:type="dxa"/>
            </w:tcMar>
            <w:vAlign w:val="bottom"/>
          </w:tcPr>
          <w:p w14:paraId="1D0255BB"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5BC"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5BD" w14:textId="77777777" w:rsidR="004421F6" w:rsidRDefault="00F15622">
            <w:pPr>
              <w:jc w:val="right"/>
              <w:textAlignment w:val="bottom"/>
            </w:pPr>
            <w:r>
              <w:rPr>
                <w:rFonts w:ascii="Arial" w:eastAsia="宋体" w:hAnsi="Arial" w:cs="Arial"/>
                <w:color w:val="000000"/>
                <w:sz w:val="17"/>
                <w:szCs w:val="17"/>
              </w:rPr>
              <w:t>190 </w:t>
            </w:r>
          </w:p>
        </w:tc>
        <w:tc>
          <w:tcPr>
            <w:tcW w:w="0" w:type="auto"/>
            <w:tcBorders>
              <w:top w:val="single" w:sz="8" w:space="0" w:color="808080"/>
            </w:tcBorders>
            <w:shd w:val="clear" w:color="auto" w:fill="auto"/>
            <w:tcMar>
              <w:top w:w="40" w:type="dxa"/>
              <w:bottom w:w="40" w:type="dxa"/>
              <w:right w:w="20" w:type="dxa"/>
            </w:tcMar>
            <w:vAlign w:val="bottom"/>
          </w:tcPr>
          <w:p w14:paraId="1D0255BE" w14:textId="77777777" w:rsidR="004421F6" w:rsidRDefault="004421F6">
            <w:pPr>
              <w:jc w:val="right"/>
              <w:rPr>
                <w:rFonts w:ascii="宋体"/>
              </w:rPr>
            </w:pPr>
          </w:p>
        </w:tc>
      </w:tr>
      <w:tr w:rsidR="004421F6" w14:paraId="1D0255C6"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C0" w14:textId="77777777" w:rsidR="004421F6" w:rsidRDefault="00F15622">
            <w:pPr>
              <w:textAlignment w:val="bottom"/>
            </w:pPr>
            <w:r>
              <w:rPr>
                <w:rFonts w:ascii="Arial" w:eastAsia="宋体" w:hAnsi="Arial" w:cs="Arial"/>
                <w:color w:val="000000"/>
                <w:sz w:val="17"/>
                <w:szCs w:val="17"/>
              </w:rPr>
              <w:t>Allowance for expected loss on sale</w:t>
            </w:r>
            <w:r>
              <w:rPr>
                <w:rFonts w:ascii="Arial" w:eastAsia="宋体" w:hAnsi="Arial" w:cs="Arial"/>
                <w:color w:val="000000"/>
                <w:sz w:val="9"/>
                <w:szCs w:val="9"/>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5C1" w14:textId="77777777" w:rsidR="004421F6" w:rsidRDefault="00F15622">
            <w:pPr>
              <w:jc w:val="right"/>
              <w:textAlignment w:val="bottom"/>
            </w:pPr>
            <w:r>
              <w:rPr>
                <w:rFonts w:ascii="Arial" w:eastAsia="宋体" w:hAnsi="Arial" w:cs="Arial"/>
                <w:color w:val="000000"/>
                <w:sz w:val="17"/>
                <w:szCs w:val="17"/>
              </w:rPr>
              <w:t>438 </w:t>
            </w:r>
          </w:p>
        </w:tc>
        <w:tc>
          <w:tcPr>
            <w:tcW w:w="0" w:type="auto"/>
            <w:tcBorders>
              <w:top w:val="single" w:sz="8" w:space="0" w:color="808080"/>
            </w:tcBorders>
            <w:shd w:val="clear" w:color="auto" w:fill="FFF1E7"/>
            <w:tcMar>
              <w:top w:w="40" w:type="dxa"/>
              <w:bottom w:w="40" w:type="dxa"/>
              <w:right w:w="20" w:type="dxa"/>
            </w:tcMar>
            <w:vAlign w:val="bottom"/>
          </w:tcPr>
          <w:p w14:paraId="1D0255C2"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5C3"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5C4" w14:textId="77777777" w:rsidR="004421F6" w:rsidRDefault="00F15622">
            <w:pPr>
              <w:jc w:val="right"/>
              <w:textAlignment w:val="bottom"/>
            </w:pPr>
            <w:r>
              <w:rPr>
                <w:rFonts w:ascii="Arial" w:eastAsia="宋体" w:hAnsi="Arial" w:cs="Arial"/>
                <w:color w:val="000000"/>
                <w:sz w:val="17"/>
                <w:szCs w:val="17"/>
              </w:rPr>
              <w:t>405 </w:t>
            </w:r>
          </w:p>
        </w:tc>
        <w:tc>
          <w:tcPr>
            <w:tcW w:w="0" w:type="auto"/>
            <w:tcBorders>
              <w:top w:val="single" w:sz="8" w:space="0" w:color="808080"/>
            </w:tcBorders>
            <w:shd w:val="clear" w:color="auto" w:fill="auto"/>
            <w:tcMar>
              <w:top w:w="40" w:type="dxa"/>
              <w:bottom w:w="40" w:type="dxa"/>
              <w:right w:w="20" w:type="dxa"/>
            </w:tcMar>
            <w:vAlign w:val="bottom"/>
          </w:tcPr>
          <w:p w14:paraId="1D0255C5" w14:textId="77777777" w:rsidR="004421F6" w:rsidRDefault="004421F6">
            <w:pPr>
              <w:jc w:val="right"/>
              <w:rPr>
                <w:rFonts w:ascii="宋体"/>
              </w:rPr>
            </w:pPr>
          </w:p>
        </w:tc>
      </w:tr>
      <w:tr w:rsidR="004421F6" w14:paraId="1D0255C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5C7" w14:textId="77777777" w:rsidR="004421F6" w:rsidRDefault="00F15622">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5C8" w14:textId="77777777" w:rsidR="004421F6" w:rsidRDefault="00F15622">
            <w:pPr>
              <w:jc w:val="right"/>
              <w:textAlignment w:val="bottom"/>
            </w:pPr>
            <w:r>
              <w:rPr>
                <w:rFonts w:ascii="Arial" w:eastAsia="宋体" w:hAnsi="Arial" w:cs="Arial"/>
                <w:color w:val="000000"/>
                <w:sz w:val="17"/>
                <w:szCs w:val="17"/>
              </w:rPr>
              <w:t>2,715 </w:t>
            </w:r>
          </w:p>
        </w:tc>
        <w:tc>
          <w:tcPr>
            <w:tcW w:w="0" w:type="auto"/>
            <w:tcBorders>
              <w:top w:val="single" w:sz="8" w:space="0" w:color="808080"/>
            </w:tcBorders>
            <w:shd w:val="clear" w:color="auto" w:fill="FFF1E7"/>
            <w:tcMar>
              <w:top w:w="40" w:type="dxa"/>
              <w:bottom w:w="40" w:type="dxa"/>
              <w:right w:w="20" w:type="dxa"/>
            </w:tcMar>
            <w:vAlign w:val="bottom"/>
          </w:tcPr>
          <w:p w14:paraId="1D0255C9"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5C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5CB" w14:textId="77777777" w:rsidR="004421F6" w:rsidRDefault="00F15622">
            <w:pPr>
              <w:jc w:val="right"/>
              <w:textAlignment w:val="bottom"/>
            </w:pPr>
            <w:r>
              <w:rPr>
                <w:rFonts w:ascii="Arial" w:eastAsia="宋体" w:hAnsi="Arial" w:cs="Arial"/>
                <w:color w:val="000000"/>
                <w:sz w:val="17"/>
                <w:szCs w:val="17"/>
              </w:rPr>
              <w:t>2,163 </w:t>
            </w:r>
          </w:p>
        </w:tc>
        <w:tc>
          <w:tcPr>
            <w:tcW w:w="0" w:type="auto"/>
            <w:tcBorders>
              <w:top w:val="single" w:sz="8" w:space="0" w:color="808080"/>
            </w:tcBorders>
            <w:shd w:val="clear" w:color="auto" w:fill="auto"/>
            <w:tcMar>
              <w:top w:w="40" w:type="dxa"/>
              <w:bottom w:w="40" w:type="dxa"/>
              <w:right w:w="20" w:type="dxa"/>
            </w:tcMar>
            <w:vAlign w:val="bottom"/>
          </w:tcPr>
          <w:p w14:paraId="1D0255CC" w14:textId="77777777" w:rsidR="004421F6" w:rsidRDefault="004421F6">
            <w:pPr>
              <w:jc w:val="right"/>
              <w:rPr>
                <w:rFonts w:ascii="宋体"/>
              </w:rPr>
            </w:pPr>
          </w:p>
        </w:tc>
      </w:tr>
      <w:tr w:rsidR="004421F6" w14:paraId="1D0255D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5CE" w14:textId="77777777" w:rsidR="004421F6" w:rsidRDefault="00F15622">
            <w:pPr>
              <w:textAlignment w:val="bottom"/>
            </w:pPr>
            <w:r>
              <w:rPr>
                <w:rFonts w:ascii="Arial" w:eastAsia="宋体" w:hAnsi="Arial" w:cs="Arial"/>
                <w:b/>
                <w:bCs/>
                <w:color w:val="000000"/>
                <w:sz w:val="17"/>
                <w:szCs w:val="17"/>
              </w:rPr>
              <w:t>TOTAL ACCRUED LIABILITIES</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5CF"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5D0" w14:textId="77777777" w:rsidR="004421F6" w:rsidRDefault="00F15622">
            <w:pPr>
              <w:jc w:val="right"/>
              <w:textAlignment w:val="bottom"/>
            </w:pPr>
            <w:r>
              <w:rPr>
                <w:rFonts w:ascii="Arial" w:eastAsia="宋体" w:hAnsi="Arial" w:cs="Arial"/>
                <w:b/>
                <w:bCs/>
                <w:color w:val="000000"/>
                <w:sz w:val="17"/>
                <w:szCs w:val="17"/>
              </w:rPr>
              <w:t>5,742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5D1" w14:textId="77777777" w:rsidR="004421F6" w:rsidRDefault="004421F6">
            <w:pPr>
              <w:jc w:val="right"/>
              <w:rPr>
                <w:rFonts w:ascii="宋体"/>
              </w:rPr>
            </w:pPr>
          </w:p>
        </w:tc>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55D2"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5D3"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5D4" w14:textId="77777777" w:rsidR="004421F6" w:rsidRDefault="00F15622">
            <w:pPr>
              <w:jc w:val="right"/>
              <w:textAlignment w:val="bottom"/>
            </w:pPr>
            <w:r>
              <w:rPr>
                <w:rFonts w:ascii="Arial" w:eastAsia="宋体" w:hAnsi="Arial" w:cs="Arial"/>
                <w:b/>
                <w:bCs/>
                <w:color w:val="000000"/>
                <w:sz w:val="17"/>
                <w:szCs w:val="17"/>
              </w:rPr>
              <w:t>5,184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5D5" w14:textId="77777777" w:rsidR="004421F6" w:rsidRDefault="004421F6">
            <w:pPr>
              <w:jc w:val="right"/>
              <w:rPr>
                <w:rFonts w:ascii="宋体"/>
              </w:rPr>
            </w:pPr>
          </w:p>
        </w:tc>
      </w:tr>
    </w:tbl>
    <w:p w14:paraId="1D0255D7" w14:textId="77777777" w:rsidR="004421F6" w:rsidRDefault="00F15622">
      <w:pPr>
        <w:spacing w:before="60" w:after="60"/>
        <w:ind w:hanging="360"/>
      </w:pPr>
      <w:r>
        <w:rPr>
          <w:rFonts w:ascii="Arial" w:eastAsia="宋体" w:hAnsi="Arial" w:cs="Arial"/>
          <w:i/>
          <w:iCs/>
          <w:color w:val="000000"/>
          <w:sz w:val="14"/>
          <w:szCs w:val="14"/>
        </w:rPr>
        <w:t>(1)Refer to Note 13 — Acquisitions and Divestitures for additional information.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421F6" w14:paraId="1D0255DB" w14:textId="77777777">
        <w:tc>
          <w:tcPr>
            <w:tcW w:w="50" w:type="pct"/>
            <w:shd w:val="clear" w:color="auto" w:fill="auto"/>
          </w:tcPr>
          <w:p w14:paraId="1D0255D8" w14:textId="77777777" w:rsidR="004421F6" w:rsidRDefault="004421F6">
            <w:pPr>
              <w:rPr>
                <w:rFonts w:ascii="宋体"/>
              </w:rPr>
            </w:pPr>
          </w:p>
        </w:tc>
        <w:tc>
          <w:tcPr>
            <w:tcW w:w="4945" w:type="pct"/>
            <w:shd w:val="clear" w:color="auto" w:fill="auto"/>
          </w:tcPr>
          <w:p w14:paraId="1D0255D9" w14:textId="77777777" w:rsidR="004421F6" w:rsidRDefault="004421F6">
            <w:pPr>
              <w:rPr>
                <w:rFonts w:ascii="宋体"/>
              </w:rPr>
            </w:pPr>
          </w:p>
        </w:tc>
        <w:tc>
          <w:tcPr>
            <w:tcW w:w="5" w:type="pct"/>
            <w:shd w:val="clear" w:color="auto" w:fill="auto"/>
          </w:tcPr>
          <w:p w14:paraId="1D0255DA" w14:textId="77777777" w:rsidR="004421F6" w:rsidRDefault="004421F6">
            <w:pPr>
              <w:rPr>
                <w:rFonts w:ascii="宋体"/>
              </w:rPr>
            </w:pPr>
          </w:p>
        </w:tc>
      </w:tr>
      <w:tr w:rsidR="004421F6" w14:paraId="1D0255DD" w14:textId="77777777">
        <w:tc>
          <w:tcPr>
            <w:tcW w:w="0" w:type="auto"/>
            <w:gridSpan w:val="3"/>
            <w:shd w:val="clear" w:color="auto" w:fill="auto"/>
            <w:tcMar>
              <w:top w:w="40" w:type="dxa"/>
              <w:left w:w="20" w:type="dxa"/>
              <w:bottom w:w="40" w:type="dxa"/>
              <w:right w:w="20" w:type="dxa"/>
            </w:tcMar>
            <w:vAlign w:val="bottom"/>
          </w:tcPr>
          <w:p w14:paraId="1D0255DC" w14:textId="77777777" w:rsidR="004421F6" w:rsidRDefault="00F15622">
            <w:pPr>
              <w:textAlignment w:val="bottom"/>
            </w:pPr>
            <w:r>
              <w:rPr>
                <w:rFonts w:ascii="sans-serif" w:eastAsia="sans-serif" w:hAnsi="sans-serif" w:cs="sans-serif"/>
                <w:b/>
                <w:bCs/>
                <w:color w:val="E87722"/>
                <w:sz w:val="36"/>
                <w:szCs w:val="36"/>
              </w:rPr>
              <w:t>NOTE 4 — FAIR VALUE MEASUREMENTS</w:t>
            </w:r>
          </w:p>
        </w:tc>
      </w:tr>
    </w:tbl>
    <w:p w14:paraId="1D0255DE" w14:textId="77777777" w:rsidR="004421F6" w:rsidRDefault="00F15622">
      <w:pPr>
        <w:spacing w:before="120" w:after="120"/>
      </w:pPr>
      <w:r>
        <w:rPr>
          <w:rFonts w:ascii="Arial" w:eastAsia="宋体" w:hAnsi="Arial" w:cs="Arial"/>
          <w:color w:val="000000"/>
          <w:sz w:val="17"/>
          <w:szCs w:val="17"/>
        </w:rPr>
        <w:t xml:space="preserve">The Company measures certain financial assets and </w:t>
      </w:r>
      <w:r>
        <w:rPr>
          <w:rFonts w:ascii="Arial" w:eastAsia="宋体" w:hAnsi="Arial" w:cs="Arial"/>
          <w:color w:val="000000"/>
          <w:sz w:val="17"/>
          <w:szCs w:val="17"/>
        </w:rPr>
        <w:t>liabilities at fair value on a recurring basis, including derivatives, equity securities and available-for-sale debt securities. For additional information about the Company's fair value policies refer to Note 1 — Summary of Significant Accounting Policies</w:t>
      </w:r>
      <w:r>
        <w:rPr>
          <w:rFonts w:ascii="Arial" w:eastAsia="宋体" w:hAnsi="Arial" w:cs="Arial"/>
          <w:color w:val="000000"/>
          <w:sz w:val="17"/>
          <w:szCs w:val="17"/>
        </w:rPr>
        <w:t xml:space="preserve"> of the Annual Report on Form 10-K for the fiscal year ended May 31, 2020.</w:t>
      </w:r>
    </w:p>
    <w:p w14:paraId="1D0255DF" w14:textId="77777777" w:rsidR="004421F6" w:rsidRDefault="00F15622">
      <w:pPr>
        <w:spacing w:before="120" w:after="120"/>
      </w:pPr>
      <w:r>
        <w:rPr>
          <w:rFonts w:ascii="Arial" w:eastAsia="宋体" w:hAnsi="Arial" w:cs="Arial"/>
          <w:color w:val="000000"/>
          <w:sz w:val="17"/>
          <w:szCs w:val="17"/>
        </w:rPr>
        <w:t>The following tables present information about the Company's financial assets measured at fair value on a recurring basis as of August 31, 2020 and May 31, 2020, and indicate the le</w:t>
      </w:r>
      <w:r>
        <w:rPr>
          <w:rFonts w:ascii="Arial" w:eastAsia="宋体" w:hAnsi="Arial" w:cs="Arial"/>
          <w:color w:val="000000"/>
          <w:sz w:val="17"/>
          <w:szCs w:val="17"/>
        </w:rPr>
        <w:t>vel in the fair value hierarchy in which the Company classifies the fair value measurement:</w:t>
      </w:r>
    </w:p>
    <w:p w14:paraId="1D0255E0" w14:textId="77777777" w:rsidR="004421F6" w:rsidRDefault="00F15622">
      <w:pPr>
        <w:spacing w:before="120" w:after="120"/>
        <w:jc w:val="right"/>
      </w:pPr>
      <w:r>
        <w:rPr>
          <w:rFonts w:ascii="Arial" w:eastAsia="宋体" w:hAnsi="Arial" w:cs="Arial"/>
          <w:color w:val="E87722"/>
          <w:sz w:val="17"/>
          <w:szCs w:val="17"/>
        </w:rPr>
        <w:t>7</w:t>
      </w:r>
    </w:p>
    <w:p w14:paraId="1D0255E1" w14:textId="77777777" w:rsidR="004421F6" w:rsidRDefault="00F15622">
      <w:r>
        <w:pict w14:anchorId="1D027282">
          <v:rect id="_x0000_i1033" style="width:415.3pt;height:1.5pt" o:hralign="center" o:hrstd="t" o:hr="t" fillcolor="#a0a0a0" stroked="f"/>
        </w:pict>
      </w:r>
    </w:p>
    <w:p w14:paraId="1D0255E2" w14:textId="77777777" w:rsidR="004421F6" w:rsidRDefault="004421F6"/>
    <w:p w14:paraId="1D0255E3" w14:textId="77777777" w:rsidR="004421F6" w:rsidRDefault="00F15622">
      <w:hyperlink r:id="rId78" w:anchor="i3e524f2e23844e81ba9d33a05ac3917c_7" w:history="1">
        <w:r>
          <w:rPr>
            <w:rStyle w:val="a5"/>
            <w:rFonts w:ascii="sans-serif" w:eastAsia="sans-serif" w:hAnsi="sans-serif" w:cs="sans-serif"/>
            <w:sz w:val="17"/>
            <w:szCs w:val="17"/>
          </w:rPr>
          <w:t>Table of C</w:t>
        </w:r>
        <w:r>
          <w:rPr>
            <w:rStyle w:val="a5"/>
            <w:rFonts w:ascii="sans-serif" w:eastAsia="sans-serif" w:hAnsi="sans-serif" w:cs="sans-serif"/>
            <w:sz w:val="17"/>
            <w:szCs w:val="17"/>
          </w:rPr>
          <w:t>ontents</w:t>
        </w:r>
      </w:hyperlink>
    </w:p>
    <w:p w14:paraId="1D0255E4" w14:textId="77777777" w:rsidR="004421F6" w:rsidRDefault="004421F6"/>
    <w:tbl>
      <w:tblPr>
        <w:tblW w:w="4992" w:type="pct"/>
        <w:tblCellMar>
          <w:top w:w="15" w:type="dxa"/>
          <w:left w:w="15" w:type="dxa"/>
          <w:bottom w:w="15" w:type="dxa"/>
          <w:right w:w="15" w:type="dxa"/>
        </w:tblCellMar>
        <w:tblLook w:val="04A0" w:firstRow="1" w:lastRow="0" w:firstColumn="1" w:lastColumn="0" w:noHBand="0" w:noVBand="1"/>
      </w:tblPr>
      <w:tblGrid>
        <w:gridCol w:w="39"/>
        <w:gridCol w:w="3114"/>
        <w:gridCol w:w="38"/>
        <w:gridCol w:w="130"/>
        <w:gridCol w:w="1421"/>
        <w:gridCol w:w="41"/>
        <w:gridCol w:w="131"/>
        <w:gridCol w:w="1421"/>
        <w:gridCol w:w="41"/>
        <w:gridCol w:w="131"/>
        <w:gridCol w:w="1559"/>
        <w:gridCol w:w="41"/>
        <w:gridCol w:w="36"/>
        <w:gridCol w:w="36"/>
        <w:gridCol w:w="36"/>
        <w:gridCol w:w="36"/>
        <w:gridCol w:w="36"/>
        <w:gridCol w:w="36"/>
      </w:tblGrid>
      <w:tr w:rsidR="004421F6" w14:paraId="1D0255F1" w14:textId="77777777">
        <w:trPr>
          <w:gridAfter w:val="6"/>
        </w:trPr>
        <w:tc>
          <w:tcPr>
            <w:tcW w:w="50" w:type="pct"/>
            <w:shd w:val="clear" w:color="auto" w:fill="auto"/>
          </w:tcPr>
          <w:p w14:paraId="1D0255E5" w14:textId="77777777" w:rsidR="004421F6" w:rsidRDefault="004421F6">
            <w:pPr>
              <w:rPr>
                <w:rFonts w:ascii="宋体"/>
              </w:rPr>
            </w:pPr>
          </w:p>
        </w:tc>
        <w:tc>
          <w:tcPr>
            <w:tcW w:w="1962" w:type="pct"/>
            <w:shd w:val="clear" w:color="auto" w:fill="auto"/>
          </w:tcPr>
          <w:p w14:paraId="1D0255E6" w14:textId="77777777" w:rsidR="004421F6" w:rsidRDefault="004421F6">
            <w:pPr>
              <w:rPr>
                <w:rFonts w:ascii="宋体"/>
              </w:rPr>
            </w:pPr>
          </w:p>
        </w:tc>
        <w:tc>
          <w:tcPr>
            <w:tcW w:w="5" w:type="pct"/>
            <w:shd w:val="clear" w:color="auto" w:fill="auto"/>
          </w:tcPr>
          <w:p w14:paraId="1D0255E7" w14:textId="77777777" w:rsidR="004421F6" w:rsidRDefault="004421F6">
            <w:pPr>
              <w:rPr>
                <w:rFonts w:ascii="宋体"/>
              </w:rPr>
            </w:pPr>
          </w:p>
        </w:tc>
        <w:tc>
          <w:tcPr>
            <w:tcW w:w="50" w:type="pct"/>
            <w:shd w:val="clear" w:color="auto" w:fill="auto"/>
          </w:tcPr>
          <w:p w14:paraId="1D0255E8" w14:textId="77777777" w:rsidR="004421F6" w:rsidRDefault="004421F6">
            <w:pPr>
              <w:rPr>
                <w:rFonts w:ascii="宋体"/>
              </w:rPr>
            </w:pPr>
          </w:p>
        </w:tc>
        <w:tc>
          <w:tcPr>
            <w:tcW w:w="910" w:type="pct"/>
            <w:shd w:val="clear" w:color="auto" w:fill="auto"/>
          </w:tcPr>
          <w:p w14:paraId="1D0255E9" w14:textId="77777777" w:rsidR="004421F6" w:rsidRDefault="004421F6">
            <w:pPr>
              <w:rPr>
                <w:rFonts w:ascii="宋体"/>
              </w:rPr>
            </w:pPr>
          </w:p>
        </w:tc>
        <w:tc>
          <w:tcPr>
            <w:tcW w:w="5" w:type="pct"/>
            <w:shd w:val="clear" w:color="auto" w:fill="auto"/>
          </w:tcPr>
          <w:p w14:paraId="1D0255EA" w14:textId="77777777" w:rsidR="004421F6" w:rsidRDefault="004421F6">
            <w:pPr>
              <w:rPr>
                <w:rFonts w:ascii="宋体"/>
              </w:rPr>
            </w:pPr>
          </w:p>
        </w:tc>
        <w:tc>
          <w:tcPr>
            <w:tcW w:w="50" w:type="pct"/>
            <w:shd w:val="clear" w:color="auto" w:fill="auto"/>
          </w:tcPr>
          <w:p w14:paraId="1D0255EB" w14:textId="77777777" w:rsidR="004421F6" w:rsidRDefault="004421F6">
            <w:pPr>
              <w:rPr>
                <w:rFonts w:ascii="宋体"/>
              </w:rPr>
            </w:pPr>
          </w:p>
        </w:tc>
        <w:tc>
          <w:tcPr>
            <w:tcW w:w="910" w:type="pct"/>
            <w:shd w:val="clear" w:color="auto" w:fill="auto"/>
          </w:tcPr>
          <w:p w14:paraId="1D0255EC" w14:textId="77777777" w:rsidR="004421F6" w:rsidRDefault="004421F6">
            <w:pPr>
              <w:rPr>
                <w:rFonts w:ascii="宋体"/>
              </w:rPr>
            </w:pPr>
          </w:p>
        </w:tc>
        <w:tc>
          <w:tcPr>
            <w:tcW w:w="5" w:type="pct"/>
            <w:shd w:val="clear" w:color="auto" w:fill="auto"/>
          </w:tcPr>
          <w:p w14:paraId="1D0255ED" w14:textId="77777777" w:rsidR="004421F6" w:rsidRDefault="004421F6">
            <w:pPr>
              <w:rPr>
                <w:rFonts w:ascii="宋体"/>
              </w:rPr>
            </w:pPr>
          </w:p>
        </w:tc>
        <w:tc>
          <w:tcPr>
            <w:tcW w:w="50" w:type="pct"/>
            <w:shd w:val="clear" w:color="auto" w:fill="auto"/>
          </w:tcPr>
          <w:p w14:paraId="1D0255EE" w14:textId="77777777" w:rsidR="004421F6" w:rsidRDefault="004421F6">
            <w:pPr>
              <w:rPr>
                <w:rFonts w:ascii="宋体"/>
              </w:rPr>
            </w:pPr>
          </w:p>
        </w:tc>
        <w:tc>
          <w:tcPr>
            <w:tcW w:w="996" w:type="pct"/>
            <w:shd w:val="clear" w:color="auto" w:fill="auto"/>
          </w:tcPr>
          <w:p w14:paraId="1D0255EF" w14:textId="77777777" w:rsidR="004421F6" w:rsidRDefault="004421F6">
            <w:pPr>
              <w:rPr>
                <w:rFonts w:ascii="宋体"/>
              </w:rPr>
            </w:pPr>
          </w:p>
        </w:tc>
        <w:tc>
          <w:tcPr>
            <w:tcW w:w="5" w:type="pct"/>
            <w:shd w:val="clear" w:color="auto" w:fill="auto"/>
          </w:tcPr>
          <w:p w14:paraId="1D0255F0" w14:textId="77777777" w:rsidR="004421F6" w:rsidRDefault="004421F6">
            <w:pPr>
              <w:rPr>
                <w:rFonts w:ascii="宋体"/>
              </w:rPr>
            </w:pPr>
          </w:p>
        </w:tc>
      </w:tr>
      <w:tr w:rsidR="004421F6" w14:paraId="1D0255F6" w14:textId="77777777">
        <w:tc>
          <w:tcPr>
            <w:tcW w:w="0" w:type="auto"/>
            <w:gridSpan w:val="3"/>
            <w:shd w:val="clear" w:color="auto" w:fill="auto"/>
            <w:tcMar>
              <w:left w:w="20" w:type="dxa"/>
              <w:right w:w="20" w:type="dxa"/>
            </w:tcMar>
            <w:vAlign w:val="bottom"/>
          </w:tcPr>
          <w:p w14:paraId="1D0255F2" w14:textId="77777777" w:rsidR="004421F6" w:rsidRDefault="004421F6">
            <w:pPr>
              <w:rPr>
                <w:rFonts w:ascii="宋体"/>
              </w:rPr>
            </w:pPr>
          </w:p>
        </w:tc>
        <w:tc>
          <w:tcPr>
            <w:tcW w:w="0" w:type="auto"/>
            <w:gridSpan w:val="9"/>
            <w:shd w:val="clear" w:color="auto" w:fill="auto"/>
            <w:tcMar>
              <w:top w:w="40" w:type="dxa"/>
              <w:left w:w="20" w:type="dxa"/>
              <w:bottom w:w="40" w:type="dxa"/>
              <w:right w:w="20" w:type="dxa"/>
            </w:tcMar>
            <w:vAlign w:val="bottom"/>
          </w:tcPr>
          <w:p w14:paraId="1D0255F3" w14:textId="77777777" w:rsidR="004421F6" w:rsidRDefault="00F15622">
            <w:pPr>
              <w:jc w:val="center"/>
              <w:textAlignment w:val="bottom"/>
            </w:pPr>
            <w:r>
              <w:rPr>
                <w:rFonts w:ascii="sans-serif" w:eastAsia="sans-serif" w:hAnsi="sans-serif" w:cs="sans-serif"/>
                <w:b/>
                <w:bCs/>
                <w:color w:val="000000"/>
                <w:sz w:val="17"/>
                <w:szCs w:val="17"/>
              </w:rPr>
              <w:t>AUGUST 31, 2020</w:t>
            </w:r>
          </w:p>
        </w:tc>
        <w:tc>
          <w:tcPr>
            <w:tcW w:w="0" w:type="auto"/>
            <w:gridSpan w:val="3"/>
            <w:shd w:val="clear" w:color="auto" w:fill="auto"/>
          </w:tcPr>
          <w:p w14:paraId="1D0255F4" w14:textId="77777777" w:rsidR="004421F6" w:rsidRDefault="004421F6">
            <w:pPr>
              <w:rPr>
                <w:rFonts w:ascii="宋体"/>
                <w:vanish/>
              </w:rPr>
            </w:pPr>
          </w:p>
        </w:tc>
        <w:tc>
          <w:tcPr>
            <w:tcW w:w="0" w:type="auto"/>
            <w:gridSpan w:val="3"/>
            <w:shd w:val="clear" w:color="auto" w:fill="auto"/>
          </w:tcPr>
          <w:p w14:paraId="1D0255F5" w14:textId="77777777" w:rsidR="004421F6" w:rsidRDefault="004421F6">
            <w:pPr>
              <w:rPr>
                <w:rFonts w:ascii="宋体"/>
                <w:vanish/>
              </w:rPr>
            </w:pPr>
          </w:p>
        </w:tc>
      </w:tr>
      <w:tr w:rsidR="004421F6" w14:paraId="1D025601" w14:textId="77777777">
        <w:tc>
          <w:tcPr>
            <w:tcW w:w="0" w:type="auto"/>
            <w:gridSpan w:val="3"/>
            <w:shd w:val="clear" w:color="auto" w:fill="auto"/>
            <w:tcMar>
              <w:top w:w="40" w:type="dxa"/>
              <w:left w:w="20" w:type="dxa"/>
              <w:bottom w:w="40" w:type="dxa"/>
              <w:right w:w="20" w:type="dxa"/>
            </w:tcMar>
            <w:vAlign w:val="bottom"/>
          </w:tcPr>
          <w:p w14:paraId="1D0255F7"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5F8" w14:textId="77777777" w:rsidR="004421F6" w:rsidRDefault="00F15622">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5F9" w14:textId="77777777" w:rsidR="004421F6" w:rsidRDefault="00F15622">
            <w:pPr>
              <w:jc w:val="right"/>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5FA" w14:textId="77777777" w:rsidR="004421F6" w:rsidRDefault="00F15622">
            <w:pPr>
              <w:jc w:val="right"/>
              <w:textAlignment w:val="bottom"/>
            </w:pPr>
            <w:r>
              <w:rPr>
                <w:rFonts w:ascii="sans-serif" w:eastAsia="sans-serif" w:hAnsi="sans-serif" w:cs="sans-serif"/>
                <w:b/>
                <w:bCs/>
                <w:color w:val="000000"/>
                <w:sz w:val="17"/>
                <w:szCs w:val="17"/>
              </w:rPr>
              <w:t>SHORT-TERM INVESTMENTS</w:t>
            </w:r>
          </w:p>
        </w:tc>
        <w:tc>
          <w:tcPr>
            <w:tcW w:w="0" w:type="auto"/>
            <w:shd w:val="clear" w:color="auto" w:fill="auto"/>
          </w:tcPr>
          <w:p w14:paraId="1D0255FB" w14:textId="77777777" w:rsidR="004421F6" w:rsidRDefault="004421F6">
            <w:pPr>
              <w:rPr>
                <w:rFonts w:ascii="宋体"/>
              </w:rPr>
            </w:pPr>
          </w:p>
        </w:tc>
        <w:tc>
          <w:tcPr>
            <w:tcW w:w="0" w:type="auto"/>
            <w:shd w:val="clear" w:color="auto" w:fill="auto"/>
          </w:tcPr>
          <w:p w14:paraId="1D0255FC" w14:textId="77777777" w:rsidR="004421F6" w:rsidRDefault="004421F6">
            <w:pPr>
              <w:rPr>
                <w:rFonts w:ascii="宋体"/>
              </w:rPr>
            </w:pPr>
          </w:p>
        </w:tc>
        <w:tc>
          <w:tcPr>
            <w:tcW w:w="0" w:type="auto"/>
            <w:shd w:val="clear" w:color="auto" w:fill="auto"/>
          </w:tcPr>
          <w:p w14:paraId="1D0255FD" w14:textId="77777777" w:rsidR="004421F6" w:rsidRDefault="004421F6">
            <w:pPr>
              <w:rPr>
                <w:rFonts w:ascii="宋体"/>
              </w:rPr>
            </w:pPr>
          </w:p>
        </w:tc>
        <w:tc>
          <w:tcPr>
            <w:tcW w:w="0" w:type="auto"/>
            <w:shd w:val="clear" w:color="auto" w:fill="auto"/>
          </w:tcPr>
          <w:p w14:paraId="1D0255FE" w14:textId="77777777" w:rsidR="004421F6" w:rsidRDefault="004421F6">
            <w:pPr>
              <w:rPr>
                <w:rFonts w:ascii="宋体"/>
              </w:rPr>
            </w:pPr>
          </w:p>
        </w:tc>
        <w:tc>
          <w:tcPr>
            <w:tcW w:w="0" w:type="auto"/>
            <w:shd w:val="clear" w:color="auto" w:fill="auto"/>
          </w:tcPr>
          <w:p w14:paraId="1D0255FF" w14:textId="77777777" w:rsidR="004421F6" w:rsidRDefault="004421F6">
            <w:pPr>
              <w:rPr>
                <w:rFonts w:ascii="宋体"/>
              </w:rPr>
            </w:pPr>
          </w:p>
        </w:tc>
        <w:tc>
          <w:tcPr>
            <w:tcW w:w="0" w:type="auto"/>
            <w:shd w:val="clear" w:color="auto" w:fill="auto"/>
          </w:tcPr>
          <w:p w14:paraId="1D025600" w14:textId="77777777" w:rsidR="004421F6" w:rsidRDefault="004421F6">
            <w:pPr>
              <w:rPr>
                <w:rFonts w:ascii="宋体"/>
              </w:rPr>
            </w:pPr>
          </w:p>
        </w:tc>
      </w:tr>
      <w:tr w:rsidR="004421F6" w14:paraId="1D02561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602" w14:textId="77777777" w:rsidR="004421F6" w:rsidRDefault="00F15622">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FFF1E7"/>
            <w:tcMar>
              <w:top w:w="40" w:type="dxa"/>
              <w:left w:w="20" w:type="dxa"/>
              <w:bottom w:w="40" w:type="dxa"/>
            </w:tcMar>
            <w:vAlign w:val="bottom"/>
          </w:tcPr>
          <w:p w14:paraId="1D025603"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5604" w14:textId="77777777" w:rsidR="004421F6" w:rsidRDefault="00F15622">
            <w:pPr>
              <w:jc w:val="right"/>
              <w:textAlignment w:val="bottom"/>
            </w:pPr>
            <w:r>
              <w:rPr>
                <w:rFonts w:ascii="Arial" w:eastAsia="宋体" w:hAnsi="Arial" w:cs="Arial"/>
                <w:color w:val="000000"/>
                <w:sz w:val="17"/>
                <w:szCs w:val="17"/>
              </w:rPr>
              <w:t>542 </w:t>
            </w:r>
          </w:p>
        </w:tc>
        <w:tc>
          <w:tcPr>
            <w:tcW w:w="0" w:type="auto"/>
            <w:tcBorders>
              <w:top w:val="single" w:sz="8" w:space="0" w:color="E87722"/>
            </w:tcBorders>
            <w:shd w:val="clear" w:color="auto" w:fill="FFF1E7"/>
            <w:tcMar>
              <w:top w:w="40" w:type="dxa"/>
              <w:bottom w:w="40" w:type="dxa"/>
              <w:right w:w="20" w:type="dxa"/>
            </w:tcMar>
            <w:vAlign w:val="bottom"/>
          </w:tcPr>
          <w:p w14:paraId="1D025605" w14:textId="77777777" w:rsidR="004421F6" w:rsidRDefault="004421F6">
            <w:pPr>
              <w:jc w:val="right"/>
              <w:rPr>
                <w:rFonts w:ascii="宋体"/>
              </w:rPr>
            </w:pPr>
          </w:p>
        </w:tc>
        <w:tc>
          <w:tcPr>
            <w:tcW w:w="0" w:type="auto"/>
            <w:tcBorders>
              <w:top w:val="single" w:sz="8" w:space="0" w:color="E87722"/>
            </w:tcBorders>
            <w:shd w:val="clear" w:color="auto" w:fill="FFF1E7"/>
            <w:tcMar>
              <w:top w:w="40" w:type="dxa"/>
              <w:left w:w="20" w:type="dxa"/>
              <w:bottom w:w="40" w:type="dxa"/>
            </w:tcMar>
            <w:vAlign w:val="bottom"/>
          </w:tcPr>
          <w:p w14:paraId="1D025606"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5607" w14:textId="77777777" w:rsidR="004421F6" w:rsidRDefault="00F15622">
            <w:pPr>
              <w:jc w:val="right"/>
              <w:textAlignment w:val="bottom"/>
            </w:pPr>
            <w:r>
              <w:rPr>
                <w:rFonts w:ascii="Arial" w:eastAsia="宋体" w:hAnsi="Arial" w:cs="Arial"/>
                <w:color w:val="000000"/>
                <w:sz w:val="17"/>
                <w:szCs w:val="17"/>
              </w:rPr>
              <w:t>542 </w:t>
            </w:r>
          </w:p>
        </w:tc>
        <w:tc>
          <w:tcPr>
            <w:tcW w:w="0" w:type="auto"/>
            <w:tcBorders>
              <w:top w:val="single" w:sz="8" w:space="0" w:color="E87722"/>
            </w:tcBorders>
            <w:shd w:val="clear" w:color="auto" w:fill="FFF1E7"/>
            <w:tcMar>
              <w:top w:w="40" w:type="dxa"/>
              <w:bottom w:w="40" w:type="dxa"/>
              <w:right w:w="20" w:type="dxa"/>
            </w:tcMar>
            <w:vAlign w:val="bottom"/>
          </w:tcPr>
          <w:p w14:paraId="1D025608" w14:textId="77777777" w:rsidR="004421F6" w:rsidRDefault="004421F6">
            <w:pPr>
              <w:jc w:val="right"/>
              <w:rPr>
                <w:rFonts w:ascii="宋体"/>
              </w:rPr>
            </w:pPr>
          </w:p>
        </w:tc>
        <w:tc>
          <w:tcPr>
            <w:tcW w:w="0" w:type="auto"/>
            <w:tcBorders>
              <w:top w:val="single" w:sz="8" w:space="0" w:color="E87722"/>
            </w:tcBorders>
            <w:shd w:val="clear" w:color="auto" w:fill="FFF1E7"/>
            <w:tcMar>
              <w:top w:w="40" w:type="dxa"/>
              <w:left w:w="20" w:type="dxa"/>
              <w:bottom w:w="40" w:type="dxa"/>
            </w:tcMar>
            <w:vAlign w:val="bottom"/>
          </w:tcPr>
          <w:p w14:paraId="1D025609"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560A"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560B" w14:textId="77777777" w:rsidR="004421F6" w:rsidRDefault="004421F6">
            <w:pPr>
              <w:jc w:val="right"/>
              <w:rPr>
                <w:rFonts w:ascii="宋体"/>
              </w:rPr>
            </w:pPr>
          </w:p>
        </w:tc>
        <w:tc>
          <w:tcPr>
            <w:tcW w:w="0" w:type="auto"/>
            <w:shd w:val="clear" w:color="auto" w:fill="auto"/>
          </w:tcPr>
          <w:p w14:paraId="1D02560C" w14:textId="77777777" w:rsidR="004421F6" w:rsidRDefault="004421F6">
            <w:pPr>
              <w:rPr>
                <w:rFonts w:ascii="宋体"/>
              </w:rPr>
            </w:pPr>
          </w:p>
        </w:tc>
        <w:tc>
          <w:tcPr>
            <w:tcW w:w="0" w:type="auto"/>
            <w:shd w:val="clear" w:color="auto" w:fill="auto"/>
          </w:tcPr>
          <w:p w14:paraId="1D02560D" w14:textId="77777777" w:rsidR="004421F6" w:rsidRDefault="004421F6">
            <w:pPr>
              <w:rPr>
                <w:rFonts w:ascii="宋体"/>
              </w:rPr>
            </w:pPr>
          </w:p>
        </w:tc>
        <w:tc>
          <w:tcPr>
            <w:tcW w:w="0" w:type="auto"/>
            <w:shd w:val="clear" w:color="auto" w:fill="auto"/>
          </w:tcPr>
          <w:p w14:paraId="1D02560E" w14:textId="77777777" w:rsidR="004421F6" w:rsidRDefault="004421F6">
            <w:pPr>
              <w:rPr>
                <w:rFonts w:ascii="宋体"/>
              </w:rPr>
            </w:pPr>
          </w:p>
        </w:tc>
        <w:tc>
          <w:tcPr>
            <w:tcW w:w="0" w:type="auto"/>
            <w:shd w:val="clear" w:color="auto" w:fill="auto"/>
          </w:tcPr>
          <w:p w14:paraId="1D02560F" w14:textId="77777777" w:rsidR="004421F6" w:rsidRDefault="004421F6">
            <w:pPr>
              <w:rPr>
                <w:rFonts w:ascii="宋体"/>
              </w:rPr>
            </w:pPr>
          </w:p>
        </w:tc>
        <w:tc>
          <w:tcPr>
            <w:tcW w:w="0" w:type="auto"/>
            <w:shd w:val="clear" w:color="auto" w:fill="auto"/>
          </w:tcPr>
          <w:p w14:paraId="1D025610" w14:textId="77777777" w:rsidR="004421F6" w:rsidRDefault="004421F6">
            <w:pPr>
              <w:rPr>
                <w:rFonts w:ascii="宋体"/>
              </w:rPr>
            </w:pPr>
          </w:p>
        </w:tc>
        <w:tc>
          <w:tcPr>
            <w:tcW w:w="0" w:type="auto"/>
            <w:shd w:val="clear" w:color="auto" w:fill="auto"/>
          </w:tcPr>
          <w:p w14:paraId="1D025611" w14:textId="77777777" w:rsidR="004421F6" w:rsidRDefault="004421F6">
            <w:pPr>
              <w:rPr>
                <w:rFonts w:ascii="宋体"/>
              </w:rPr>
            </w:pPr>
          </w:p>
        </w:tc>
      </w:tr>
      <w:tr w:rsidR="004421F6" w14:paraId="1D02561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613" w14:textId="77777777" w:rsidR="004421F6" w:rsidRDefault="00F15622">
            <w:pPr>
              <w:textAlignment w:val="bottom"/>
            </w:pPr>
            <w:r>
              <w:rPr>
                <w:rFonts w:ascii="Arial" w:eastAsia="宋体" w:hAnsi="Arial" w:cs="Arial"/>
                <w:color w:val="000000"/>
                <w:sz w:val="17"/>
                <w:szCs w:val="17"/>
                <w:u w:val="single"/>
              </w:rPr>
              <w:t xml:space="preserve">Level </w:t>
            </w:r>
            <w:r>
              <w:rPr>
                <w:rFonts w:ascii="Arial" w:eastAsia="宋体" w:hAnsi="Arial" w:cs="Arial"/>
                <w:color w:val="000000"/>
                <w:sz w:val="17"/>
                <w:szCs w:val="17"/>
                <w:u w:val="single"/>
              </w:rPr>
              <w:t>1:</w:t>
            </w:r>
          </w:p>
        </w:tc>
        <w:tc>
          <w:tcPr>
            <w:tcW w:w="0" w:type="auto"/>
            <w:gridSpan w:val="3"/>
            <w:tcBorders>
              <w:top w:val="single" w:sz="8" w:space="0" w:color="808080"/>
            </w:tcBorders>
            <w:shd w:val="clear" w:color="auto" w:fill="FFF1E7"/>
            <w:tcMar>
              <w:left w:w="20" w:type="dxa"/>
              <w:right w:w="20" w:type="dxa"/>
            </w:tcMar>
            <w:vAlign w:val="bottom"/>
          </w:tcPr>
          <w:p w14:paraId="1D025614"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615"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616" w14:textId="77777777" w:rsidR="004421F6" w:rsidRDefault="004421F6">
            <w:pPr>
              <w:rPr>
                <w:rFonts w:ascii="宋体"/>
              </w:rPr>
            </w:pPr>
          </w:p>
        </w:tc>
        <w:tc>
          <w:tcPr>
            <w:tcW w:w="0" w:type="auto"/>
            <w:shd w:val="clear" w:color="auto" w:fill="auto"/>
          </w:tcPr>
          <w:p w14:paraId="1D025617" w14:textId="77777777" w:rsidR="004421F6" w:rsidRDefault="004421F6">
            <w:pPr>
              <w:rPr>
                <w:rFonts w:ascii="宋体"/>
              </w:rPr>
            </w:pPr>
          </w:p>
        </w:tc>
        <w:tc>
          <w:tcPr>
            <w:tcW w:w="0" w:type="auto"/>
            <w:shd w:val="clear" w:color="auto" w:fill="auto"/>
          </w:tcPr>
          <w:p w14:paraId="1D025618" w14:textId="77777777" w:rsidR="004421F6" w:rsidRDefault="004421F6">
            <w:pPr>
              <w:rPr>
                <w:rFonts w:ascii="宋体"/>
              </w:rPr>
            </w:pPr>
          </w:p>
        </w:tc>
        <w:tc>
          <w:tcPr>
            <w:tcW w:w="0" w:type="auto"/>
            <w:shd w:val="clear" w:color="auto" w:fill="auto"/>
          </w:tcPr>
          <w:p w14:paraId="1D025619" w14:textId="77777777" w:rsidR="004421F6" w:rsidRDefault="004421F6">
            <w:pPr>
              <w:rPr>
                <w:rFonts w:ascii="宋体"/>
              </w:rPr>
            </w:pPr>
          </w:p>
        </w:tc>
        <w:tc>
          <w:tcPr>
            <w:tcW w:w="0" w:type="auto"/>
            <w:shd w:val="clear" w:color="auto" w:fill="auto"/>
          </w:tcPr>
          <w:p w14:paraId="1D02561A" w14:textId="77777777" w:rsidR="004421F6" w:rsidRDefault="004421F6">
            <w:pPr>
              <w:rPr>
                <w:rFonts w:ascii="宋体"/>
              </w:rPr>
            </w:pPr>
          </w:p>
        </w:tc>
        <w:tc>
          <w:tcPr>
            <w:tcW w:w="0" w:type="auto"/>
            <w:shd w:val="clear" w:color="auto" w:fill="auto"/>
          </w:tcPr>
          <w:p w14:paraId="1D02561B" w14:textId="77777777" w:rsidR="004421F6" w:rsidRDefault="004421F6">
            <w:pPr>
              <w:rPr>
                <w:rFonts w:ascii="宋体"/>
              </w:rPr>
            </w:pPr>
          </w:p>
        </w:tc>
        <w:tc>
          <w:tcPr>
            <w:tcW w:w="0" w:type="auto"/>
            <w:shd w:val="clear" w:color="auto" w:fill="auto"/>
          </w:tcPr>
          <w:p w14:paraId="1D02561C" w14:textId="77777777" w:rsidR="004421F6" w:rsidRDefault="004421F6">
            <w:pPr>
              <w:rPr>
                <w:rFonts w:ascii="宋体"/>
              </w:rPr>
            </w:pPr>
          </w:p>
        </w:tc>
      </w:tr>
      <w:tr w:rsidR="004421F6" w14:paraId="1D02562B"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61E" w14:textId="77777777" w:rsidR="004421F6" w:rsidRDefault="00F15622">
            <w:pPr>
              <w:textAlignment w:val="bottom"/>
            </w:pPr>
            <w:r>
              <w:rPr>
                <w:rFonts w:ascii="Arial" w:eastAsia="宋体" w:hAnsi="Arial" w:cs="Arial"/>
                <w:color w:val="000000"/>
                <w:sz w:val="17"/>
                <w:szCs w:val="17"/>
              </w:rPr>
              <w:t>U.S. Treasury securities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61F" w14:textId="77777777" w:rsidR="004421F6" w:rsidRDefault="00F15622">
            <w:pPr>
              <w:jc w:val="right"/>
              <w:textAlignment w:val="bottom"/>
            </w:pPr>
            <w:r>
              <w:rPr>
                <w:rFonts w:ascii="Arial" w:eastAsia="宋体" w:hAnsi="Arial" w:cs="Arial"/>
                <w:color w:val="000000"/>
                <w:sz w:val="17"/>
                <w:szCs w:val="17"/>
              </w:rPr>
              <w:t>1,695 </w:t>
            </w:r>
          </w:p>
        </w:tc>
        <w:tc>
          <w:tcPr>
            <w:tcW w:w="0" w:type="auto"/>
            <w:tcBorders>
              <w:top w:val="single" w:sz="8" w:space="0" w:color="808080"/>
            </w:tcBorders>
            <w:shd w:val="clear" w:color="auto" w:fill="FFF1E7"/>
            <w:tcMar>
              <w:top w:w="40" w:type="dxa"/>
              <w:bottom w:w="40" w:type="dxa"/>
              <w:right w:w="20" w:type="dxa"/>
            </w:tcMar>
            <w:vAlign w:val="bottom"/>
          </w:tcPr>
          <w:p w14:paraId="1D025620"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621" w14:textId="77777777" w:rsidR="004421F6" w:rsidRDefault="00F15622">
            <w:pPr>
              <w:jc w:val="right"/>
              <w:textAlignment w:val="bottom"/>
            </w:pPr>
            <w:r>
              <w:rPr>
                <w:rFonts w:ascii="Arial" w:eastAsia="宋体" w:hAnsi="Arial" w:cs="Arial"/>
                <w:color w:val="000000"/>
                <w:sz w:val="17"/>
                <w:szCs w:val="17"/>
              </w:rPr>
              <w:t>400 </w:t>
            </w:r>
          </w:p>
        </w:tc>
        <w:tc>
          <w:tcPr>
            <w:tcW w:w="0" w:type="auto"/>
            <w:tcBorders>
              <w:top w:val="single" w:sz="8" w:space="0" w:color="808080"/>
            </w:tcBorders>
            <w:shd w:val="clear" w:color="auto" w:fill="FFF1E7"/>
            <w:tcMar>
              <w:top w:w="40" w:type="dxa"/>
              <w:bottom w:w="40" w:type="dxa"/>
              <w:right w:w="20" w:type="dxa"/>
            </w:tcMar>
            <w:vAlign w:val="bottom"/>
          </w:tcPr>
          <w:p w14:paraId="1D025622"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623" w14:textId="77777777" w:rsidR="004421F6" w:rsidRDefault="00F15622">
            <w:pPr>
              <w:jc w:val="right"/>
              <w:textAlignment w:val="bottom"/>
            </w:pPr>
            <w:r>
              <w:rPr>
                <w:rFonts w:ascii="Arial" w:eastAsia="宋体" w:hAnsi="Arial" w:cs="Arial"/>
                <w:color w:val="000000"/>
                <w:sz w:val="17"/>
                <w:szCs w:val="17"/>
              </w:rPr>
              <w:t>1,295 </w:t>
            </w:r>
          </w:p>
        </w:tc>
        <w:tc>
          <w:tcPr>
            <w:tcW w:w="0" w:type="auto"/>
            <w:tcBorders>
              <w:top w:val="single" w:sz="8" w:space="0" w:color="808080"/>
            </w:tcBorders>
            <w:shd w:val="clear" w:color="auto" w:fill="FFF1E7"/>
            <w:tcMar>
              <w:top w:w="40" w:type="dxa"/>
              <w:bottom w:w="40" w:type="dxa"/>
              <w:right w:w="20" w:type="dxa"/>
            </w:tcMar>
            <w:vAlign w:val="bottom"/>
          </w:tcPr>
          <w:p w14:paraId="1D025624" w14:textId="77777777" w:rsidR="004421F6" w:rsidRDefault="004421F6">
            <w:pPr>
              <w:jc w:val="right"/>
              <w:rPr>
                <w:rFonts w:ascii="宋体"/>
              </w:rPr>
            </w:pPr>
          </w:p>
        </w:tc>
        <w:tc>
          <w:tcPr>
            <w:tcW w:w="0" w:type="auto"/>
            <w:shd w:val="clear" w:color="auto" w:fill="auto"/>
          </w:tcPr>
          <w:p w14:paraId="1D025625" w14:textId="77777777" w:rsidR="004421F6" w:rsidRDefault="004421F6">
            <w:pPr>
              <w:rPr>
                <w:rFonts w:ascii="宋体"/>
              </w:rPr>
            </w:pPr>
          </w:p>
        </w:tc>
        <w:tc>
          <w:tcPr>
            <w:tcW w:w="0" w:type="auto"/>
            <w:shd w:val="clear" w:color="auto" w:fill="auto"/>
          </w:tcPr>
          <w:p w14:paraId="1D025626" w14:textId="77777777" w:rsidR="004421F6" w:rsidRDefault="004421F6">
            <w:pPr>
              <w:rPr>
                <w:rFonts w:ascii="宋体"/>
              </w:rPr>
            </w:pPr>
          </w:p>
        </w:tc>
        <w:tc>
          <w:tcPr>
            <w:tcW w:w="0" w:type="auto"/>
            <w:shd w:val="clear" w:color="auto" w:fill="auto"/>
          </w:tcPr>
          <w:p w14:paraId="1D025627" w14:textId="77777777" w:rsidR="004421F6" w:rsidRDefault="004421F6">
            <w:pPr>
              <w:rPr>
                <w:rFonts w:ascii="宋体"/>
              </w:rPr>
            </w:pPr>
          </w:p>
        </w:tc>
        <w:tc>
          <w:tcPr>
            <w:tcW w:w="0" w:type="auto"/>
            <w:shd w:val="clear" w:color="auto" w:fill="auto"/>
          </w:tcPr>
          <w:p w14:paraId="1D025628" w14:textId="77777777" w:rsidR="004421F6" w:rsidRDefault="004421F6">
            <w:pPr>
              <w:rPr>
                <w:rFonts w:ascii="宋体"/>
              </w:rPr>
            </w:pPr>
          </w:p>
        </w:tc>
        <w:tc>
          <w:tcPr>
            <w:tcW w:w="0" w:type="auto"/>
            <w:shd w:val="clear" w:color="auto" w:fill="auto"/>
          </w:tcPr>
          <w:p w14:paraId="1D025629" w14:textId="77777777" w:rsidR="004421F6" w:rsidRDefault="004421F6">
            <w:pPr>
              <w:rPr>
                <w:rFonts w:ascii="宋体"/>
              </w:rPr>
            </w:pPr>
          </w:p>
        </w:tc>
        <w:tc>
          <w:tcPr>
            <w:tcW w:w="0" w:type="auto"/>
            <w:shd w:val="clear" w:color="auto" w:fill="auto"/>
          </w:tcPr>
          <w:p w14:paraId="1D02562A" w14:textId="77777777" w:rsidR="004421F6" w:rsidRDefault="004421F6">
            <w:pPr>
              <w:rPr>
                <w:rFonts w:ascii="宋体"/>
              </w:rPr>
            </w:pPr>
          </w:p>
        </w:tc>
      </w:tr>
      <w:tr w:rsidR="004421F6" w14:paraId="1D025636"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62C" w14:textId="77777777" w:rsidR="004421F6" w:rsidRDefault="00F15622">
            <w:pPr>
              <w:textAlignment w:val="bottom"/>
            </w:pPr>
            <w:r>
              <w:rPr>
                <w:rFonts w:ascii="Arial" w:eastAsia="宋体" w:hAnsi="Arial" w:cs="Arial"/>
                <w:color w:val="000000"/>
                <w:sz w:val="17"/>
                <w:szCs w:val="17"/>
                <w:u w:val="single"/>
              </w:rPr>
              <w:t>Level 2:</w:t>
            </w:r>
          </w:p>
        </w:tc>
        <w:tc>
          <w:tcPr>
            <w:tcW w:w="0" w:type="auto"/>
            <w:gridSpan w:val="3"/>
            <w:tcBorders>
              <w:top w:val="single" w:sz="8" w:space="0" w:color="808080"/>
            </w:tcBorders>
            <w:shd w:val="clear" w:color="auto" w:fill="FFF1E7"/>
            <w:tcMar>
              <w:left w:w="20" w:type="dxa"/>
              <w:right w:w="20" w:type="dxa"/>
            </w:tcMar>
            <w:vAlign w:val="bottom"/>
          </w:tcPr>
          <w:p w14:paraId="1D02562D"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62E" w14:textId="77777777" w:rsidR="004421F6" w:rsidRDefault="004421F6">
            <w:pPr>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62F" w14:textId="77777777" w:rsidR="004421F6" w:rsidRDefault="004421F6">
            <w:pPr>
              <w:rPr>
                <w:rFonts w:ascii="宋体"/>
              </w:rPr>
            </w:pPr>
          </w:p>
        </w:tc>
        <w:tc>
          <w:tcPr>
            <w:tcW w:w="0" w:type="auto"/>
            <w:shd w:val="clear" w:color="auto" w:fill="auto"/>
          </w:tcPr>
          <w:p w14:paraId="1D025630" w14:textId="77777777" w:rsidR="004421F6" w:rsidRDefault="004421F6">
            <w:pPr>
              <w:rPr>
                <w:rFonts w:ascii="宋体"/>
              </w:rPr>
            </w:pPr>
          </w:p>
        </w:tc>
        <w:tc>
          <w:tcPr>
            <w:tcW w:w="0" w:type="auto"/>
            <w:shd w:val="clear" w:color="auto" w:fill="auto"/>
          </w:tcPr>
          <w:p w14:paraId="1D025631" w14:textId="77777777" w:rsidR="004421F6" w:rsidRDefault="004421F6">
            <w:pPr>
              <w:rPr>
                <w:rFonts w:ascii="宋体"/>
              </w:rPr>
            </w:pPr>
          </w:p>
        </w:tc>
        <w:tc>
          <w:tcPr>
            <w:tcW w:w="0" w:type="auto"/>
            <w:shd w:val="clear" w:color="auto" w:fill="auto"/>
          </w:tcPr>
          <w:p w14:paraId="1D025632" w14:textId="77777777" w:rsidR="004421F6" w:rsidRDefault="004421F6">
            <w:pPr>
              <w:rPr>
                <w:rFonts w:ascii="宋体"/>
              </w:rPr>
            </w:pPr>
          </w:p>
        </w:tc>
        <w:tc>
          <w:tcPr>
            <w:tcW w:w="0" w:type="auto"/>
            <w:shd w:val="clear" w:color="auto" w:fill="auto"/>
          </w:tcPr>
          <w:p w14:paraId="1D025633" w14:textId="77777777" w:rsidR="004421F6" w:rsidRDefault="004421F6">
            <w:pPr>
              <w:rPr>
                <w:rFonts w:ascii="宋体"/>
              </w:rPr>
            </w:pPr>
          </w:p>
        </w:tc>
        <w:tc>
          <w:tcPr>
            <w:tcW w:w="0" w:type="auto"/>
            <w:shd w:val="clear" w:color="auto" w:fill="auto"/>
          </w:tcPr>
          <w:p w14:paraId="1D025634" w14:textId="77777777" w:rsidR="004421F6" w:rsidRDefault="004421F6">
            <w:pPr>
              <w:rPr>
                <w:rFonts w:ascii="宋体"/>
              </w:rPr>
            </w:pPr>
          </w:p>
        </w:tc>
        <w:tc>
          <w:tcPr>
            <w:tcW w:w="0" w:type="auto"/>
            <w:shd w:val="clear" w:color="auto" w:fill="auto"/>
          </w:tcPr>
          <w:p w14:paraId="1D025635" w14:textId="77777777" w:rsidR="004421F6" w:rsidRDefault="004421F6">
            <w:pPr>
              <w:rPr>
                <w:rFonts w:ascii="宋体"/>
              </w:rPr>
            </w:pPr>
          </w:p>
        </w:tc>
      </w:tr>
      <w:tr w:rsidR="004421F6" w14:paraId="1D025644"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637" w14:textId="77777777" w:rsidR="004421F6" w:rsidRDefault="00F15622">
            <w:pPr>
              <w:textAlignment w:val="bottom"/>
            </w:pPr>
            <w:r>
              <w:rPr>
                <w:rFonts w:ascii="Arial" w:eastAsia="宋体" w:hAnsi="Arial" w:cs="Arial"/>
                <w:color w:val="000000"/>
                <w:sz w:val="17"/>
                <w:szCs w:val="17"/>
              </w:rPr>
              <w:t>Commercial paper and bonds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638" w14:textId="77777777" w:rsidR="004421F6" w:rsidRDefault="00F15622">
            <w:pPr>
              <w:jc w:val="right"/>
              <w:textAlignment w:val="bottom"/>
            </w:pPr>
            <w:r>
              <w:rPr>
                <w:rFonts w:ascii="Arial" w:eastAsia="宋体" w:hAnsi="Arial" w:cs="Arial"/>
                <w:color w:val="000000"/>
                <w:sz w:val="17"/>
                <w:szCs w:val="17"/>
              </w:rPr>
              <w:t>33 </w:t>
            </w:r>
          </w:p>
        </w:tc>
        <w:tc>
          <w:tcPr>
            <w:tcW w:w="0" w:type="auto"/>
            <w:tcBorders>
              <w:top w:val="single" w:sz="8" w:space="0" w:color="808080"/>
            </w:tcBorders>
            <w:shd w:val="clear" w:color="auto" w:fill="FFF1E7"/>
            <w:tcMar>
              <w:top w:w="40" w:type="dxa"/>
              <w:bottom w:w="40" w:type="dxa"/>
              <w:right w:w="20" w:type="dxa"/>
            </w:tcMar>
            <w:vAlign w:val="bottom"/>
          </w:tcPr>
          <w:p w14:paraId="1D025639"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63A"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563B"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63C" w14:textId="77777777" w:rsidR="004421F6" w:rsidRDefault="00F15622">
            <w:pPr>
              <w:jc w:val="right"/>
              <w:textAlignment w:val="bottom"/>
            </w:pPr>
            <w:r>
              <w:rPr>
                <w:rFonts w:ascii="Arial" w:eastAsia="宋体" w:hAnsi="Arial" w:cs="Arial"/>
                <w:color w:val="000000"/>
                <w:sz w:val="17"/>
                <w:szCs w:val="17"/>
              </w:rPr>
              <w:t>33 </w:t>
            </w:r>
          </w:p>
        </w:tc>
        <w:tc>
          <w:tcPr>
            <w:tcW w:w="0" w:type="auto"/>
            <w:tcBorders>
              <w:top w:val="single" w:sz="8" w:space="0" w:color="808080"/>
            </w:tcBorders>
            <w:shd w:val="clear" w:color="auto" w:fill="FFF1E7"/>
            <w:tcMar>
              <w:top w:w="40" w:type="dxa"/>
              <w:bottom w:w="40" w:type="dxa"/>
              <w:right w:w="20" w:type="dxa"/>
            </w:tcMar>
            <w:vAlign w:val="bottom"/>
          </w:tcPr>
          <w:p w14:paraId="1D02563D" w14:textId="77777777" w:rsidR="004421F6" w:rsidRDefault="004421F6">
            <w:pPr>
              <w:jc w:val="right"/>
              <w:rPr>
                <w:rFonts w:ascii="宋体"/>
              </w:rPr>
            </w:pPr>
          </w:p>
        </w:tc>
        <w:tc>
          <w:tcPr>
            <w:tcW w:w="0" w:type="auto"/>
            <w:shd w:val="clear" w:color="auto" w:fill="auto"/>
          </w:tcPr>
          <w:p w14:paraId="1D02563E" w14:textId="77777777" w:rsidR="004421F6" w:rsidRDefault="004421F6">
            <w:pPr>
              <w:rPr>
                <w:rFonts w:ascii="宋体"/>
              </w:rPr>
            </w:pPr>
          </w:p>
        </w:tc>
        <w:tc>
          <w:tcPr>
            <w:tcW w:w="0" w:type="auto"/>
            <w:shd w:val="clear" w:color="auto" w:fill="auto"/>
          </w:tcPr>
          <w:p w14:paraId="1D02563F" w14:textId="77777777" w:rsidR="004421F6" w:rsidRDefault="004421F6">
            <w:pPr>
              <w:rPr>
                <w:rFonts w:ascii="宋体"/>
              </w:rPr>
            </w:pPr>
          </w:p>
        </w:tc>
        <w:tc>
          <w:tcPr>
            <w:tcW w:w="0" w:type="auto"/>
            <w:shd w:val="clear" w:color="auto" w:fill="auto"/>
          </w:tcPr>
          <w:p w14:paraId="1D025640" w14:textId="77777777" w:rsidR="004421F6" w:rsidRDefault="004421F6">
            <w:pPr>
              <w:rPr>
                <w:rFonts w:ascii="宋体"/>
              </w:rPr>
            </w:pPr>
          </w:p>
        </w:tc>
        <w:tc>
          <w:tcPr>
            <w:tcW w:w="0" w:type="auto"/>
            <w:shd w:val="clear" w:color="auto" w:fill="auto"/>
          </w:tcPr>
          <w:p w14:paraId="1D025641" w14:textId="77777777" w:rsidR="004421F6" w:rsidRDefault="004421F6">
            <w:pPr>
              <w:rPr>
                <w:rFonts w:ascii="宋体"/>
              </w:rPr>
            </w:pPr>
          </w:p>
        </w:tc>
        <w:tc>
          <w:tcPr>
            <w:tcW w:w="0" w:type="auto"/>
            <w:shd w:val="clear" w:color="auto" w:fill="auto"/>
          </w:tcPr>
          <w:p w14:paraId="1D025642" w14:textId="77777777" w:rsidR="004421F6" w:rsidRDefault="004421F6">
            <w:pPr>
              <w:rPr>
                <w:rFonts w:ascii="宋体"/>
              </w:rPr>
            </w:pPr>
          </w:p>
        </w:tc>
        <w:tc>
          <w:tcPr>
            <w:tcW w:w="0" w:type="auto"/>
            <w:shd w:val="clear" w:color="auto" w:fill="auto"/>
          </w:tcPr>
          <w:p w14:paraId="1D025643" w14:textId="77777777" w:rsidR="004421F6" w:rsidRDefault="004421F6">
            <w:pPr>
              <w:rPr>
                <w:rFonts w:ascii="宋体"/>
              </w:rPr>
            </w:pPr>
          </w:p>
        </w:tc>
      </w:tr>
      <w:tr w:rsidR="004421F6" w14:paraId="1D025652"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645" w14:textId="77777777" w:rsidR="004421F6" w:rsidRDefault="00F15622">
            <w:pPr>
              <w:textAlignment w:val="bottom"/>
            </w:pPr>
            <w:r>
              <w:rPr>
                <w:rFonts w:ascii="Arial" w:eastAsia="宋体" w:hAnsi="Arial" w:cs="Arial"/>
                <w:color w:val="000000"/>
                <w:sz w:val="17"/>
                <w:szCs w:val="17"/>
              </w:rPr>
              <w:t>Money market funds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646" w14:textId="77777777" w:rsidR="004421F6" w:rsidRDefault="00F15622">
            <w:pPr>
              <w:jc w:val="right"/>
              <w:textAlignment w:val="bottom"/>
            </w:pPr>
            <w:r>
              <w:rPr>
                <w:rFonts w:ascii="Arial" w:eastAsia="宋体" w:hAnsi="Arial" w:cs="Arial"/>
                <w:color w:val="000000"/>
                <w:sz w:val="17"/>
                <w:szCs w:val="17"/>
              </w:rPr>
              <w:t>6,340 </w:t>
            </w:r>
          </w:p>
        </w:tc>
        <w:tc>
          <w:tcPr>
            <w:tcW w:w="0" w:type="auto"/>
            <w:tcBorders>
              <w:top w:val="single" w:sz="8" w:space="0" w:color="808080"/>
            </w:tcBorders>
            <w:shd w:val="clear" w:color="auto" w:fill="FFF1E7"/>
            <w:tcMar>
              <w:top w:w="40" w:type="dxa"/>
              <w:bottom w:w="40" w:type="dxa"/>
              <w:right w:w="20" w:type="dxa"/>
            </w:tcMar>
            <w:vAlign w:val="bottom"/>
          </w:tcPr>
          <w:p w14:paraId="1D025647"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648" w14:textId="77777777" w:rsidR="004421F6" w:rsidRDefault="00F15622">
            <w:pPr>
              <w:jc w:val="right"/>
              <w:textAlignment w:val="bottom"/>
            </w:pPr>
            <w:r>
              <w:rPr>
                <w:rFonts w:ascii="Arial" w:eastAsia="宋体" w:hAnsi="Arial" w:cs="Arial"/>
                <w:color w:val="000000"/>
                <w:sz w:val="17"/>
                <w:szCs w:val="17"/>
              </w:rPr>
              <w:t>6,340 </w:t>
            </w:r>
          </w:p>
        </w:tc>
        <w:tc>
          <w:tcPr>
            <w:tcW w:w="0" w:type="auto"/>
            <w:tcBorders>
              <w:top w:val="single" w:sz="8" w:space="0" w:color="808080"/>
            </w:tcBorders>
            <w:shd w:val="clear" w:color="auto" w:fill="FFF1E7"/>
            <w:tcMar>
              <w:top w:w="40" w:type="dxa"/>
              <w:bottom w:w="40" w:type="dxa"/>
              <w:right w:w="20" w:type="dxa"/>
            </w:tcMar>
            <w:vAlign w:val="bottom"/>
          </w:tcPr>
          <w:p w14:paraId="1D025649"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64A"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564B" w14:textId="77777777" w:rsidR="004421F6" w:rsidRDefault="004421F6">
            <w:pPr>
              <w:jc w:val="right"/>
              <w:rPr>
                <w:rFonts w:ascii="宋体"/>
              </w:rPr>
            </w:pPr>
          </w:p>
        </w:tc>
        <w:tc>
          <w:tcPr>
            <w:tcW w:w="0" w:type="auto"/>
            <w:shd w:val="clear" w:color="auto" w:fill="auto"/>
          </w:tcPr>
          <w:p w14:paraId="1D02564C" w14:textId="77777777" w:rsidR="004421F6" w:rsidRDefault="004421F6">
            <w:pPr>
              <w:rPr>
                <w:rFonts w:ascii="宋体"/>
              </w:rPr>
            </w:pPr>
          </w:p>
        </w:tc>
        <w:tc>
          <w:tcPr>
            <w:tcW w:w="0" w:type="auto"/>
            <w:shd w:val="clear" w:color="auto" w:fill="auto"/>
          </w:tcPr>
          <w:p w14:paraId="1D02564D" w14:textId="77777777" w:rsidR="004421F6" w:rsidRDefault="004421F6">
            <w:pPr>
              <w:rPr>
                <w:rFonts w:ascii="宋体"/>
              </w:rPr>
            </w:pPr>
          </w:p>
        </w:tc>
        <w:tc>
          <w:tcPr>
            <w:tcW w:w="0" w:type="auto"/>
            <w:shd w:val="clear" w:color="auto" w:fill="auto"/>
          </w:tcPr>
          <w:p w14:paraId="1D02564E" w14:textId="77777777" w:rsidR="004421F6" w:rsidRDefault="004421F6">
            <w:pPr>
              <w:rPr>
                <w:rFonts w:ascii="宋体"/>
              </w:rPr>
            </w:pPr>
          </w:p>
        </w:tc>
        <w:tc>
          <w:tcPr>
            <w:tcW w:w="0" w:type="auto"/>
            <w:shd w:val="clear" w:color="auto" w:fill="auto"/>
          </w:tcPr>
          <w:p w14:paraId="1D02564F" w14:textId="77777777" w:rsidR="004421F6" w:rsidRDefault="004421F6">
            <w:pPr>
              <w:rPr>
                <w:rFonts w:ascii="宋体"/>
              </w:rPr>
            </w:pPr>
          </w:p>
        </w:tc>
        <w:tc>
          <w:tcPr>
            <w:tcW w:w="0" w:type="auto"/>
            <w:shd w:val="clear" w:color="auto" w:fill="auto"/>
          </w:tcPr>
          <w:p w14:paraId="1D025650" w14:textId="77777777" w:rsidR="004421F6" w:rsidRDefault="004421F6">
            <w:pPr>
              <w:rPr>
                <w:rFonts w:ascii="宋体"/>
              </w:rPr>
            </w:pPr>
          </w:p>
        </w:tc>
        <w:tc>
          <w:tcPr>
            <w:tcW w:w="0" w:type="auto"/>
            <w:shd w:val="clear" w:color="auto" w:fill="auto"/>
          </w:tcPr>
          <w:p w14:paraId="1D025651" w14:textId="77777777" w:rsidR="004421F6" w:rsidRDefault="004421F6">
            <w:pPr>
              <w:rPr>
                <w:rFonts w:ascii="宋体"/>
              </w:rPr>
            </w:pPr>
          </w:p>
        </w:tc>
      </w:tr>
      <w:tr w:rsidR="004421F6" w14:paraId="1D025660"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653" w14:textId="77777777" w:rsidR="004421F6" w:rsidRDefault="00F15622">
            <w:pPr>
              <w:textAlignment w:val="bottom"/>
            </w:pPr>
            <w:r>
              <w:rPr>
                <w:rFonts w:ascii="Arial" w:eastAsia="宋体" w:hAnsi="Arial" w:cs="Arial"/>
                <w:color w:val="000000"/>
                <w:sz w:val="17"/>
                <w:szCs w:val="17"/>
              </w:rPr>
              <w:t>Time deposits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654" w14:textId="77777777" w:rsidR="004421F6" w:rsidRDefault="00F15622">
            <w:pPr>
              <w:jc w:val="right"/>
              <w:textAlignment w:val="bottom"/>
            </w:pPr>
            <w:r>
              <w:rPr>
                <w:rFonts w:ascii="Arial" w:eastAsia="宋体" w:hAnsi="Arial" w:cs="Arial"/>
                <w:color w:val="000000"/>
                <w:sz w:val="17"/>
                <w:szCs w:val="17"/>
              </w:rPr>
              <w:t>867 </w:t>
            </w:r>
          </w:p>
        </w:tc>
        <w:tc>
          <w:tcPr>
            <w:tcW w:w="0" w:type="auto"/>
            <w:tcBorders>
              <w:top w:val="single" w:sz="8" w:space="0" w:color="808080"/>
            </w:tcBorders>
            <w:shd w:val="clear" w:color="auto" w:fill="FFF1E7"/>
            <w:tcMar>
              <w:top w:w="40" w:type="dxa"/>
              <w:bottom w:w="40" w:type="dxa"/>
              <w:right w:w="20" w:type="dxa"/>
            </w:tcMar>
            <w:vAlign w:val="bottom"/>
          </w:tcPr>
          <w:p w14:paraId="1D025655"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656" w14:textId="77777777" w:rsidR="004421F6" w:rsidRDefault="00F15622">
            <w:pPr>
              <w:jc w:val="right"/>
              <w:textAlignment w:val="bottom"/>
            </w:pPr>
            <w:r>
              <w:rPr>
                <w:rFonts w:ascii="Arial" w:eastAsia="宋体" w:hAnsi="Arial" w:cs="Arial"/>
                <w:color w:val="000000"/>
                <w:sz w:val="17"/>
                <w:szCs w:val="17"/>
              </w:rPr>
              <w:t>866 </w:t>
            </w:r>
          </w:p>
        </w:tc>
        <w:tc>
          <w:tcPr>
            <w:tcW w:w="0" w:type="auto"/>
            <w:tcBorders>
              <w:top w:val="single" w:sz="8" w:space="0" w:color="808080"/>
            </w:tcBorders>
            <w:shd w:val="clear" w:color="auto" w:fill="FFF1E7"/>
            <w:tcMar>
              <w:top w:w="40" w:type="dxa"/>
              <w:bottom w:w="40" w:type="dxa"/>
              <w:right w:w="20" w:type="dxa"/>
            </w:tcMar>
            <w:vAlign w:val="bottom"/>
          </w:tcPr>
          <w:p w14:paraId="1D025657"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658"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bottom w:w="40" w:type="dxa"/>
              <w:right w:w="20" w:type="dxa"/>
            </w:tcMar>
            <w:vAlign w:val="bottom"/>
          </w:tcPr>
          <w:p w14:paraId="1D025659" w14:textId="77777777" w:rsidR="004421F6" w:rsidRDefault="004421F6">
            <w:pPr>
              <w:jc w:val="right"/>
              <w:rPr>
                <w:rFonts w:ascii="宋体"/>
              </w:rPr>
            </w:pPr>
          </w:p>
        </w:tc>
        <w:tc>
          <w:tcPr>
            <w:tcW w:w="0" w:type="auto"/>
            <w:shd w:val="clear" w:color="auto" w:fill="auto"/>
          </w:tcPr>
          <w:p w14:paraId="1D02565A" w14:textId="77777777" w:rsidR="004421F6" w:rsidRDefault="004421F6">
            <w:pPr>
              <w:rPr>
                <w:rFonts w:ascii="宋体"/>
              </w:rPr>
            </w:pPr>
          </w:p>
        </w:tc>
        <w:tc>
          <w:tcPr>
            <w:tcW w:w="0" w:type="auto"/>
            <w:shd w:val="clear" w:color="auto" w:fill="auto"/>
          </w:tcPr>
          <w:p w14:paraId="1D02565B" w14:textId="77777777" w:rsidR="004421F6" w:rsidRDefault="004421F6">
            <w:pPr>
              <w:rPr>
                <w:rFonts w:ascii="宋体"/>
              </w:rPr>
            </w:pPr>
          </w:p>
        </w:tc>
        <w:tc>
          <w:tcPr>
            <w:tcW w:w="0" w:type="auto"/>
            <w:shd w:val="clear" w:color="auto" w:fill="auto"/>
          </w:tcPr>
          <w:p w14:paraId="1D02565C" w14:textId="77777777" w:rsidR="004421F6" w:rsidRDefault="004421F6">
            <w:pPr>
              <w:rPr>
                <w:rFonts w:ascii="宋体"/>
              </w:rPr>
            </w:pPr>
          </w:p>
        </w:tc>
        <w:tc>
          <w:tcPr>
            <w:tcW w:w="0" w:type="auto"/>
            <w:shd w:val="clear" w:color="auto" w:fill="auto"/>
          </w:tcPr>
          <w:p w14:paraId="1D02565D" w14:textId="77777777" w:rsidR="004421F6" w:rsidRDefault="004421F6">
            <w:pPr>
              <w:rPr>
                <w:rFonts w:ascii="宋体"/>
              </w:rPr>
            </w:pPr>
          </w:p>
        </w:tc>
        <w:tc>
          <w:tcPr>
            <w:tcW w:w="0" w:type="auto"/>
            <w:shd w:val="clear" w:color="auto" w:fill="auto"/>
          </w:tcPr>
          <w:p w14:paraId="1D02565E" w14:textId="77777777" w:rsidR="004421F6" w:rsidRDefault="004421F6">
            <w:pPr>
              <w:rPr>
                <w:rFonts w:ascii="宋体"/>
              </w:rPr>
            </w:pPr>
          </w:p>
        </w:tc>
        <w:tc>
          <w:tcPr>
            <w:tcW w:w="0" w:type="auto"/>
            <w:shd w:val="clear" w:color="auto" w:fill="auto"/>
          </w:tcPr>
          <w:p w14:paraId="1D02565F" w14:textId="77777777" w:rsidR="004421F6" w:rsidRDefault="004421F6">
            <w:pPr>
              <w:rPr>
                <w:rFonts w:ascii="宋体"/>
              </w:rPr>
            </w:pPr>
          </w:p>
        </w:tc>
      </w:tr>
      <w:tr w:rsidR="004421F6" w14:paraId="1D02566E"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661" w14:textId="77777777" w:rsidR="004421F6" w:rsidRDefault="00F15622">
            <w:pPr>
              <w:textAlignment w:val="bottom"/>
            </w:pPr>
            <w:r>
              <w:rPr>
                <w:rFonts w:ascii="Arial" w:eastAsia="宋体" w:hAnsi="Arial" w:cs="Arial"/>
                <w:color w:val="000000"/>
                <w:sz w:val="17"/>
                <w:szCs w:val="17"/>
              </w:rPr>
              <w:t>U.S. Agency securities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662" w14:textId="77777777" w:rsidR="004421F6" w:rsidRDefault="00F1562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FFF1E7"/>
            <w:tcMar>
              <w:top w:w="40" w:type="dxa"/>
              <w:bottom w:w="40" w:type="dxa"/>
              <w:right w:w="20" w:type="dxa"/>
            </w:tcMar>
            <w:vAlign w:val="bottom"/>
          </w:tcPr>
          <w:p w14:paraId="1D025663"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664"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5665"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666" w14:textId="77777777" w:rsidR="004421F6" w:rsidRDefault="00F1562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FFF1E7"/>
            <w:tcMar>
              <w:top w:w="40" w:type="dxa"/>
              <w:bottom w:w="40" w:type="dxa"/>
              <w:right w:w="20" w:type="dxa"/>
            </w:tcMar>
            <w:vAlign w:val="bottom"/>
          </w:tcPr>
          <w:p w14:paraId="1D025667" w14:textId="77777777" w:rsidR="004421F6" w:rsidRDefault="004421F6">
            <w:pPr>
              <w:jc w:val="right"/>
              <w:rPr>
                <w:rFonts w:ascii="宋体"/>
              </w:rPr>
            </w:pPr>
          </w:p>
        </w:tc>
        <w:tc>
          <w:tcPr>
            <w:tcW w:w="0" w:type="auto"/>
            <w:shd w:val="clear" w:color="auto" w:fill="auto"/>
          </w:tcPr>
          <w:p w14:paraId="1D025668" w14:textId="77777777" w:rsidR="004421F6" w:rsidRDefault="004421F6">
            <w:pPr>
              <w:rPr>
                <w:rFonts w:ascii="宋体"/>
              </w:rPr>
            </w:pPr>
          </w:p>
        </w:tc>
        <w:tc>
          <w:tcPr>
            <w:tcW w:w="0" w:type="auto"/>
            <w:shd w:val="clear" w:color="auto" w:fill="auto"/>
          </w:tcPr>
          <w:p w14:paraId="1D025669" w14:textId="77777777" w:rsidR="004421F6" w:rsidRDefault="004421F6">
            <w:pPr>
              <w:rPr>
                <w:rFonts w:ascii="宋体"/>
              </w:rPr>
            </w:pPr>
          </w:p>
        </w:tc>
        <w:tc>
          <w:tcPr>
            <w:tcW w:w="0" w:type="auto"/>
            <w:shd w:val="clear" w:color="auto" w:fill="auto"/>
          </w:tcPr>
          <w:p w14:paraId="1D02566A" w14:textId="77777777" w:rsidR="004421F6" w:rsidRDefault="004421F6">
            <w:pPr>
              <w:rPr>
                <w:rFonts w:ascii="宋体"/>
              </w:rPr>
            </w:pPr>
          </w:p>
        </w:tc>
        <w:tc>
          <w:tcPr>
            <w:tcW w:w="0" w:type="auto"/>
            <w:shd w:val="clear" w:color="auto" w:fill="auto"/>
          </w:tcPr>
          <w:p w14:paraId="1D02566B" w14:textId="77777777" w:rsidR="004421F6" w:rsidRDefault="004421F6">
            <w:pPr>
              <w:rPr>
                <w:rFonts w:ascii="宋体"/>
              </w:rPr>
            </w:pPr>
          </w:p>
        </w:tc>
        <w:tc>
          <w:tcPr>
            <w:tcW w:w="0" w:type="auto"/>
            <w:shd w:val="clear" w:color="auto" w:fill="auto"/>
          </w:tcPr>
          <w:p w14:paraId="1D02566C" w14:textId="77777777" w:rsidR="004421F6" w:rsidRDefault="004421F6">
            <w:pPr>
              <w:rPr>
                <w:rFonts w:ascii="宋体"/>
              </w:rPr>
            </w:pPr>
          </w:p>
        </w:tc>
        <w:tc>
          <w:tcPr>
            <w:tcW w:w="0" w:type="auto"/>
            <w:shd w:val="clear" w:color="auto" w:fill="auto"/>
          </w:tcPr>
          <w:p w14:paraId="1D02566D" w14:textId="77777777" w:rsidR="004421F6" w:rsidRDefault="004421F6">
            <w:pPr>
              <w:rPr>
                <w:rFonts w:ascii="宋体"/>
              </w:rPr>
            </w:pPr>
          </w:p>
        </w:tc>
      </w:tr>
      <w:tr w:rsidR="004421F6" w14:paraId="1D02567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66F" w14:textId="77777777" w:rsidR="004421F6" w:rsidRDefault="00F15622">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670" w14:textId="77777777" w:rsidR="004421F6" w:rsidRDefault="00F15622">
            <w:pPr>
              <w:jc w:val="right"/>
              <w:textAlignment w:val="bottom"/>
            </w:pPr>
            <w:r>
              <w:rPr>
                <w:rFonts w:ascii="Arial" w:eastAsia="宋体" w:hAnsi="Arial" w:cs="Arial"/>
                <w:color w:val="000000"/>
                <w:sz w:val="17"/>
                <w:szCs w:val="17"/>
              </w:rPr>
              <w:t>7,243 </w:t>
            </w:r>
          </w:p>
        </w:tc>
        <w:tc>
          <w:tcPr>
            <w:tcW w:w="0" w:type="auto"/>
            <w:tcBorders>
              <w:top w:val="single" w:sz="8" w:space="0" w:color="E87722"/>
            </w:tcBorders>
            <w:shd w:val="clear" w:color="auto" w:fill="FFF1E7"/>
            <w:tcMar>
              <w:top w:w="40" w:type="dxa"/>
              <w:bottom w:w="40" w:type="dxa"/>
              <w:right w:w="20" w:type="dxa"/>
            </w:tcMar>
            <w:vAlign w:val="bottom"/>
          </w:tcPr>
          <w:p w14:paraId="1D025671" w14:textId="77777777" w:rsidR="004421F6" w:rsidRDefault="004421F6">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672" w14:textId="77777777" w:rsidR="004421F6" w:rsidRDefault="00F15622">
            <w:pPr>
              <w:jc w:val="right"/>
              <w:textAlignment w:val="bottom"/>
            </w:pPr>
            <w:r>
              <w:rPr>
                <w:rFonts w:ascii="Arial" w:eastAsia="宋体" w:hAnsi="Arial" w:cs="Arial"/>
                <w:color w:val="000000"/>
                <w:sz w:val="17"/>
                <w:szCs w:val="17"/>
              </w:rPr>
              <w:t>7,206 </w:t>
            </w:r>
          </w:p>
        </w:tc>
        <w:tc>
          <w:tcPr>
            <w:tcW w:w="0" w:type="auto"/>
            <w:tcBorders>
              <w:top w:val="single" w:sz="8" w:space="0" w:color="E87722"/>
            </w:tcBorders>
            <w:shd w:val="clear" w:color="auto" w:fill="FFF1E7"/>
            <w:tcMar>
              <w:top w:w="40" w:type="dxa"/>
              <w:bottom w:w="40" w:type="dxa"/>
              <w:right w:w="20" w:type="dxa"/>
            </w:tcMar>
            <w:vAlign w:val="bottom"/>
          </w:tcPr>
          <w:p w14:paraId="1D025673" w14:textId="77777777" w:rsidR="004421F6" w:rsidRDefault="004421F6">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674" w14:textId="77777777" w:rsidR="004421F6" w:rsidRDefault="00F15622">
            <w:pPr>
              <w:jc w:val="right"/>
              <w:textAlignment w:val="bottom"/>
            </w:pPr>
            <w:r>
              <w:rPr>
                <w:rFonts w:ascii="Arial" w:eastAsia="宋体" w:hAnsi="Arial" w:cs="Arial"/>
                <w:color w:val="000000"/>
                <w:sz w:val="17"/>
                <w:szCs w:val="17"/>
              </w:rPr>
              <w:t>37 </w:t>
            </w:r>
          </w:p>
        </w:tc>
        <w:tc>
          <w:tcPr>
            <w:tcW w:w="0" w:type="auto"/>
            <w:tcBorders>
              <w:top w:val="single" w:sz="8" w:space="0" w:color="E87722"/>
            </w:tcBorders>
            <w:shd w:val="clear" w:color="auto" w:fill="FFF1E7"/>
            <w:tcMar>
              <w:top w:w="40" w:type="dxa"/>
              <w:bottom w:w="40" w:type="dxa"/>
              <w:right w:w="20" w:type="dxa"/>
            </w:tcMar>
            <w:vAlign w:val="bottom"/>
          </w:tcPr>
          <w:p w14:paraId="1D025675" w14:textId="77777777" w:rsidR="004421F6" w:rsidRDefault="004421F6">
            <w:pPr>
              <w:jc w:val="right"/>
              <w:rPr>
                <w:rFonts w:ascii="宋体"/>
              </w:rPr>
            </w:pPr>
          </w:p>
        </w:tc>
        <w:tc>
          <w:tcPr>
            <w:tcW w:w="0" w:type="auto"/>
            <w:shd w:val="clear" w:color="auto" w:fill="auto"/>
          </w:tcPr>
          <w:p w14:paraId="1D025676" w14:textId="77777777" w:rsidR="004421F6" w:rsidRDefault="004421F6">
            <w:pPr>
              <w:rPr>
                <w:rFonts w:ascii="宋体"/>
              </w:rPr>
            </w:pPr>
          </w:p>
        </w:tc>
        <w:tc>
          <w:tcPr>
            <w:tcW w:w="0" w:type="auto"/>
            <w:shd w:val="clear" w:color="auto" w:fill="auto"/>
          </w:tcPr>
          <w:p w14:paraId="1D025677" w14:textId="77777777" w:rsidR="004421F6" w:rsidRDefault="004421F6">
            <w:pPr>
              <w:rPr>
                <w:rFonts w:ascii="宋体"/>
              </w:rPr>
            </w:pPr>
          </w:p>
        </w:tc>
        <w:tc>
          <w:tcPr>
            <w:tcW w:w="0" w:type="auto"/>
            <w:shd w:val="clear" w:color="auto" w:fill="auto"/>
          </w:tcPr>
          <w:p w14:paraId="1D025678" w14:textId="77777777" w:rsidR="004421F6" w:rsidRDefault="004421F6">
            <w:pPr>
              <w:rPr>
                <w:rFonts w:ascii="宋体"/>
              </w:rPr>
            </w:pPr>
          </w:p>
        </w:tc>
        <w:tc>
          <w:tcPr>
            <w:tcW w:w="0" w:type="auto"/>
            <w:shd w:val="clear" w:color="auto" w:fill="auto"/>
          </w:tcPr>
          <w:p w14:paraId="1D025679" w14:textId="77777777" w:rsidR="004421F6" w:rsidRDefault="004421F6">
            <w:pPr>
              <w:rPr>
                <w:rFonts w:ascii="宋体"/>
              </w:rPr>
            </w:pPr>
          </w:p>
        </w:tc>
        <w:tc>
          <w:tcPr>
            <w:tcW w:w="0" w:type="auto"/>
            <w:shd w:val="clear" w:color="auto" w:fill="auto"/>
          </w:tcPr>
          <w:p w14:paraId="1D02567A" w14:textId="77777777" w:rsidR="004421F6" w:rsidRDefault="004421F6">
            <w:pPr>
              <w:rPr>
                <w:rFonts w:ascii="宋体"/>
              </w:rPr>
            </w:pPr>
          </w:p>
        </w:tc>
        <w:tc>
          <w:tcPr>
            <w:tcW w:w="0" w:type="auto"/>
            <w:shd w:val="clear" w:color="auto" w:fill="auto"/>
          </w:tcPr>
          <w:p w14:paraId="1D02567B" w14:textId="77777777" w:rsidR="004421F6" w:rsidRDefault="004421F6">
            <w:pPr>
              <w:rPr>
                <w:rFonts w:ascii="宋体"/>
              </w:rPr>
            </w:pPr>
          </w:p>
        </w:tc>
      </w:tr>
      <w:tr w:rsidR="004421F6" w14:paraId="1D02568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67D" w14:textId="77777777" w:rsidR="004421F6" w:rsidRDefault="00F15622">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67E"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67F" w14:textId="77777777" w:rsidR="004421F6" w:rsidRDefault="00F15622">
            <w:pPr>
              <w:jc w:val="right"/>
              <w:textAlignment w:val="bottom"/>
            </w:pPr>
            <w:r>
              <w:rPr>
                <w:rFonts w:ascii="Arial" w:eastAsia="宋体" w:hAnsi="Arial" w:cs="Arial"/>
                <w:b/>
                <w:bCs/>
                <w:color w:val="000000"/>
                <w:sz w:val="17"/>
                <w:szCs w:val="17"/>
              </w:rPr>
              <w:t>9,480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680"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681"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682" w14:textId="77777777" w:rsidR="004421F6" w:rsidRDefault="00F15622">
            <w:pPr>
              <w:jc w:val="right"/>
              <w:textAlignment w:val="bottom"/>
            </w:pPr>
            <w:r>
              <w:rPr>
                <w:rFonts w:ascii="Arial" w:eastAsia="宋体" w:hAnsi="Arial" w:cs="Arial"/>
                <w:b/>
                <w:bCs/>
                <w:color w:val="000000"/>
                <w:sz w:val="17"/>
                <w:szCs w:val="17"/>
              </w:rPr>
              <w:t>8,148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683"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684"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685" w14:textId="77777777" w:rsidR="004421F6" w:rsidRDefault="00F15622">
            <w:pPr>
              <w:jc w:val="right"/>
              <w:textAlignment w:val="bottom"/>
            </w:pPr>
            <w:r>
              <w:rPr>
                <w:rFonts w:ascii="Arial" w:eastAsia="宋体" w:hAnsi="Arial" w:cs="Arial"/>
                <w:b/>
                <w:bCs/>
                <w:color w:val="000000"/>
                <w:sz w:val="17"/>
                <w:szCs w:val="17"/>
              </w:rPr>
              <w:t>1,332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686" w14:textId="77777777" w:rsidR="004421F6" w:rsidRDefault="004421F6">
            <w:pPr>
              <w:jc w:val="right"/>
              <w:rPr>
                <w:rFonts w:ascii="宋体"/>
              </w:rPr>
            </w:pPr>
          </w:p>
        </w:tc>
        <w:tc>
          <w:tcPr>
            <w:tcW w:w="0" w:type="auto"/>
            <w:shd w:val="clear" w:color="auto" w:fill="auto"/>
          </w:tcPr>
          <w:p w14:paraId="1D025687" w14:textId="77777777" w:rsidR="004421F6" w:rsidRDefault="004421F6">
            <w:pPr>
              <w:rPr>
                <w:rFonts w:ascii="宋体"/>
              </w:rPr>
            </w:pPr>
          </w:p>
        </w:tc>
        <w:tc>
          <w:tcPr>
            <w:tcW w:w="0" w:type="auto"/>
            <w:shd w:val="clear" w:color="auto" w:fill="auto"/>
          </w:tcPr>
          <w:p w14:paraId="1D025688" w14:textId="77777777" w:rsidR="004421F6" w:rsidRDefault="004421F6">
            <w:pPr>
              <w:rPr>
                <w:rFonts w:ascii="宋体"/>
              </w:rPr>
            </w:pPr>
          </w:p>
        </w:tc>
        <w:tc>
          <w:tcPr>
            <w:tcW w:w="0" w:type="auto"/>
            <w:shd w:val="clear" w:color="auto" w:fill="auto"/>
          </w:tcPr>
          <w:p w14:paraId="1D025689" w14:textId="77777777" w:rsidR="004421F6" w:rsidRDefault="004421F6">
            <w:pPr>
              <w:rPr>
                <w:rFonts w:ascii="宋体"/>
              </w:rPr>
            </w:pPr>
          </w:p>
        </w:tc>
        <w:tc>
          <w:tcPr>
            <w:tcW w:w="0" w:type="auto"/>
            <w:shd w:val="clear" w:color="auto" w:fill="auto"/>
          </w:tcPr>
          <w:p w14:paraId="1D02568A" w14:textId="77777777" w:rsidR="004421F6" w:rsidRDefault="004421F6">
            <w:pPr>
              <w:rPr>
                <w:rFonts w:ascii="宋体"/>
              </w:rPr>
            </w:pPr>
          </w:p>
        </w:tc>
        <w:tc>
          <w:tcPr>
            <w:tcW w:w="0" w:type="auto"/>
            <w:shd w:val="clear" w:color="auto" w:fill="auto"/>
          </w:tcPr>
          <w:p w14:paraId="1D02568B" w14:textId="77777777" w:rsidR="004421F6" w:rsidRDefault="004421F6">
            <w:pPr>
              <w:rPr>
                <w:rFonts w:ascii="宋体"/>
              </w:rPr>
            </w:pPr>
          </w:p>
        </w:tc>
        <w:tc>
          <w:tcPr>
            <w:tcW w:w="0" w:type="auto"/>
            <w:shd w:val="clear" w:color="auto" w:fill="auto"/>
          </w:tcPr>
          <w:p w14:paraId="1D02568C" w14:textId="77777777" w:rsidR="004421F6" w:rsidRDefault="004421F6">
            <w:pPr>
              <w:rPr>
                <w:rFonts w:ascii="宋体"/>
              </w:rPr>
            </w:pPr>
          </w:p>
        </w:tc>
      </w:tr>
    </w:tbl>
    <w:p w14:paraId="1D02568E" w14:textId="77777777" w:rsidR="004421F6" w:rsidRDefault="004421F6">
      <w:pPr>
        <w:rPr>
          <w:vanish/>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3114"/>
        <w:gridCol w:w="38"/>
        <w:gridCol w:w="130"/>
        <w:gridCol w:w="1421"/>
        <w:gridCol w:w="41"/>
        <w:gridCol w:w="131"/>
        <w:gridCol w:w="1421"/>
        <w:gridCol w:w="41"/>
        <w:gridCol w:w="131"/>
        <w:gridCol w:w="1559"/>
        <w:gridCol w:w="41"/>
        <w:gridCol w:w="36"/>
        <w:gridCol w:w="36"/>
        <w:gridCol w:w="36"/>
        <w:gridCol w:w="36"/>
        <w:gridCol w:w="36"/>
        <w:gridCol w:w="36"/>
      </w:tblGrid>
      <w:tr w:rsidR="004421F6" w14:paraId="1D02569B" w14:textId="77777777">
        <w:trPr>
          <w:gridAfter w:val="6"/>
        </w:trPr>
        <w:tc>
          <w:tcPr>
            <w:tcW w:w="50" w:type="pct"/>
            <w:shd w:val="clear" w:color="auto" w:fill="auto"/>
          </w:tcPr>
          <w:p w14:paraId="1D02568F" w14:textId="77777777" w:rsidR="004421F6" w:rsidRDefault="004421F6">
            <w:pPr>
              <w:rPr>
                <w:rFonts w:ascii="宋体"/>
              </w:rPr>
            </w:pPr>
          </w:p>
        </w:tc>
        <w:tc>
          <w:tcPr>
            <w:tcW w:w="1962" w:type="pct"/>
            <w:shd w:val="clear" w:color="auto" w:fill="auto"/>
          </w:tcPr>
          <w:p w14:paraId="1D025690" w14:textId="77777777" w:rsidR="004421F6" w:rsidRDefault="004421F6">
            <w:pPr>
              <w:rPr>
                <w:rFonts w:ascii="宋体"/>
              </w:rPr>
            </w:pPr>
          </w:p>
        </w:tc>
        <w:tc>
          <w:tcPr>
            <w:tcW w:w="5" w:type="pct"/>
            <w:shd w:val="clear" w:color="auto" w:fill="auto"/>
          </w:tcPr>
          <w:p w14:paraId="1D025691" w14:textId="77777777" w:rsidR="004421F6" w:rsidRDefault="004421F6">
            <w:pPr>
              <w:rPr>
                <w:rFonts w:ascii="宋体"/>
              </w:rPr>
            </w:pPr>
          </w:p>
        </w:tc>
        <w:tc>
          <w:tcPr>
            <w:tcW w:w="50" w:type="pct"/>
            <w:shd w:val="clear" w:color="auto" w:fill="auto"/>
          </w:tcPr>
          <w:p w14:paraId="1D025692" w14:textId="77777777" w:rsidR="004421F6" w:rsidRDefault="004421F6">
            <w:pPr>
              <w:rPr>
                <w:rFonts w:ascii="宋体"/>
              </w:rPr>
            </w:pPr>
          </w:p>
        </w:tc>
        <w:tc>
          <w:tcPr>
            <w:tcW w:w="910" w:type="pct"/>
            <w:shd w:val="clear" w:color="auto" w:fill="auto"/>
          </w:tcPr>
          <w:p w14:paraId="1D025693" w14:textId="77777777" w:rsidR="004421F6" w:rsidRDefault="004421F6">
            <w:pPr>
              <w:rPr>
                <w:rFonts w:ascii="宋体"/>
              </w:rPr>
            </w:pPr>
          </w:p>
        </w:tc>
        <w:tc>
          <w:tcPr>
            <w:tcW w:w="5" w:type="pct"/>
            <w:shd w:val="clear" w:color="auto" w:fill="auto"/>
          </w:tcPr>
          <w:p w14:paraId="1D025694" w14:textId="77777777" w:rsidR="004421F6" w:rsidRDefault="004421F6">
            <w:pPr>
              <w:rPr>
                <w:rFonts w:ascii="宋体"/>
              </w:rPr>
            </w:pPr>
          </w:p>
        </w:tc>
        <w:tc>
          <w:tcPr>
            <w:tcW w:w="50" w:type="pct"/>
            <w:shd w:val="clear" w:color="auto" w:fill="auto"/>
          </w:tcPr>
          <w:p w14:paraId="1D025695" w14:textId="77777777" w:rsidR="004421F6" w:rsidRDefault="004421F6">
            <w:pPr>
              <w:rPr>
                <w:rFonts w:ascii="宋体"/>
              </w:rPr>
            </w:pPr>
          </w:p>
        </w:tc>
        <w:tc>
          <w:tcPr>
            <w:tcW w:w="910" w:type="pct"/>
            <w:shd w:val="clear" w:color="auto" w:fill="auto"/>
          </w:tcPr>
          <w:p w14:paraId="1D025696" w14:textId="77777777" w:rsidR="004421F6" w:rsidRDefault="004421F6">
            <w:pPr>
              <w:rPr>
                <w:rFonts w:ascii="宋体"/>
              </w:rPr>
            </w:pPr>
          </w:p>
        </w:tc>
        <w:tc>
          <w:tcPr>
            <w:tcW w:w="5" w:type="pct"/>
            <w:shd w:val="clear" w:color="auto" w:fill="auto"/>
          </w:tcPr>
          <w:p w14:paraId="1D025697" w14:textId="77777777" w:rsidR="004421F6" w:rsidRDefault="004421F6">
            <w:pPr>
              <w:rPr>
                <w:rFonts w:ascii="宋体"/>
              </w:rPr>
            </w:pPr>
          </w:p>
        </w:tc>
        <w:tc>
          <w:tcPr>
            <w:tcW w:w="50" w:type="pct"/>
            <w:shd w:val="clear" w:color="auto" w:fill="auto"/>
          </w:tcPr>
          <w:p w14:paraId="1D025698" w14:textId="77777777" w:rsidR="004421F6" w:rsidRDefault="004421F6">
            <w:pPr>
              <w:rPr>
                <w:rFonts w:ascii="宋体"/>
              </w:rPr>
            </w:pPr>
          </w:p>
        </w:tc>
        <w:tc>
          <w:tcPr>
            <w:tcW w:w="996" w:type="pct"/>
            <w:shd w:val="clear" w:color="auto" w:fill="auto"/>
          </w:tcPr>
          <w:p w14:paraId="1D025699" w14:textId="77777777" w:rsidR="004421F6" w:rsidRDefault="004421F6">
            <w:pPr>
              <w:rPr>
                <w:rFonts w:ascii="宋体"/>
              </w:rPr>
            </w:pPr>
          </w:p>
        </w:tc>
        <w:tc>
          <w:tcPr>
            <w:tcW w:w="5" w:type="pct"/>
            <w:shd w:val="clear" w:color="auto" w:fill="auto"/>
          </w:tcPr>
          <w:p w14:paraId="1D02569A" w14:textId="77777777" w:rsidR="004421F6" w:rsidRDefault="004421F6">
            <w:pPr>
              <w:rPr>
                <w:rFonts w:ascii="宋体"/>
              </w:rPr>
            </w:pPr>
          </w:p>
        </w:tc>
      </w:tr>
      <w:tr w:rsidR="004421F6" w14:paraId="1D0256A0" w14:textId="77777777">
        <w:tc>
          <w:tcPr>
            <w:tcW w:w="0" w:type="auto"/>
            <w:gridSpan w:val="3"/>
            <w:shd w:val="clear" w:color="auto" w:fill="auto"/>
            <w:tcMar>
              <w:left w:w="20" w:type="dxa"/>
              <w:right w:w="20" w:type="dxa"/>
            </w:tcMar>
            <w:vAlign w:val="bottom"/>
          </w:tcPr>
          <w:p w14:paraId="1D02569C" w14:textId="77777777" w:rsidR="004421F6" w:rsidRDefault="004421F6">
            <w:pPr>
              <w:rPr>
                <w:rFonts w:ascii="宋体"/>
              </w:rPr>
            </w:pPr>
          </w:p>
        </w:tc>
        <w:tc>
          <w:tcPr>
            <w:tcW w:w="0" w:type="auto"/>
            <w:gridSpan w:val="9"/>
            <w:shd w:val="clear" w:color="auto" w:fill="auto"/>
            <w:tcMar>
              <w:top w:w="40" w:type="dxa"/>
              <w:left w:w="20" w:type="dxa"/>
              <w:bottom w:w="40" w:type="dxa"/>
              <w:right w:w="20" w:type="dxa"/>
            </w:tcMar>
            <w:vAlign w:val="bottom"/>
          </w:tcPr>
          <w:p w14:paraId="1D02569D" w14:textId="77777777" w:rsidR="004421F6" w:rsidRDefault="00F15622">
            <w:pPr>
              <w:jc w:val="center"/>
              <w:textAlignment w:val="bottom"/>
            </w:pPr>
            <w:r>
              <w:rPr>
                <w:rFonts w:ascii="sans-serif" w:eastAsia="sans-serif" w:hAnsi="sans-serif" w:cs="sans-serif"/>
                <w:b/>
                <w:bCs/>
                <w:color w:val="000000"/>
                <w:sz w:val="17"/>
                <w:szCs w:val="17"/>
              </w:rPr>
              <w:t>MAY 31, 2020</w:t>
            </w:r>
          </w:p>
        </w:tc>
        <w:tc>
          <w:tcPr>
            <w:tcW w:w="0" w:type="auto"/>
            <w:gridSpan w:val="3"/>
            <w:shd w:val="clear" w:color="auto" w:fill="auto"/>
          </w:tcPr>
          <w:p w14:paraId="1D02569E" w14:textId="77777777" w:rsidR="004421F6" w:rsidRDefault="004421F6">
            <w:pPr>
              <w:rPr>
                <w:rFonts w:ascii="宋体"/>
                <w:vanish/>
              </w:rPr>
            </w:pPr>
          </w:p>
        </w:tc>
        <w:tc>
          <w:tcPr>
            <w:tcW w:w="0" w:type="auto"/>
            <w:gridSpan w:val="3"/>
            <w:shd w:val="clear" w:color="auto" w:fill="auto"/>
          </w:tcPr>
          <w:p w14:paraId="1D02569F" w14:textId="77777777" w:rsidR="004421F6" w:rsidRDefault="004421F6">
            <w:pPr>
              <w:rPr>
                <w:rFonts w:ascii="宋体"/>
                <w:vanish/>
              </w:rPr>
            </w:pPr>
          </w:p>
        </w:tc>
      </w:tr>
      <w:tr w:rsidR="004421F6" w14:paraId="1D0256AB" w14:textId="77777777">
        <w:tc>
          <w:tcPr>
            <w:tcW w:w="0" w:type="auto"/>
            <w:gridSpan w:val="3"/>
            <w:shd w:val="clear" w:color="auto" w:fill="auto"/>
            <w:tcMar>
              <w:top w:w="40" w:type="dxa"/>
              <w:left w:w="20" w:type="dxa"/>
              <w:bottom w:w="40" w:type="dxa"/>
              <w:right w:w="20" w:type="dxa"/>
            </w:tcMar>
            <w:vAlign w:val="bottom"/>
          </w:tcPr>
          <w:p w14:paraId="1D0256A1"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6A2" w14:textId="77777777" w:rsidR="004421F6" w:rsidRDefault="00F15622">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6A3" w14:textId="77777777" w:rsidR="004421F6" w:rsidRDefault="00F15622">
            <w:pPr>
              <w:jc w:val="right"/>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6A4" w14:textId="77777777" w:rsidR="004421F6" w:rsidRDefault="00F15622">
            <w:pPr>
              <w:jc w:val="right"/>
              <w:textAlignment w:val="bottom"/>
            </w:pPr>
            <w:r>
              <w:rPr>
                <w:rFonts w:ascii="sans-serif" w:eastAsia="sans-serif" w:hAnsi="sans-serif" w:cs="sans-serif"/>
                <w:b/>
                <w:bCs/>
                <w:color w:val="000000"/>
                <w:sz w:val="17"/>
                <w:szCs w:val="17"/>
              </w:rPr>
              <w:t>SHORT-TERM INVESTMENTS</w:t>
            </w:r>
          </w:p>
        </w:tc>
        <w:tc>
          <w:tcPr>
            <w:tcW w:w="0" w:type="auto"/>
            <w:shd w:val="clear" w:color="auto" w:fill="auto"/>
          </w:tcPr>
          <w:p w14:paraId="1D0256A5" w14:textId="77777777" w:rsidR="004421F6" w:rsidRDefault="004421F6">
            <w:pPr>
              <w:rPr>
                <w:rFonts w:ascii="宋体"/>
              </w:rPr>
            </w:pPr>
          </w:p>
        </w:tc>
        <w:tc>
          <w:tcPr>
            <w:tcW w:w="0" w:type="auto"/>
            <w:shd w:val="clear" w:color="auto" w:fill="auto"/>
          </w:tcPr>
          <w:p w14:paraId="1D0256A6" w14:textId="77777777" w:rsidR="004421F6" w:rsidRDefault="004421F6">
            <w:pPr>
              <w:rPr>
                <w:rFonts w:ascii="宋体"/>
              </w:rPr>
            </w:pPr>
          </w:p>
        </w:tc>
        <w:tc>
          <w:tcPr>
            <w:tcW w:w="0" w:type="auto"/>
            <w:shd w:val="clear" w:color="auto" w:fill="auto"/>
          </w:tcPr>
          <w:p w14:paraId="1D0256A7" w14:textId="77777777" w:rsidR="004421F6" w:rsidRDefault="004421F6">
            <w:pPr>
              <w:rPr>
                <w:rFonts w:ascii="宋体"/>
              </w:rPr>
            </w:pPr>
          </w:p>
        </w:tc>
        <w:tc>
          <w:tcPr>
            <w:tcW w:w="0" w:type="auto"/>
            <w:shd w:val="clear" w:color="auto" w:fill="auto"/>
          </w:tcPr>
          <w:p w14:paraId="1D0256A8" w14:textId="77777777" w:rsidR="004421F6" w:rsidRDefault="004421F6">
            <w:pPr>
              <w:rPr>
                <w:rFonts w:ascii="宋体"/>
              </w:rPr>
            </w:pPr>
          </w:p>
        </w:tc>
        <w:tc>
          <w:tcPr>
            <w:tcW w:w="0" w:type="auto"/>
            <w:shd w:val="clear" w:color="auto" w:fill="auto"/>
          </w:tcPr>
          <w:p w14:paraId="1D0256A9" w14:textId="77777777" w:rsidR="004421F6" w:rsidRDefault="004421F6">
            <w:pPr>
              <w:rPr>
                <w:rFonts w:ascii="宋体"/>
              </w:rPr>
            </w:pPr>
          </w:p>
        </w:tc>
        <w:tc>
          <w:tcPr>
            <w:tcW w:w="0" w:type="auto"/>
            <w:shd w:val="clear" w:color="auto" w:fill="auto"/>
          </w:tcPr>
          <w:p w14:paraId="1D0256AA" w14:textId="77777777" w:rsidR="004421F6" w:rsidRDefault="004421F6">
            <w:pPr>
              <w:rPr>
                <w:rFonts w:ascii="宋体"/>
              </w:rPr>
            </w:pPr>
          </w:p>
        </w:tc>
      </w:tr>
      <w:tr w:rsidR="004421F6" w14:paraId="1D0256B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6AC" w14:textId="77777777" w:rsidR="004421F6" w:rsidRDefault="00F15622">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auto"/>
            <w:tcMar>
              <w:top w:w="40" w:type="dxa"/>
              <w:left w:w="20" w:type="dxa"/>
              <w:bottom w:w="40" w:type="dxa"/>
            </w:tcMar>
            <w:vAlign w:val="bottom"/>
          </w:tcPr>
          <w:p w14:paraId="1D0256AD"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6AE" w14:textId="77777777" w:rsidR="004421F6" w:rsidRDefault="00F15622">
            <w:pPr>
              <w:jc w:val="right"/>
              <w:textAlignment w:val="bottom"/>
            </w:pPr>
            <w:r>
              <w:rPr>
                <w:rFonts w:ascii="Arial" w:eastAsia="宋体" w:hAnsi="Arial" w:cs="Arial"/>
                <w:color w:val="000000"/>
                <w:sz w:val="17"/>
                <w:szCs w:val="17"/>
              </w:rPr>
              <w:t>596 </w:t>
            </w:r>
          </w:p>
        </w:tc>
        <w:tc>
          <w:tcPr>
            <w:tcW w:w="0" w:type="auto"/>
            <w:tcBorders>
              <w:top w:val="single" w:sz="8" w:space="0" w:color="E87722"/>
            </w:tcBorders>
            <w:shd w:val="clear" w:color="auto" w:fill="auto"/>
            <w:tcMar>
              <w:top w:w="40" w:type="dxa"/>
              <w:bottom w:w="40" w:type="dxa"/>
              <w:right w:w="20" w:type="dxa"/>
            </w:tcMar>
            <w:vAlign w:val="bottom"/>
          </w:tcPr>
          <w:p w14:paraId="1D0256AF"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6B0"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6B1" w14:textId="77777777" w:rsidR="004421F6" w:rsidRDefault="00F15622">
            <w:pPr>
              <w:jc w:val="right"/>
              <w:textAlignment w:val="bottom"/>
            </w:pPr>
            <w:r>
              <w:rPr>
                <w:rFonts w:ascii="Arial" w:eastAsia="宋体" w:hAnsi="Arial" w:cs="Arial"/>
                <w:color w:val="000000"/>
                <w:sz w:val="17"/>
                <w:szCs w:val="17"/>
              </w:rPr>
              <w:t>596 </w:t>
            </w:r>
          </w:p>
        </w:tc>
        <w:tc>
          <w:tcPr>
            <w:tcW w:w="0" w:type="auto"/>
            <w:tcBorders>
              <w:top w:val="single" w:sz="8" w:space="0" w:color="E87722"/>
            </w:tcBorders>
            <w:shd w:val="clear" w:color="auto" w:fill="auto"/>
            <w:tcMar>
              <w:top w:w="40" w:type="dxa"/>
              <w:bottom w:w="40" w:type="dxa"/>
              <w:right w:w="20" w:type="dxa"/>
            </w:tcMar>
            <w:vAlign w:val="bottom"/>
          </w:tcPr>
          <w:p w14:paraId="1D0256B2"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6B3"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6B4"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6B5" w14:textId="77777777" w:rsidR="004421F6" w:rsidRDefault="004421F6">
            <w:pPr>
              <w:jc w:val="right"/>
              <w:rPr>
                <w:rFonts w:ascii="宋体"/>
              </w:rPr>
            </w:pPr>
          </w:p>
        </w:tc>
        <w:tc>
          <w:tcPr>
            <w:tcW w:w="0" w:type="auto"/>
            <w:shd w:val="clear" w:color="auto" w:fill="auto"/>
          </w:tcPr>
          <w:p w14:paraId="1D0256B6" w14:textId="77777777" w:rsidR="004421F6" w:rsidRDefault="004421F6">
            <w:pPr>
              <w:rPr>
                <w:rFonts w:ascii="宋体"/>
              </w:rPr>
            </w:pPr>
          </w:p>
        </w:tc>
        <w:tc>
          <w:tcPr>
            <w:tcW w:w="0" w:type="auto"/>
            <w:shd w:val="clear" w:color="auto" w:fill="auto"/>
          </w:tcPr>
          <w:p w14:paraId="1D0256B7" w14:textId="77777777" w:rsidR="004421F6" w:rsidRDefault="004421F6">
            <w:pPr>
              <w:rPr>
                <w:rFonts w:ascii="宋体"/>
              </w:rPr>
            </w:pPr>
          </w:p>
        </w:tc>
        <w:tc>
          <w:tcPr>
            <w:tcW w:w="0" w:type="auto"/>
            <w:shd w:val="clear" w:color="auto" w:fill="auto"/>
          </w:tcPr>
          <w:p w14:paraId="1D0256B8" w14:textId="77777777" w:rsidR="004421F6" w:rsidRDefault="004421F6">
            <w:pPr>
              <w:rPr>
                <w:rFonts w:ascii="宋体"/>
              </w:rPr>
            </w:pPr>
          </w:p>
        </w:tc>
        <w:tc>
          <w:tcPr>
            <w:tcW w:w="0" w:type="auto"/>
            <w:shd w:val="clear" w:color="auto" w:fill="auto"/>
          </w:tcPr>
          <w:p w14:paraId="1D0256B9" w14:textId="77777777" w:rsidR="004421F6" w:rsidRDefault="004421F6">
            <w:pPr>
              <w:rPr>
                <w:rFonts w:ascii="宋体"/>
              </w:rPr>
            </w:pPr>
          </w:p>
        </w:tc>
        <w:tc>
          <w:tcPr>
            <w:tcW w:w="0" w:type="auto"/>
            <w:shd w:val="clear" w:color="auto" w:fill="auto"/>
          </w:tcPr>
          <w:p w14:paraId="1D0256BA" w14:textId="77777777" w:rsidR="004421F6" w:rsidRDefault="004421F6">
            <w:pPr>
              <w:rPr>
                <w:rFonts w:ascii="宋体"/>
              </w:rPr>
            </w:pPr>
          </w:p>
        </w:tc>
        <w:tc>
          <w:tcPr>
            <w:tcW w:w="0" w:type="auto"/>
            <w:shd w:val="clear" w:color="auto" w:fill="auto"/>
          </w:tcPr>
          <w:p w14:paraId="1D0256BB" w14:textId="77777777" w:rsidR="004421F6" w:rsidRDefault="004421F6">
            <w:pPr>
              <w:rPr>
                <w:rFonts w:ascii="宋体"/>
              </w:rPr>
            </w:pPr>
          </w:p>
        </w:tc>
      </w:tr>
      <w:tr w:rsidR="004421F6" w14:paraId="1D0256C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6BD" w14:textId="77777777" w:rsidR="004421F6" w:rsidRDefault="00F15622">
            <w:pPr>
              <w:textAlignment w:val="bottom"/>
            </w:pPr>
            <w:r>
              <w:rPr>
                <w:rFonts w:ascii="Arial" w:eastAsia="宋体" w:hAnsi="Arial" w:cs="Arial"/>
                <w:color w:val="000000"/>
                <w:sz w:val="17"/>
                <w:szCs w:val="17"/>
                <w:u w:val="single"/>
              </w:rPr>
              <w:t xml:space="preserve">Level </w:t>
            </w:r>
            <w:r>
              <w:rPr>
                <w:rFonts w:ascii="Arial" w:eastAsia="宋体" w:hAnsi="Arial" w:cs="Arial"/>
                <w:color w:val="000000"/>
                <w:sz w:val="17"/>
                <w:szCs w:val="17"/>
                <w:u w:val="single"/>
              </w:rPr>
              <w:t>1:</w:t>
            </w:r>
          </w:p>
        </w:tc>
        <w:tc>
          <w:tcPr>
            <w:tcW w:w="0" w:type="auto"/>
            <w:gridSpan w:val="3"/>
            <w:tcBorders>
              <w:top w:val="single" w:sz="8" w:space="0" w:color="808080"/>
            </w:tcBorders>
            <w:shd w:val="clear" w:color="auto" w:fill="auto"/>
            <w:tcMar>
              <w:left w:w="20" w:type="dxa"/>
              <w:right w:w="20" w:type="dxa"/>
            </w:tcMar>
            <w:vAlign w:val="bottom"/>
          </w:tcPr>
          <w:p w14:paraId="1D0256BE"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6BF"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6C0" w14:textId="77777777" w:rsidR="004421F6" w:rsidRDefault="004421F6">
            <w:pPr>
              <w:rPr>
                <w:rFonts w:ascii="宋体"/>
              </w:rPr>
            </w:pPr>
          </w:p>
        </w:tc>
        <w:tc>
          <w:tcPr>
            <w:tcW w:w="0" w:type="auto"/>
            <w:shd w:val="clear" w:color="auto" w:fill="auto"/>
          </w:tcPr>
          <w:p w14:paraId="1D0256C1" w14:textId="77777777" w:rsidR="004421F6" w:rsidRDefault="004421F6">
            <w:pPr>
              <w:rPr>
                <w:rFonts w:ascii="宋体"/>
              </w:rPr>
            </w:pPr>
          </w:p>
        </w:tc>
        <w:tc>
          <w:tcPr>
            <w:tcW w:w="0" w:type="auto"/>
            <w:shd w:val="clear" w:color="auto" w:fill="auto"/>
          </w:tcPr>
          <w:p w14:paraId="1D0256C2" w14:textId="77777777" w:rsidR="004421F6" w:rsidRDefault="004421F6">
            <w:pPr>
              <w:rPr>
                <w:rFonts w:ascii="宋体"/>
              </w:rPr>
            </w:pPr>
          </w:p>
        </w:tc>
        <w:tc>
          <w:tcPr>
            <w:tcW w:w="0" w:type="auto"/>
            <w:shd w:val="clear" w:color="auto" w:fill="auto"/>
          </w:tcPr>
          <w:p w14:paraId="1D0256C3" w14:textId="77777777" w:rsidR="004421F6" w:rsidRDefault="004421F6">
            <w:pPr>
              <w:rPr>
                <w:rFonts w:ascii="宋体"/>
              </w:rPr>
            </w:pPr>
          </w:p>
        </w:tc>
        <w:tc>
          <w:tcPr>
            <w:tcW w:w="0" w:type="auto"/>
            <w:shd w:val="clear" w:color="auto" w:fill="auto"/>
          </w:tcPr>
          <w:p w14:paraId="1D0256C4" w14:textId="77777777" w:rsidR="004421F6" w:rsidRDefault="004421F6">
            <w:pPr>
              <w:rPr>
                <w:rFonts w:ascii="宋体"/>
              </w:rPr>
            </w:pPr>
          </w:p>
        </w:tc>
        <w:tc>
          <w:tcPr>
            <w:tcW w:w="0" w:type="auto"/>
            <w:shd w:val="clear" w:color="auto" w:fill="auto"/>
          </w:tcPr>
          <w:p w14:paraId="1D0256C5" w14:textId="77777777" w:rsidR="004421F6" w:rsidRDefault="004421F6">
            <w:pPr>
              <w:rPr>
                <w:rFonts w:ascii="宋体"/>
              </w:rPr>
            </w:pPr>
          </w:p>
        </w:tc>
        <w:tc>
          <w:tcPr>
            <w:tcW w:w="0" w:type="auto"/>
            <w:shd w:val="clear" w:color="auto" w:fill="auto"/>
          </w:tcPr>
          <w:p w14:paraId="1D0256C6" w14:textId="77777777" w:rsidR="004421F6" w:rsidRDefault="004421F6">
            <w:pPr>
              <w:rPr>
                <w:rFonts w:ascii="宋体"/>
              </w:rPr>
            </w:pPr>
          </w:p>
        </w:tc>
      </w:tr>
      <w:tr w:rsidR="004421F6" w14:paraId="1D0256D5"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6C8" w14:textId="77777777" w:rsidR="004421F6" w:rsidRDefault="00F15622">
            <w:pPr>
              <w:textAlignment w:val="bottom"/>
            </w:pPr>
            <w:r>
              <w:rPr>
                <w:rFonts w:ascii="Arial" w:eastAsia="宋体" w:hAnsi="Arial" w:cs="Arial"/>
                <w:color w:val="000000"/>
                <w:sz w:val="17"/>
                <w:szCs w:val="17"/>
              </w:rPr>
              <w:t>U.S. Treasury securities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6C9" w14:textId="77777777" w:rsidR="004421F6" w:rsidRDefault="00F15622">
            <w:pPr>
              <w:jc w:val="right"/>
              <w:textAlignment w:val="bottom"/>
            </w:pPr>
            <w:r>
              <w:rPr>
                <w:rFonts w:ascii="Arial" w:eastAsia="宋体" w:hAnsi="Arial" w:cs="Arial"/>
                <w:color w:val="000000"/>
                <w:sz w:val="17"/>
                <w:szCs w:val="17"/>
              </w:rPr>
              <w:t>1,204 </w:t>
            </w:r>
          </w:p>
        </w:tc>
        <w:tc>
          <w:tcPr>
            <w:tcW w:w="0" w:type="auto"/>
            <w:tcBorders>
              <w:top w:val="single" w:sz="8" w:space="0" w:color="808080"/>
            </w:tcBorders>
            <w:shd w:val="clear" w:color="auto" w:fill="auto"/>
            <w:tcMar>
              <w:top w:w="40" w:type="dxa"/>
              <w:bottom w:w="40" w:type="dxa"/>
              <w:right w:w="20" w:type="dxa"/>
            </w:tcMar>
            <w:vAlign w:val="bottom"/>
          </w:tcPr>
          <w:p w14:paraId="1D0256C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6CB" w14:textId="77777777" w:rsidR="004421F6" w:rsidRDefault="00F15622">
            <w:pPr>
              <w:jc w:val="right"/>
              <w:textAlignment w:val="bottom"/>
            </w:pPr>
            <w:r>
              <w:rPr>
                <w:rFonts w:ascii="Arial" w:eastAsia="宋体" w:hAnsi="Arial" w:cs="Arial"/>
                <w:color w:val="000000"/>
                <w:sz w:val="17"/>
                <w:szCs w:val="17"/>
              </w:rPr>
              <w:t>800 </w:t>
            </w:r>
          </w:p>
        </w:tc>
        <w:tc>
          <w:tcPr>
            <w:tcW w:w="0" w:type="auto"/>
            <w:tcBorders>
              <w:top w:val="single" w:sz="8" w:space="0" w:color="808080"/>
            </w:tcBorders>
            <w:shd w:val="clear" w:color="auto" w:fill="auto"/>
            <w:tcMar>
              <w:top w:w="40" w:type="dxa"/>
              <w:bottom w:w="40" w:type="dxa"/>
              <w:right w:w="20" w:type="dxa"/>
            </w:tcMar>
            <w:vAlign w:val="bottom"/>
          </w:tcPr>
          <w:p w14:paraId="1D0256CC"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6CD" w14:textId="77777777" w:rsidR="004421F6" w:rsidRDefault="00F15622">
            <w:pPr>
              <w:jc w:val="right"/>
              <w:textAlignment w:val="bottom"/>
            </w:pPr>
            <w:r>
              <w:rPr>
                <w:rFonts w:ascii="Arial" w:eastAsia="宋体" w:hAnsi="Arial" w:cs="Arial"/>
                <w:color w:val="000000"/>
                <w:sz w:val="17"/>
                <w:szCs w:val="17"/>
              </w:rPr>
              <w:t>404 </w:t>
            </w:r>
          </w:p>
        </w:tc>
        <w:tc>
          <w:tcPr>
            <w:tcW w:w="0" w:type="auto"/>
            <w:tcBorders>
              <w:top w:val="single" w:sz="8" w:space="0" w:color="808080"/>
            </w:tcBorders>
            <w:shd w:val="clear" w:color="auto" w:fill="auto"/>
            <w:tcMar>
              <w:top w:w="40" w:type="dxa"/>
              <w:bottom w:w="40" w:type="dxa"/>
              <w:right w:w="20" w:type="dxa"/>
            </w:tcMar>
            <w:vAlign w:val="bottom"/>
          </w:tcPr>
          <w:p w14:paraId="1D0256CE" w14:textId="77777777" w:rsidR="004421F6" w:rsidRDefault="004421F6">
            <w:pPr>
              <w:jc w:val="right"/>
              <w:rPr>
                <w:rFonts w:ascii="宋体"/>
              </w:rPr>
            </w:pPr>
          </w:p>
        </w:tc>
        <w:tc>
          <w:tcPr>
            <w:tcW w:w="0" w:type="auto"/>
            <w:shd w:val="clear" w:color="auto" w:fill="auto"/>
          </w:tcPr>
          <w:p w14:paraId="1D0256CF" w14:textId="77777777" w:rsidR="004421F6" w:rsidRDefault="004421F6">
            <w:pPr>
              <w:rPr>
                <w:rFonts w:ascii="宋体"/>
              </w:rPr>
            </w:pPr>
          </w:p>
        </w:tc>
        <w:tc>
          <w:tcPr>
            <w:tcW w:w="0" w:type="auto"/>
            <w:shd w:val="clear" w:color="auto" w:fill="auto"/>
          </w:tcPr>
          <w:p w14:paraId="1D0256D0" w14:textId="77777777" w:rsidR="004421F6" w:rsidRDefault="004421F6">
            <w:pPr>
              <w:rPr>
                <w:rFonts w:ascii="宋体"/>
              </w:rPr>
            </w:pPr>
          </w:p>
        </w:tc>
        <w:tc>
          <w:tcPr>
            <w:tcW w:w="0" w:type="auto"/>
            <w:shd w:val="clear" w:color="auto" w:fill="auto"/>
          </w:tcPr>
          <w:p w14:paraId="1D0256D1" w14:textId="77777777" w:rsidR="004421F6" w:rsidRDefault="004421F6">
            <w:pPr>
              <w:rPr>
                <w:rFonts w:ascii="宋体"/>
              </w:rPr>
            </w:pPr>
          </w:p>
        </w:tc>
        <w:tc>
          <w:tcPr>
            <w:tcW w:w="0" w:type="auto"/>
            <w:shd w:val="clear" w:color="auto" w:fill="auto"/>
          </w:tcPr>
          <w:p w14:paraId="1D0256D2" w14:textId="77777777" w:rsidR="004421F6" w:rsidRDefault="004421F6">
            <w:pPr>
              <w:rPr>
                <w:rFonts w:ascii="宋体"/>
              </w:rPr>
            </w:pPr>
          </w:p>
        </w:tc>
        <w:tc>
          <w:tcPr>
            <w:tcW w:w="0" w:type="auto"/>
            <w:shd w:val="clear" w:color="auto" w:fill="auto"/>
          </w:tcPr>
          <w:p w14:paraId="1D0256D3" w14:textId="77777777" w:rsidR="004421F6" w:rsidRDefault="004421F6">
            <w:pPr>
              <w:rPr>
                <w:rFonts w:ascii="宋体"/>
              </w:rPr>
            </w:pPr>
          </w:p>
        </w:tc>
        <w:tc>
          <w:tcPr>
            <w:tcW w:w="0" w:type="auto"/>
            <w:shd w:val="clear" w:color="auto" w:fill="auto"/>
          </w:tcPr>
          <w:p w14:paraId="1D0256D4" w14:textId="77777777" w:rsidR="004421F6" w:rsidRDefault="004421F6">
            <w:pPr>
              <w:rPr>
                <w:rFonts w:ascii="宋体"/>
              </w:rPr>
            </w:pPr>
          </w:p>
        </w:tc>
      </w:tr>
      <w:tr w:rsidR="004421F6" w14:paraId="1D0256E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6D6" w14:textId="77777777" w:rsidR="004421F6" w:rsidRDefault="00F15622">
            <w:pPr>
              <w:textAlignment w:val="bottom"/>
            </w:pPr>
            <w:r>
              <w:rPr>
                <w:rFonts w:ascii="Arial" w:eastAsia="宋体" w:hAnsi="Arial" w:cs="Arial"/>
                <w:color w:val="000000"/>
                <w:sz w:val="17"/>
                <w:szCs w:val="17"/>
                <w:u w:val="single"/>
              </w:rPr>
              <w:t>Level 2:</w:t>
            </w:r>
          </w:p>
        </w:tc>
        <w:tc>
          <w:tcPr>
            <w:tcW w:w="0" w:type="auto"/>
            <w:gridSpan w:val="3"/>
            <w:tcBorders>
              <w:top w:val="single" w:sz="8" w:space="0" w:color="808080"/>
            </w:tcBorders>
            <w:shd w:val="clear" w:color="auto" w:fill="auto"/>
            <w:tcMar>
              <w:left w:w="20" w:type="dxa"/>
              <w:right w:w="20" w:type="dxa"/>
            </w:tcMar>
            <w:vAlign w:val="bottom"/>
          </w:tcPr>
          <w:p w14:paraId="1D0256D7"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6D8"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6D9" w14:textId="77777777" w:rsidR="004421F6" w:rsidRDefault="004421F6">
            <w:pPr>
              <w:rPr>
                <w:rFonts w:ascii="宋体"/>
              </w:rPr>
            </w:pPr>
          </w:p>
        </w:tc>
        <w:tc>
          <w:tcPr>
            <w:tcW w:w="0" w:type="auto"/>
            <w:shd w:val="clear" w:color="auto" w:fill="auto"/>
          </w:tcPr>
          <w:p w14:paraId="1D0256DA" w14:textId="77777777" w:rsidR="004421F6" w:rsidRDefault="004421F6">
            <w:pPr>
              <w:rPr>
                <w:rFonts w:ascii="宋体"/>
              </w:rPr>
            </w:pPr>
          </w:p>
        </w:tc>
        <w:tc>
          <w:tcPr>
            <w:tcW w:w="0" w:type="auto"/>
            <w:shd w:val="clear" w:color="auto" w:fill="auto"/>
          </w:tcPr>
          <w:p w14:paraId="1D0256DB" w14:textId="77777777" w:rsidR="004421F6" w:rsidRDefault="004421F6">
            <w:pPr>
              <w:rPr>
                <w:rFonts w:ascii="宋体"/>
              </w:rPr>
            </w:pPr>
          </w:p>
        </w:tc>
        <w:tc>
          <w:tcPr>
            <w:tcW w:w="0" w:type="auto"/>
            <w:shd w:val="clear" w:color="auto" w:fill="auto"/>
          </w:tcPr>
          <w:p w14:paraId="1D0256DC" w14:textId="77777777" w:rsidR="004421F6" w:rsidRDefault="004421F6">
            <w:pPr>
              <w:rPr>
                <w:rFonts w:ascii="宋体"/>
              </w:rPr>
            </w:pPr>
          </w:p>
        </w:tc>
        <w:tc>
          <w:tcPr>
            <w:tcW w:w="0" w:type="auto"/>
            <w:shd w:val="clear" w:color="auto" w:fill="auto"/>
          </w:tcPr>
          <w:p w14:paraId="1D0256DD" w14:textId="77777777" w:rsidR="004421F6" w:rsidRDefault="004421F6">
            <w:pPr>
              <w:rPr>
                <w:rFonts w:ascii="宋体"/>
              </w:rPr>
            </w:pPr>
          </w:p>
        </w:tc>
        <w:tc>
          <w:tcPr>
            <w:tcW w:w="0" w:type="auto"/>
            <w:shd w:val="clear" w:color="auto" w:fill="auto"/>
          </w:tcPr>
          <w:p w14:paraId="1D0256DE" w14:textId="77777777" w:rsidR="004421F6" w:rsidRDefault="004421F6">
            <w:pPr>
              <w:rPr>
                <w:rFonts w:ascii="宋体"/>
              </w:rPr>
            </w:pPr>
          </w:p>
        </w:tc>
        <w:tc>
          <w:tcPr>
            <w:tcW w:w="0" w:type="auto"/>
            <w:shd w:val="clear" w:color="auto" w:fill="auto"/>
          </w:tcPr>
          <w:p w14:paraId="1D0256DF" w14:textId="77777777" w:rsidR="004421F6" w:rsidRDefault="004421F6">
            <w:pPr>
              <w:rPr>
                <w:rFonts w:ascii="宋体"/>
              </w:rPr>
            </w:pPr>
          </w:p>
        </w:tc>
      </w:tr>
      <w:tr w:rsidR="004421F6" w14:paraId="1D0256EE"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6E1" w14:textId="77777777" w:rsidR="004421F6" w:rsidRDefault="00F15622">
            <w:pPr>
              <w:textAlignment w:val="bottom"/>
            </w:pPr>
            <w:r>
              <w:rPr>
                <w:rFonts w:ascii="Arial" w:eastAsia="宋体" w:hAnsi="Arial" w:cs="Arial"/>
                <w:color w:val="000000"/>
                <w:sz w:val="17"/>
                <w:szCs w:val="17"/>
              </w:rPr>
              <w:t>Commercial paper and bonds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6E2" w14:textId="77777777" w:rsidR="004421F6" w:rsidRDefault="00F15622">
            <w:pPr>
              <w:jc w:val="right"/>
              <w:textAlignment w:val="bottom"/>
            </w:pPr>
            <w:r>
              <w:rPr>
                <w:rFonts w:ascii="Arial" w:eastAsia="宋体" w:hAnsi="Arial" w:cs="Arial"/>
                <w:color w:val="000000"/>
                <w:sz w:val="17"/>
                <w:szCs w:val="17"/>
              </w:rPr>
              <w:t>32 </w:t>
            </w:r>
          </w:p>
        </w:tc>
        <w:tc>
          <w:tcPr>
            <w:tcW w:w="0" w:type="auto"/>
            <w:tcBorders>
              <w:top w:val="single" w:sz="8" w:space="0" w:color="808080"/>
            </w:tcBorders>
            <w:shd w:val="clear" w:color="auto" w:fill="auto"/>
            <w:tcMar>
              <w:top w:w="40" w:type="dxa"/>
              <w:bottom w:w="40" w:type="dxa"/>
              <w:right w:w="20" w:type="dxa"/>
            </w:tcMar>
            <w:vAlign w:val="bottom"/>
          </w:tcPr>
          <w:p w14:paraId="1D0256E3"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6E4"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56E5"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6E6" w14:textId="77777777" w:rsidR="004421F6" w:rsidRDefault="00F15622">
            <w:pPr>
              <w:jc w:val="right"/>
              <w:textAlignment w:val="bottom"/>
            </w:pPr>
            <w:r>
              <w:rPr>
                <w:rFonts w:ascii="Arial" w:eastAsia="宋体" w:hAnsi="Arial" w:cs="Arial"/>
                <w:color w:val="000000"/>
                <w:sz w:val="17"/>
                <w:szCs w:val="17"/>
              </w:rPr>
              <w:t>32 </w:t>
            </w:r>
          </w:p>
        </w:tc>
        <w:tc>
          <w:tcPr>
            <w:tcW w:w="0" w:type="auto"/>
            <w:tcBorders>
              <w:top w:val="single" w:sz="8" w:space="0" w:color="808080"/>
            </w:tcBorders>
            <w:shd w:val="clear" w:color="auto" w:fill="auto"/>
            <w:tcMar>
              <w:top w:w="40" w:type="dxa"/>
              <w:bottom w:w="40" w:type="dxa"/>
              <w:right w:w="20" w:type="dxa"/>
            </w:tcMar>
            <w:vAlign w:val="bottom"/>
          </w:tcPr>
          <w:p w14:paraId="1D0256E7" w14:textId="77777777" w:rsidR="004421F6" w:rsidRDefault="004421F6">
            <w:pPr>
              <w:jc w:val="right"/>
              <w:rPr>
                <w:rFonts w:ascii="宋体"/>
              </w:rPr>
            </w:pPr>
          </w:p>
        </w:tc>
        <w:tc>
          <w:tcPr>
            <w:tcW w:w="0" w:type="auto"/>
            <w:shd w:val="clear" w:color="auto" w:fill="auto"/>
          </w:tcPr>
          <w:p w14:paraId="1D0256E8" w14:textId="77777777" w:rsidR="004421F6" w:rsidRDefault="004421F6">
            <w:pPr>
              <w:rPr>
                <w:rFonts w:ascii="宋体"/>
              </w:rPr>
            </w:pPr>
          </w:p>
        </w:tc>
        <w:tc>
          <w:tcPr>
            <w:tcW w:w="0" w:type="auto"/>
            <w:shd w:val="clear" w:color="auto" w:fill="auto"/>
          </w:tcPr>
          <w:p w14:paraId="1D0256E9" w14:textId="77777777" w:rsidR="004421F6" w:rsidRDefault="004421F6">
            <w:pPr>
              <w:rPr>
                <w:rFonts w:ascii="宋体"/>
              </w:rPr>
            </w:pPr>
          </w:p>
        </w:tc>
        <w:tc>
          <w:tcPr>
            <w:tcW w:w="0" w:type="auto"/>
            <w:shd w:val="clear" w:color="auto" w:fill="auto"/>
          </w:tcPr>
          <w:p w14:paraId="1D0256EA" w14:textId="77777777" w:rsidR="004421F6" w:rsidRDefault="004421F6">
            <w:pPr>
              <w:rPr>
                <w:rFonts w:ascii="宋体"/>
              </w:rPr>
            </w:pPr>
          </w:p>
        </w:tc>
        <w:tc>
          <w:tcPr>
            <w:tcW w:w="0" w:type="auto"/>
            <w:shd w:val="clear" w:color="auto" w:fill="auto"/>
          </w:tcPr>
          <w:p w14:paraId="1D0256EB" w14:textId="77777777" w:rsidR="004421F6" w:rsidRDefault="004421F6">
            <w:pPr>
              <w:rPr>
                <w:rFonts w:ascii="宋体"/>
              </w:rPr>
            </w:pPr>
          </w:p>
        </w:tc>
        <w:tc>
          <w:tcPr>
            <w:tcW w:w="0" w:type="auto"/>
            <w:shd w:val="clear" w:color="auto" w:fill="auto"/>
          </w:tcPr>
          <w:p w14:paraId="1D0256EC" w14:textId="77777777" w:rsidR="004421F6" w:rsidRDefault="004421F6">
            <w:pPr>
              <w:rPr>
                <w:rFonts w:ascii="宋体"/>
              </w:rPr>
            </w:pPr>
          </w:p>
        </w:tc>
        <w:tc>
          <w:tcPr>
            <w:tcW w:w="0" w:type="auto"/>
            <w:shd w:val="clear" w:color="auto" w:fill="auto"/>
          </w:tcPr>
          <w:p w14:paraId="1D0256ED" w14:textId="77777777" w:rsidR="004421F6" w:rsidRDefault="004421F6">
            <w:pPr>
              <w:rPr>
                <w:rFonts w:ascii="宋体"/>
              </w:rPr>
            </w:pPr>
          </w:p>
        </w:tc>
      </w:tr>
      <w:tr w:rsidR="004421F6" w14:paraId="1D0256FC"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6EF" w14:textId="77777777" w:rsidR="004421F6" w:rsidRDefault="00F15622">
            <w:pPr>
              <w:textAlignment w:val="bottom"/>
            </w:pPr>
            <w:r>
              <w:rPr>
                <w:rFonts w:ascii="Arial" w:eastAsia="宋体" w:hAnsi="Arial" w:cs="Arial"/>
                <w:color w:val="000000"/>
                <w:sz w:val="17"/>
                <w:szCs w:val="17"/>
              </w:rPr>
              <w:t>Money market funds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6F0" w14:textId="77777777" w:rsidR="004421F6" w:rsidRDefault="00F15622">
            <w:pPr>
              <w:jc w:val="right"/>
              <w:textAlignment w:val="bottom"/>
            </w:pPr>
            <w:r>
              <w:rPr>
                <w:rFonts w:ascii="Arial" w:eastAsia="宋体" w:hAnsi="Arial" w:cs="Arial"/>
                <w:color w:val="000000"/>
                <w:sz w:val="17"/>
                <w:szCs w:val="17"/>
              </w:rPr>
              <w:t>5,973 </w:t>
            </w:r>
          </w:p>
        </w:tc>
        <w:tc>
          <w:tcPr>
            <w:tcW w:w="0" w:type="auto"/>
            <w:tcBorders>
              <w:top w:val="single" w:sz="8" w:space="0" w:color="808080"/>
            </w:tcBorders>
            <w:shd w:val="clear" w:color="auto" w:fill="auto"/>
            <w:tcMar>
              <w:top w:w="40" w:type="dxa"/>
              <w:bottom w:w="40" w:type="dxa"/>
              <w:right w:w="20" w:type="dxa"/>
            </w:tcMar>
            <w:vAlign w:val="bottom"/>
          </w:tcPr>
          <w:p w14:paraId="1D0256F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6F2" w14:textId="77777777" w:rsidR="004421F6" w:rsidRDefault="00F15622">
            <w:pPr>
              <w:jc w:val="right"/>
              <w:textAlignment w:val="bottom"/>
            </w:pPr>
            <w:r>
              <w:rPr>
                <w:rFonts w:ascii="Arial" w:eastAsia="宋体" w:hAnsi="Arial" w:cs="Arial"/>
                <w:color w:val="000000"/>
                <w:sz w:val="17"/>
                <w:szCs w:val="17"/>
              </w:rPr>
              <w:t>5,973 </w:t>
            </w:r>
          </w:p>
        </w:tc>
        <w:tc>
          <w:tcPr>
            <w:tcW w:w="0" w:type="auto"/>
            <w:tcBorders>
              <w:top w:val="single" w:sz="8" w:space="0" w:color="808080"/>
            </w:tcBorders>
            <w:shd w:val="clear" w:color="auto" w:fill="auto"/>
            <w:tcMar>
              <w:top w:w="40" w:type="dxa"/>
              <w:bottom w:w="40" w:type="dxa"/>
              <w:right w:w="20" w:type="dxa"/>
            </w:tcMar>
            <w:vAlign w:val="bottom"/>
          </w:tcPr>
          <w:p w14:paraId="1D0256F3"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6F4"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56F5" w14:textId="77777777" w:rsidR="004421F6" w:rsidRDefault="004421F6">
            <w:pPr>
              <w:jc w:val="right"/>
              <w:rPr>
                <w:rFonts w:ascii="宋体"/>
              </w:rPr>
            </w:pPr>
          </w:p>
        </w:tc>
        <w:tc>
          <w:tcPr>
            <w:tcW w:w="0" w:type="auto"/>
            <w:shd w:val="clear" w:color="auto" w:fill="auto"/>
          </w:tcPr>
          <w:p w14:paraId="1D0256F6" w14:textId="77777777" w:rsidR="004421F6" w:rsidRDefault="004421F6">
            <w:pPr>
              <w:rPr>
                <w:rFonts w:ascii="宋体"/>
              </w:rPr>
            </w:pPr>
          </w:p>
        </w:tc>
        <w:tc>
          <w:tcPr>
            <w:tcW w:w="0" w:type="auto"/>
            <w:shd w:val="clear" w:color="auto" w:fill="auto"/>
          </w:tcPr>
          <w:p w14:paraId="1D0256F7" w14:textId="77777777" w:rsidR="004421F6" w:rsidRDefault="004421F6">
            <w:pPr>
              <w:rPr>
                <w:rFonts w:ascii="宋体"/>
              </w:rPr>
            </w:pPr>
          </w:p>
        </w:tc>
        <w:tc>
          <w:tcPr>
            <w:tcW w:w="0" w:type="auto"/>
            <w:shd w:val="clear" w:color="auto" w:fill="auto"/>
          </w:tcPr>
          <w:p w14:paraId="1D0256F8" w14:textId="77777777" w:rsidR="004421F6" w:rsidRDefault="004421F6">
            <w:pPr>
              <w:rPr>
                <w:rFonts w:ascii="宋体"/>
              </w:rPr>
            </w:pPr>
          </w:p>
        </w:tc>
        <w:tc>
          <w:tcPr>
            <w:tcW w:w="0" w:type="auto"/>
            <w:shd w:val="clear" w:color="auto" w:fill="auto"/>
          </w:tcPr>
          <w:p w14:paraId="1D0256F9" w14:textId="77777777" w:rsidR="004421F6" w:rsidRDefault="004421F6">
            <w:pPr>
              <w:rPr>
                <w:rFonts w:ascii="宋体"/>
              </w:rPr>
            </w:pPr>
          </w:p>
        </w:tc>
        <w:tc>
          <w:tcPr>
            <w:tcW w:w="0" w:type="auto"/>
            <w:shd w:val="clear" w:color="auto" w:fill="auto"/>
          </w:tcPr>
          <w:p w14:paraId="1D0256FA" w14:textId="77777777" w:rsidR="004421F6" w:rsidRDefault="004421F6">
            <w:pPr>
              <w:rPr>
                <w:rFonts w:ascii="宋体"/>
              </w:rPr>
            </w:pPr>
          </w:p>
        </w:tc>
        <w:tc>
          <w:tcPr>
            <w:tcW w:w="0" w:type="auto"/>
            <w:shd w:val="clear" w:color="auto" w:fill="auto"/>
          </w:tcPr>
          <w:p w14:paraId="1D0256FB" w14:textId="77777777" w:rsidR="004421F6" w:rsidRDefault="004421F6">
            <w:pPr>
              <w:rPr>
                <w:rFonts w:ascii="宋体"/>
              </w:rPr>
            </w:pPr>
          </w:p>
        </w:tc>
      </w:tr>
      <w:tr w:rsidR="004421F6" w14:paraId="1D02570A"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6FD" w14:textId="77777777" w:rsidR="004421F6" w:rsidRDefault="00F15622">
            <w:pPr>
              <w:textAlignment w:val="bottom"/>
            </w:pPr>
            <w:r>
              <w:rPr>
                <w:rFonts w:ascii="Arial" w:eastAsia="宋体" w:hAnsi="Arial" w:cs="Arial"/>
                <w:color w:val="000000"/>
                <w:sz w:val="17"/>
                <w:szCs w:val="17"/>
              </w:rPr>
              <w:t>Time deposits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6FE" w14:textId="77777777" w:rsidR="004421F6" w:rsidRDefault="00F15622">
            <w:pPr>
              <w:jc w:val="right"/>
              <w:textAlignment w:val="bottom"/>
            </w:pPr>
            <w:r>
              <w:rPr>
                <w:rFonts w:ascii="Arial" w:eastAsia="宋体" w:hAnsi="Arial" w:cs="Arial"/>
                <w:color w:val="000000"/>
                <w:sz w:val="17"/>
                <w:szCs w:val="17"/>
              </w:rPr>
              <w:t>981 </w:t>
            </w:r>
          </w:p>
        </w:tc>
        <w:tc>
          <w:tcPr>
            <w:tcW w:w="0" w:type="auto"/>
            <w:tcBorders>
              <w:top w:val="single" w:sz="8" w:space="0" w:color="808080"/>
            </w:tcBorders>
            <w:shd w:val="clear" w:color="auto" w:fill="auto"/>
            <w:tcMar>
              <w:top w:w="40" w:type="dxa"/>
              <w:bottom w:w="40" w:type="dxa"/>
              <w:right w:w="20" w:type="dxa"/>
            </w:tcMar>
            <w:vAlign w:val="bottom"/>
          </w:tcPr>
          <w:p w14:paraId="1D0256FF"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700" w14:textId="77777777" w:rsidR="004421F6" w:rsidRDefault="00F15622">
            <w:pPr>
              <w:jc w:val="right"/>
              <w:textAlignment w:val="bottom"/>
            </w:pPr>
            <w:r>
              <w:rPr>
                <w:rFonts w:ascii="Arial" w:eastAsia="宋体" w:hAnsi="Arial" w:cs="Arial"/>
                <w:color w:val="000000"/>
                <w:sz w:val="17"/>
                <w:szCs w:val="17"/>
              </w:rPr>
              <w:t>979 </w:t>
            </w:r>
          </w:p>
        </w:tc>
        <w:tc>
          <w:tcPr>
            <w:tcW w:w="0" w:type="auto"/>
            <w:tcBorders>
              <w:top w:val="single" w:sz="8" w:space="0" w:color="808080"/>
            </w:tcBorders>
            <w:shd w:val="clear" w:color="auto" w:fill="auto"/>
            <w:tcMar>
              <w:top w:w="40" w:type="dxa"/>
              <w:bottom w:w="40" w:type="dxa"/>
              <w:right w:w="20" w:type="dxa"/>
            </w:tcMar>
            <w:vAlign w:val="bottom"/>
          </w:tcPr>
          <w:p w14:paraId="1D02570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702" w14:textId="77777777" w:rsidR="004421F6" w:rsidRDefault="00F1562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bottom w:w="40" w:type="dxa"/>
              <w:right w:w="20" w:type="dxa"/>
            </w:tcMar>
            <w:vAlign w:val="bottom"/>
          </w:tcPr>
          <w:p w14:paraId="1D025703" w14:textId="77777777" w:rsidR="004421F6" w:rsidRDefault="004421F6">
            <w:pPr>
              <w:jc w:val="right"/>
              <w:rPr>
                <w:rFonts w:ascii="宋体"/>
              </w:rPr>
            </w:pPr>
          </w:p>
        </w:tc>
        <w:tc>
          <w:tcPr>
            <w:tcW w:w="0" w:type="auto"/>
            <w:shd w:val="clear" w:color="auto" w:fill="auto"/>
          </w:tcPr>
          <w:p w14:paraId="1D025704" w14:textId="77777777" w:rsidR="004421F6" w:rsidRDefault="004421F6">
            <w:pPr>
              <w:rPr>
                <w:rFonts w:ascii="宋体"/>
              </w:rPr>
            </w:pPr>
          </w:p>
        </w:tc>
        <w:tc>
          <w:tcPr>
            <w:tcW w:w="0" w:type="auto"/>
            <w:shd w:val="clear" w:color="auto" w:fill="auto"/>
          </w:tcPr>
          <w:p w14:paraId="1D025705" w14:textId="77777777" w:rsidR="004421F6" w:rsidRDefault="004421F6">
            <w:pPr>
              <w:rPr>
                <w:rFonts w:ascii="宋体"/>
              </w:rPr>
            </w:pPr>
          </w:p>
        </w:tc>
        <w:tc>
          <w:tcPr>
            <w:tcW w:w="0" w:type="auto"/>
            <w:shd w:val="clear" w:color="auto" w:fill="auto"/>
          </w:tcPr>
          <w:p w14:paraId="1D025706" w14:textId="77777777" w:rsidR="004421F6" w:rsidRDefault="004421F6">
            <w:pPr>
              <w:rPr>
                <w:rFonts w:ascii="宋体"/>
              </w:rPr>
            </w:pPr>
          </w:p>
        </w:tc>
        <w:tc>
          <w:tcPr>
            <w:tcW w:w="0" w:type="auto"/>
            <w:shd w:val="clear" w:color="auto" w:fill="auto"/>
          </w:tcPr>
          <w:p w14:paraId="1D025707" w14:textId="77777777" w:rsidR="004421F6" w:rsidRDefault="004421F6">
            <w:pPr>
              <w:rPr>
                <w:rFonts w:ascii="宋体"/>
              </w:rPr>
            </w:pPr>
          </w:p>
        </w:tc>
        <w:tc>
          <w:tcPr>
            <w:tcW w:w="0" w:type="auto"/>
            <w:shd w:val="clear" w:color="auto" w:fill="auto"/>
          </w:tcPr>
          <w:p w14:paraId="1D025708" w14:textId="77777777" w:rsidR="004421F6" w:rsidRDefault="004421F6">
            <w:pPr>
              <w:rPr>
                <w:rFonts w:ascii="宋体"/>
              </w:rPr>
            </w:pPr>
          </w:p>
        </w:tc>
        <w:tc>
          <w:tcPr>
            <w:tcW w:w="0" w:type="auto"/>
            <w:shd w:val="clear" w:color="auto" w:fill="auto"/>
          </w:tcPr>
          <w:p w14:paraId="1D025709" w14:textId="77777777" w:rsidR="004421F6" w:rsidRDefault="004421F6">
            <w:pPr>
              <w:rPr>
                <w:rFonts w:ascii="宋体"/>
              </w:rPr>
            </w:pPr>
          </w:p>
        </w:tc>
      </w:tr>
      <w:tr w:rsidR="004421F6" w14:paraId="1D025718"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70B" w14:textId="77777777" w:rsidR="004421F6" w:rsidRDefault="00F15622">
            <w:pPr>
              <w:textAlignment w:val="bottom"/>
            </w:pPr>
            <w:r>
              <w:rPr>
                <w:rFonts w:ascii="Arial" w:eastAsia="宋体" w:hAnsi="Arial" w:cs="Arial"/>
                <w:color w:val="000000"/>
                <w:sz w:val="17"/>
                <w:szCs w:val="17"/>
              </w:rPr>
              <w:t>U.S. Agency securities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70C"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bottom w:w="40" w:type="dxa"/>
              <w:right w:w="20" w:type="dxa"/>
            </w:tcMar>
            <w:vAlign w:val="bottom"/>
          </w:tcPr>
          <w:p w14:paraId="1D02570D"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70E"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570F"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710"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bottom w:w="40" w:type="dxa"/>
              <w:right w:w="20" w:type="dxa"/>
            </w:tcMar>
            <w:vAlign w:val="bottom"/>
          </w:tcPr>
          <w:p w14:paraId="1D025711" w14:textId="77777777" w:rsidR="004421F6" w:rsidRDefault="004421F6">
            <w:pPr>
              <w:jc w:val="right"/>
              <w:rPr>
                <w:rFonts w:ascii="宋体"/>
              </w:rPr>
            </w:pPr>
          </w:p>
        </w:tc>
        <w:tc>
          <w:tcPr>
            <w:tcW w:w="0" w:type="auto"/>
            <w:shd w:val="clear" w:color="auto" w:fill="auto"/>
          </w:tcPr>
          <w:p w14:paraId="1D025712" w14:textId="77777777" w:rsidR="004421F6" w:rsidRDefault="004421F6">
            <w:pPr>
              <w:rPr>
                <w:rFonts w:ascii="宋体"/>
              </w:rPr>
            </w:pPr>
          </w:p>
        </w:tc>
        <w:tc>
          <w:tcPr>
            <w:tcW w:w="0" w:type="auto"/>
            <w:shd w:val="clear" w:color="auto" w:fill="auto"/>
          </w:tcPr>
          <w:p w14:paraId="1D025713" w14:textId="77777777" w:rsidR="004421F6" w:rsidRDefault="004421F6">
            <w:pPr>
              <w:rPr>
                <w:rFonts w:ascii="宋体"/>
              </w:rPr>
            </w:pPr>
          </w:p>
        </w:tc>
        <w:tc>
          <w:tcPr>
            <w:tcW w:w="0" w:type="auto"/>
            <w:shd w:val="clear" w:color="auto" w:fill="auto"/>
          </w:tcPr>
          <w:p w14:paraId="1D025714" w14:textId="77777777" w:rsidR="004421F6" w:rsidRDefault="004421F6">
            <w:pPr>
              <w:rPr>
                <w:rFonts w:ascii="宋体"/>
              </w:rPr>
            </w:pPr>
          </w:p>
        </w:tc>
        <w:tc>
          <w:tcPr>
            <w:tcW w:w="0" w:type="auto"/>
            <w:shd w:val="clear" w:color="auto" w:fill="auto"/>
          </w:tcPr>
          <w:p w14:paraId="1D025715" w14:textId="77777777" w:rsidR="004421F6" w:rsidRDefault="004421F6">
            <w:pPr>
              <w:rPr>
                <w:rFonts w:ascii="宋体"/>
              </w:rPr>
            </w:pPr>
          </w:p>
        </w:tc>
        <w:tc>
          <w:tcPr>
            <w:tcW w:w="0" w:type="auto"/>
            <w:shd w:val="clear" w:color="auto" w:fill="auto"/>
          </w:tcPr>
          <w:p w14:paraId="1D025716" w14:textId="77777777" w:rsidR="004421F6" w:rsidRDefault="004421F6">
            <w:pPr>
              <w:rPr>
                <w:rFonts w:ascii="宋体"/>
              </w:rPr>
            </w:pPr>
          </w:p>
        </w:tc>
        <w:tc>
          <w:tcPr>
            <w:tcW w:w="0" w:type="auto"/>
            <w:shd w:val="clear" w:color="auto" w:fill="auto"/>
          </w:tcPr>
          <w:p w14:paraId="1D025717" w14:textId="77777777" w:rsidR="004421F6" w:rsidRDefault="004421F6">
            <w:pPr>
              <w:rPr>
                <w:rFonts w:ascii="宋体"/>
              </w:rPr>
            </w:pPr>
          </w:p>
        </w:tc>
      </w:tr>
      <w:tr w:rsidR="004421F6" w14:paraId="1D02572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719" w14:textId="77777777" w:rsidR="004421F6" w:rsidRDefault="00F15622">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71A" w14:textId="77777777" w:rsidR="004421F6" w:rsidRDefault="00F15622">
            <w:pPr>
              <w:jc w:val="right"/>
              <w:textAlignment w:val="bottom"/>
            </w:pPr>
            <w:r>
              <w:rPr>
                <w:rFonts w:ascii="Arial" w:eastAsia="宋体" w:hAnsi="Arial" w:cs="Arial"/>
                <w:color w:val="000000"/>
                <w:sz w:val="17"/>
                <w:szCs w:val="17"/>
              </w:rPr>
              <w:t>6,987 </w:t>
            </w:r>
          </w:p>
        </w:tc>
        <w:tc>
          <w:tcPr>
            <w:tcW w:w="0" w:type="auto"/>
            <w:tcBorders>
              <w:top w:val="single" w:sz="8" w:space="0" w:color="E87722"/>
            </w:tcBorders>
            <w:shd w:val="clear" w:color="auto" w:fill="auto"/>
            <w:tcMar>
              <w:top w:w="40" w:type="dxa"/>
              <w:bottom w:w="40" w:type="dxa"/>
              <w:right w:w="20" w:type="dxa"/>
            </w:tcMar>
            <w:vAlign w:val="bottom"/>
          </w:tcPr>
          <w:p w14:paraId="1D02571B"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71C" w14:textId="77777777" w:rsidR="004421F6" w:rsidRDefault="00F15622">
            <w:pPr>
              <w:jc w:val="right"/>
              <w:textAlignment w:val="bottom"/>
            </w:pPr>
            <w:r>
              <w:rPr>
                <w:rFonts w:ascii="Arial" w:eastAsia="宋体" w:hAnsi="Arial" w:cs="Arial"/>
                <w:color w:val="000000"/>
                <w:sz w:val="17"/>
                <w:szCs w:val="17"/>
              </w:rPr>
              <w:t>6,952 </w:t>
            </w:r>
          </w:p>
        </w:tc>
        <w:tc>
          <w:tcPr>
            <w:tcW w:w="0" w:type="auto"/>
            <w:tcBorders>
              <w:top w:val="single" w:sz="8" w:space="0" w:color="E87722"/>
            </w:tcBorders>
            <w:shd w:val="clear" w:color="auto" w:fill="auto"/>
            <w:tcMar>
              <w:top w:w="40" w:type="dxa"/>
              <w:bottom w:w="40" w:type="dxa"/>
              <w:right w:w="20" w:type="dxa"/>
            </w:tcMar>
            <w:vAlign w:val="bottom"/>
          </w:tcPr>
          <w:p w14:paraId="1D02571D"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71E" w14:textId="77777777" w:rsidR="004421F6" w:rsidRDefault="00F15622">
            <w:pPr>
              <w:jc w:val="right"/>
              <w:textAlignment w:val="bottom"/>
            </w:pPr>
            <w:r>
              <w:rPr>
                <w:rFonts w:ascii="Arial" w:eastAsia="宋体" w:hAnsi="Arial" w:cs="Arial"/>
                <w:color w:val="000000"/>
                <w:sz w:val="17"/>
                <w:szCs w:val="17"/>
              </w:rPr>
              <w:t>35 </w:t>
            </w:r>
          </w:p>
        </w:tc>
        <w:tc>
          <w:tcPr>
            <w:tcW w:w="0" w:type="auto"/>
            <w:tcBorders>
              <w:top w:val="single" w:sz="8" w:space="0" w:color="E87722"/>
            </w:tcBorders>
            <w:shd w:val="clear" w:color="auto" w:fill="auto"/>
            <w:tcMar>
              <w:top w:w="40" w:type="dxa"/>
              <w:bottom w:w="40" w:type="dxa"/>
              <w:right w:w="20" w:type="dxa"/>
            </w:tcMar>
            <w:vAlign w:val="bottom"/>
          </w:tcPr>
          <w:p w14:paraId="1D02571F" w14:textId="77777777" w:rsidR="004421F6" w:rsidRDefault="004421F6">
            <w:pPr>
              <w:jc w:val="right"/>
              <w:rPr>
                <w:rFonts w:ascii="宋体"/>
              </w:rPr>
            </w:pPr>
          </w:p>
        </w:tc>
        <w:tc>
          <w:tcPr>
            <w:tcW w:w="0" w:type="auto"/>
            <w:shd w:val="clear" w:color="auto" w:fill="auto"/>
          </w:tcPr>
          <w:p w14:paraId="1D025720" w14:textId="77777777" w:rsidR="004421F6" w:rsidRDefault="004421F6">
            <w:pPr>
              <w:rPr>
                <w:rFonts w:ascii="宋体"/>
              </w:rPr>
            </w:pPr>
          </w:p>
        </w:tc>
        <w:tc>
          <w:tcPr>
            <w:tcW w:w="0" w:type="auto"/>
            <w:shd w:val="clear" w:color="auto" w:fill="auto"/>
          </w:tcPr>
          <w:p w14:paraId="1D025721" w14:textId="77777777" w:rsidR="004421F6" w:rsidRDefault="004421F6">
            <w:pPr>
              <w:rPr>
                <w:rFonts w:ascii="宋体"/>
              </w:rPr>
            </w:pPr>
          </w:p>
        </w:tc>
        <w:tc>
          <w:tcPr>
            <w:tcW w:w="0" w:type="auto"/>
            <w:shd w:val="clear" w:color="auto" w:fill="auto"/>
          </w:tcPr>
          <w:p w14:paraId="1D025722" w14:textId="77777777" w:rsidR="004421F6" w:rsidRDefault="004421F6">
            <w:pPr>
              <w:rPr>
                <w:rFonts w:ascii="宋体"/>
              </w:rPr>
            </w:pPr>
          </w:p>
        </w:tc>
        <w:tc>
          <w:tcPr>
            <w:tcW w:w="0" w:type="auto"/>
            <w:shd w:val="clear" w:color="auto" w:fill="auto"/>
          </w:tcPr>
          <w:p w14:paraId="1D025723" w14:textId="77777777" w:rsidR="004421F6" w:rsidRDefault="004421F6">
            <w:pPr>
              <w:rPr>
                <w:rFonts w:ascii="宋体"/>
              </w:rPr>
            </w:pPr>
          </w:p>
        </w:tc>
        <w:tc>
          <w:tcPr>
            <w:tcW w:w="0" w:type="auto"/>
            <w:shd w:val="clear" w:color="auto" w:fill="auto"/>
          </w:tcPr>
          <w:p w14:paraId="1D025724" w14:textId="77777777" w:rsidR="004421F6" w:rsidRDefault="004421F6">
            <w:pPr>
              <w:rPr>
                <w:rFonts w:ascii="宋体"/>
              </w:rPr>
            </w:pPr>
          </w:p>
        </w:tc>
        <w:tc>
          <w:tcPr>
            <w:tcW w:w="0" w:type="auto"/>
            <w:shd w:val="clear" w:color="auto" w:fill="auto"/>
          </w:tcPr>
          <w:p w14:paraId="1D025725" w14:textId="77777777" w:rsidR="004421F6" w:rsidRDefault="004421F6">
            <w:pPr>
              <w:rPr>
                <w:rFonts w:ascii="宋体"/>
              </w:rPr>
            </w:pPr>
          </w:p>
        </w:tc>
      </w:tr>
      <w:tr w:rsidR="004421F6" w14:paraId="1D02573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727" w14:textId="77777777" w:rsidR="004421F6" w:rsidRDefault="00F15622">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728"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729" w14:textId="77777777" w:rsidR="004421F6" w:rsidRDefault="00F15622">
            <w:pPr>
              <w:jc w:val="right"/>
              <w:textAlignment w:val="bottom"/>
            </w:pPr>
            <w:r>
              <w:rPr>
                <w:rFonts w:ascii="Arial" w:eastAsia="宋体" w:hAnsi="Arial" w:cs="Arial"/>
                <w:b/>
                <w:bCs/>
                <w:color w:val="000000"/>
                <w:sz w:val="17"/>
                <w:szCs w:val="17"/>
              </w:rPr>
              <w:t>8,787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72A"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72B"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72C" w14:textId="77777777" w:rsidR="004421F6" w:rsidRDefault="00F15622">
            <w:pPr>
              <w:jc w:val="right"/>
              <w:textAlignment w:val="bottom"/>
            </w:pPr>
            <w:r>
              <w:rPr>
                <w:rFonts w:ascii="Arial" w:eastAsia="宋体" w:hAnsi="Arial" w:cs="Arial"/>
                <w:b/>
                <w:bCs/>
                <w:color w:val="000000"/>
                <w:sz w:val="17"/>
                <w:szCs w:val="17"/>
              </w:rPr>
              <w:t>8,348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72D"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72E"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72F" w14:textId="77777777" w:rsidR="004421F6" w:rsidRDefault="00F15622">
            <w:pPr>
              <w:jc w:val="right"/>
              <w:textAlignment w:val="bottom"/>
            </w:pPr>
            <w:r>
              <w:rPr>
                <w:rFonts w:ascii="Arial" w:eastAsia="宋体" w:hAnsi="Arial" w:cs="Arial"/>
                <w:b/>
                <w:bCs/>
                <w:color w:val="000000"/>
                <w:sz w:val="17"/>
                <w:szCs w:val="17"/>
              </w:rPr>
              <w:t>439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730" w14:textId="77777777" w:rsidR="004421F6" w:rsidRDefault="004421F6">
            <w:pPr>
              <w:jc w:val="right"/>
              <w:rPr>
                <w:rFonts w:ascii="宋体"/>
              </w:rPr>
            </w:pPr>
          </w:p>
        </w:tc>
        <w:tc>
          <w:tcPr>
            <w:tcW w:w="0" w:type="auto"/>
            <w:shd w:val="clear" w:color="auto" w:fill="auto"/>
          </w:tcPr>
          <w:p w14:paraId="1D025731" w14:textId="77777777" w:rsidR="004421F6" w:rsidRDefault="004421F6">
            <w:pPr>
              <w:rPr>
                <w:rFonts w:ascii="宋体"/>
              </w:rPr>
            </w:pPr>
          </w:p>
        </w:tc>
        <w:tc>
          <w:tcPr>
            <w:tcW w:w="0" w:type="auto"/>
            <w:shd w:val="clear" w:color="auto" w:fill="auto"/>
          </w:tcPr>
          <w:p w14:paraId="1D025732" w14:textId="77777777" w:rsidR="004421F6" w:rsidRDefault="004421F6">
            <w:pPr>
              <w:rPr>
                <w:rFonts w:ascii="宋体"/>
              </w:rPr>
            </w:pPr>
          </w:p>
        </w:tc>
        <w:tc>
          <w:tcPr>
            <w:tcW w:w="0" w:type="auto"/>
            <w:shd w:val="clear" w:color="auto" w:fill="auto"/>
          </w:tcPr>
          <w:p w14:paraId="1D025733" w14:textId="77777777" w:rsidR="004421F6" w:rsidRDefault="004421F6">
            <w:pPr>
              <w:rPr>
                <w:rFonts w:ascii="宋体"/>
              </w:rPr>
            </w:pPr>
          </w:p>
        </w:tc>
        <w:tc>
          <w:tcPr>
            <w:tcW w:w="0" w:type="auto"/>
            <w:shd w:val="clear" w:color="auto" w:fill="auto"/>
          </w:tcPr>
          <w:p w14:paraId="1D025734" w14:textId="77777777" w:rsidR="004421F6" w:rsidRDefault="004421F6">
            <w:pPr>
              <w:rPr>
                <w:rFonts w:ascii="宋体"/>
              </w:rPr>
            </w:pPr>
          </w:p>
        </w:tc>
        <w:tc>
          <w:tcPr>
            <w:tcW w:w="0" w:type="auto"/>
            <w:shd w:val="clear" w:color="auto" w:fill="auto"/>
          </w:tcPr>
          <w:p w14:paraId="1D025735" w14:textId="77777777" w:rsidR="004421F6" w:rsidRDefault="004421F6">
            <w:pPr>
              <w:rPr>
                <w:rFonts w:ascii="宋体"/>
              </w:rPr>
            </w:pPr>
          </w:p>
        </w:tc>
        <w:tc>
          <w:tcPr>
            <w:tcW w:w="0" w:type="auto"/>
            <w:shd w:val="clear" w:color="auto" w:fill="auto"/>
          </w:tcPr>
          <w:p w14:paraId="1D025736" w14:textId="77777777" w:rsidR="004421F6" w:rsidRDefault="004421F6">
            <w:pPr>
              <w:rPr>
                <w:rFonts w:ascii="宋体"/>
              </w:rPr>
            </w:pPr>
          </w:p>
        </w:tc>
      </w:tr>
    </w:tbl>
    <w:p w14:paraId="1D025738" w14:textId="77777777" w:rsidR="004421F6" w:rsidRDefault="00F15622">
      <w:pPr>
        <w:spacing w:before="120" w:after="120"/>
      </w:pPr>
      <w:r>
        <w:rPr>
          <w:rFonts w:ascii="Arial" w:eastAsia="宋体" w:hAnsi="Arial" w:cs="Arial"/>
          <w:color w:val="000000"/>
          <w:sz w:val="17"/>
          <w:szCs w:val="17"/>
        </w:rPr>
        <w:t xml:space="preserve">As of </w:t>
      </w:r>
      <w:r>
        <w:rPr>
          <w:rFonts w:ascii="Arial" w:eastAsia="宋体" w:hAnsi="Arial" w:cs="Arial"/>
          <w:color w:val="000000"/>
          <w:sz w:val="17"/>
          <w:szCs w:val="17"/>
        </w:rPr>
        <w:t>August 31, 2020, the Company held $1,291 million of available-for-sale debt securities with maturity dates within one year and $41 million with maturity dates over one year and less than five years in Short-term investments on the Unaudited Condensed Conso</w:t>
      </w:r>
      <w:r>
        <w:rPr>
          <w:rFonts w:ascii="Arial" w:eastAsia="宋体" w:hAnsi="Arial" w:cs="Arial"/>
          <w:color w:val="000000"/>
          <w:sz w:val="17"/>
          <w:szCs w:val="17"/>
        </w:rPr>
        <w:t>lidated Balance Sheets. The fair value of the Company's available-for-sale debt securities approximates their amortized cost.</w:t>
      </w:r>
    </w:p>
    <w:p w14:paraId="1D025739" w14:textId="77777777" w:rsidR="004421F6" w:rsidRDefault="00F15622">
      <w:pPr>
        <w:spacing w:before="120" w:after="120"/>
      </w:pPr>
      <w:r>
        <w:rPr>
          <w:rFonts w:ascii="Arial" w:eastAsia="宋体" w:hAnsi="Arial" w:cs="Arial"/>
          <w:color w:val="000000"/>
          <w:sz w:val="17"/>
          <w:szCs w:val="17"/>
        </w:rPr>
        <w:t>Included in</w:t>
      </w:r>
      <w:r>
        <w:rPr>
          <w:rFonts w:ascii="Arial" w:eastAsia="宋体" w:hAnsi="Arial" w:cs="Arial"/>
          <w:i/>
          <w:iCs/>
          <w:color w:val="000000"/>
          <w:sz w:val="17"/>
          <w:szCs w:val="17"/>
        </w:rPr>
        <w:t xml:space="preserve"> </w:t>
      </w:r>
      <w:r>
        <w:rPr>
          <w:rFonts w:ascii="Arial" w:eastAsia="宋体" w:hAnsi="Arial" w:cs="Arial"/>
          <w:color w:val="000000"/>
          <w:sz w:val="17"/>
          <w:szCs w:val="17"/>
        </w:rPr>
        <w:t>Interest expense (income), net was interest income related to the Company's investment portfolio of $7 million and $21</w:t>
      </w:r>
      <w:r>
        <w:rPr>
          <w:rFonts w:ascii="Arial" w:eastAsia="宋体" w:hAnsi="Arial" w:cs="Arial"/>
          <w:color w:val="000000"/>
          <w:sz w:val="17"/>
          <w:szCs w:val="17"/>
        </w:rPr>
        <w:t xml:space="preserve"> million for the three months ended August 31, 2020 and 2019, respectively.</w:t>
      </w:r>
    </w:p>
    <w:p w14:paraId="1D02573A" w14:textId="77777777" w:rsidR="004421F6" w:rsidRDefault="00F15622">
      <w:pPr>
        <w:spacing w:before="120" w:after="120"/>
      </w:pPr>
      <w:r>
        <w:rPr>
          <w:rFonts w:ascii="Arial" w:eastAsia="宋体" w:hAnsi="Arial" w:cs="Arial"/>
          <w:color w:val="000000"/>
          <w:sz w:val="17"/>
          <w:szCs w:val="17"/>
        </w:rPr>
        <w:t>The following tables present information about the Company's derivative assets and liabilities measured at fair value on a recurring basis as of August 31, 2020 and May 31, 2020, a</w:t>
      </w:r>
      <w:r>
        <w:rPr>
          <w:rFonts w:ascii="Arial" w:eastAsia="宋体" w:hAnsi="Arial" w:cs="Arial"/>
          <w:color w:val="000000"/>
          <w:sz w:val="17"/>
          <w:szCs w:val="17"/>
        </w:rPr>
        <w:t>nd indicate the level in the fair value hierarchy in which the Company classifies the fair value measurement:</w:t>
      </w:r>
    </w:p>
    <w:tbl>
      <w:tblPr>
        <w:tblW w:w="4992" w:type="pct"/>
        <w:tblCellMar>
          <w:top w:w="15" w:type="dxa"/>
          <w:left w:w="15" w:type="dxa"/>
          <w:bottom w:w="15" w:type="dxa"/>
          <w:right w:w="15" w:type="dxa"/>
        </w:tblCellMar>
        <w:tblLook w:val="04A0" w:firstRow="1" w:lastRow="0" w:firstColumn="1" w:lastColumn="0" w:noHBand="0" w:noVBand="1"/>
      </w:tblPr>
      <w:tblGrid>
        <w:gridCol w:w="39"/>
        <w:gridCol w:w="1703"/>
        <w:gridCol w:w="38"/>
        <w:gridCol w:w="131"/>
        <w:gridCol w:w="487"/>
        <w:gridCol w:w="41"/>
        <w:gridCol w:w="131"/>
        <w:gridCol w:w="628"/>
        <w:gridCol w:w="41"/>
        <w:gridCol w:w="131"/>
        <w:gridCol w:w="811"/>
        <w:gridCol w:w="41"/>
        <w:gridCol w:w="36"/>
        <w:gridCol w:w="36"/>
        <w:gridCol w:w="36"/>
        <w:gridCol w:w="131"/>
        <w:gridCol w:w="715"/>
        <w:gridCol w:w="41"/>
        <w:gridCol w:w="131"/>
        <w:gridCol w:w="715"/>
        <w:gridCol w:w="41"/>
        <w:gridCol w:w="131"/>
        <w:gridCol w:w="811"/>
        <w:gridCol w:w="41"/>
        <w:gridCol w:w="134"/>
        <w:gridCol w:w="134"/>
        <w:gridCol w:w="134"/>
        <w:gridCol w:w="134"/>
        <w:gridCol w:w="134"/>
        <w:gridCol w:w="134"/>
        <w:gridCol w:w="36"/>
        <w:gridCol w:w="36"/>
        <w:gridCol w:w="36"/>
        <w:gridCol w:w="36"/>
        <w:gridCol w:w="36"/>
        <w:gridCol w:w="36"/>
        <w:gridCol w:w="36"/>
        <w:gridCol w:w="36"/>
        <w:gridCol w:w="36"/>
        <w:gridCol w:w="36"/>
        <w:gridCol w:w="36"/>
        <w:gridCol w:w="36"/>
      </w:tblGrid>
      <w:tr w:rsidR="004421F6" w14:paraId="1D025753" w14:textId="77777777">
        <w:trPr>
          <w:gridAfter w:val="18"/>
        </w:trPr>
        <w:tc>
          <w:tcPr>
            <w:tcW w:w="50" w:type="pct"/>
            <w:shd w:val="clear" w:color="auto" w:fill="auto"/>
          </w:tcPr>
          <w:p w14:paraId="1D02573B" w14:textId="77777777" w:rsidR="004421F6" w:rsidRDefault="004421F6">
            <w:pPr>
              <w:rPr>
                <w:rFonts w:ascii="宋体"/>
              </w:rPr>
            </w:pPr>
          </w:p>
        </w:tc>
        <w:tc>
          <w:tcPr>
            <w:tcW w:w="2047" w:type="pct"/>
            <w:shd w:val="clear" w:color="auto" w:fill="auto"/>
          </w:tcPr>
          <w:p w14:paraId="1D02573C" w14:textId="77777777" w:rsidR="004421F6" w:rsidRDefault="004421F6">
            <w:pPr>
              <w:rPr>
                <w:rFonts w:ascii="宋体"/>
              </w:rPr>
            </w:pPr>
          </w:p>
        </w:tc>
        <w:tc>
          <w:tcPr>
            <w:tcW w:w="5" w:type="pct"/>
            <w:shd w:val="clear" w:color="auto" w:fill="auto"/>
          </w:tcPr>
          <w:p w14:paraId="1D02573D" w14:textId="77777777" w:rsidR="004421F6" w:rsidRDefault="004421F6">
            <w:pPr>
              <w:rPr>
                <w:rFonts w:ascii="宋体"/>
              </w:rPr>
            </w:pPr>
          </w:p>
        </w:tc>
        <w:tc>
          <w:tcPr>
            <w:tcW w:w="50" w:type="pct"/>
            <w:shd w:val="clear" w:color="auto" w:fill="auto"/>
          </w:tcPr>
          <w:p w14:paraId="1D02573E" w14:textId="77777777" w:rsidR="004421F6" w:rsidRDefault="004421F6">
            <w:pPr>
              <w:rPr>
                <w:rFonts w:ascii="宋体"/>
              </w:rPr>
            </w:pPr>
          </w:p>
        </w:tc>
        <w:tc>
          <w:tcPr>
            <w:tcW w:w="408" w:type="pct"/>
            <w:shd w:val="clear" w:color="auto" w:fill="auto"/>
          </w:tcPr>
          <w:p w14:paraId="1D02573F" w14:textId="77777777" w:rsidR="004421F6" w:rsidRDefault="004421F6">
            <w:pPr>
              <w:rPr>
                <w:rFonts w:ascii="宋体"/>
              </w:rPr>
            </w:pPr>
          </w:p>
        </w:tc>
        <w:tc>
          <w:tcPr>
            <w:tcW w:w="5" w:type="pct"/>
            <w:shd w:val="clear" w:color="auto" w:fill="auto"/>
          </w:tcPr>
          <w:p w14:paraId="1D025740" w14:textId="77777777" w:rsidR="004421F6" w:rsidRDefault="004421F6">
            <w:pPr>
              <w:rPr>
                <w:rFonts w:ascii="宋体"/>
              </w:rPr>
            </w:pPr>
          </w:p>
        </w:tc>
        <w:tc>
          <w:tcPr>
            <w:tcW w:w="50" w:type="pct"/>
            <w:shd w:val="clear" w:color="auto" w:fill="auto"/>
          </w:tcPr>
          <w:p w14:paraId="1D025741" w14:textId="77777777" w:rsidR="004421F6" w:rsidRDefault="004421F6">
            <w:pPr>
              <w:rPr>
                <w:rFonts w:ascii="宋体"/>
              </w:rPr>
            </w:pPr>
          </w:p>
        </w:tc>
        <w:tc>
          <w:tcPr>
            <w:tcW w:w="408" w:type="pct"/>
            <w:shd w:val="clear" w:color="auto" w:fill="auto"/>
          </w:tcPr>
          <w:p w14:paraId="1D025742" w14:textId="77777777" w:rsidR="004421F6" w:rsidRDefault="004421F6">
            <w:pPr>
              <w:rPr>
                <w:rFonts w:ascii="宋体"/>
              </w:rPr>
            </w:pPr>
          </w:p>
        </w:tc>
        <w:tc>
          <w:tcPr>
            <w:tcW w:w="5" w:type="pct"/>
            <w:shd w:val="clear" w:color="auto" w:fill="auto"/>
          </w:tcPr>
          <w:p w14:paraId="1D025743" w14:textId="77777777" w:rsidR="004421F6" w:rsidRDefault="004421F6">
            <w:pPr>
              <w:rPr>
                <w:rFonts w:ascii="宋体"/>
              </w:rPr>
            </w:pPr>
          </w:p>
        </w:tc>
        <w:tc>
          <w:tcPr>
            <w:tcW w:w="50" w:type="pct"/>
            <w:shd w:val="clear" w:color="auto" w:fill="auto"/>
          </w:tcPr>
          <w:p w14:paraId="1D025744" w14:textId="77777777" w:rsidR="004421F6" w:rsidRDefault="004421F6">
            <w:pPr>
              <w:rPr>
                <w:rFonts w:ascii="宋体"/>
              </w:rPr>
            </w:pPr>
          </w:p>
        </w:tc>
        <w:tc>
          <w:tcPr>
            <w:tcW w:w="447" w:type="pct"/>
            <w:shd w:val="clear" w:color="auto" w:fill="auto"/>
          </w:tcPr>
          <w:p w14:paraId="1D025745" w14:textId="77777777" w:rsidR="004421F6" w:rsidRDefault="004421F6">
            <w:pPr>
              <w:rPr>
                <w:rFonts w:ascii="宋体"/>
              </w:rPr>
            </w:pPr>
          </w:p>
        </w:tc>
        <w:tc>
          <w:tcPr>
            <w:tcW w:w="5" w:type="pct"/>
            <w:shd w:val="clear" w:color="auto" w:fill="auto"/>
          </w:tcPr>
          <w:p w14:paraId="1D025746" w14:textId="77777777" w:rsidR="004421F6" w:rsidRDefault="004421F6">
            <w:pPr>
              <w:rPr>
                <w:rFonts w:ascii="宋体"/>
              </w:rPr>
            </w:pPr>
          </w:p>
        </w:tc>
        <w:tc>
          <w:tcPr>
            <w:tcW w:w="5" w:type="pct"/>
            <w:shd w:val="clear" w:color="auto" w:fill="auto"/>
          </w:tcPr>
          <w:p w14:paraId="1D025747" w14:textId="77777777" w:rsidR="004421F6" w:rsidRDefault="004421F6">
            <w:pPr>
              <w:rPr>
                <w:rFonts w:ascii="宋体"/>
              </w:rPr>
            </w:pPr>
          </w:p>
        </w:tc>
        <w:tc>
          <w:tcPr>
            <w:tcW w:w="28" w:type="pct"/>
            <w:shd w:val="clear" w:color="auto" w:fill="auto"/>
          </w:tcPr>
          <w:p w14:paraId="1D025748" w14:textId="77777777" w:rsidR="004421F6" w:rsidRDefault="004421F6">
            <w:pPr>
              <w:rPr>
                <w:rFonts w:ascii="宋体"/>
              </w:rPr>
            </w:pPr>
          </w:p>
        </w:tc>
        <w:tc>
          <w:tcPr>
            <w:tcW w:w="5" w:type="pct"/>
            <w:shd w:val="clear" w:color="auto" w:fill="auto"/>
          </w:tcPr>
          <w:p w14:paraId="1D025749" w14:textId="77777777" w:rsidR="004421F6" w:rsidRDefault="004421F6">
            <w:pPr>
              <w:rPr>
                <w:rFonts w:ascii="宋体"/>
              </w:rPr>
            </w:pPr>
          </w:p>
        </w:tc>
        <w:tc>
          <w:tcPr>
            <w:tcW w:w="50" w:type="pct"/>
            <w:shd w:val="clear" w:color="auto" w:fill="auto"/>
          </w:tcPr>
          <w:p w14:paraId="1D02574A" w14:textId="77777777" w:rsidR="004421F6" w:rsidRDefault="004421F6">
            <w:pPr>
              <w:rPr>
                <w:rFonts w:ascii="宋体"/>
              </w:rPr>
            </w:pPr>
          </w:p>
        </w:tc>
        <w:tc>
          <w:tcPr>
            <w:tcW w:w="408" w:type="pct"/>
            <w:shd w:val="clear" w:color="auto" w:fill="auto"/>
          </w:tcPr>
          <w:p w14:paraId="1D02574B" w14:textId="77777777" w:rsidR="004421F6" w:rsidRDefault="004421F6">
            <w:pPr>
              <w:rPr>
                <w:rFonts w:ascii="宋体"/>
              </w:rPr>
            </w:pPr>
          </w:p>
        </w:tc>
        <w:tc>
          <w:tcPr>
            <w:tcW w:w="5" w:type="pct"/>
            <w:shd w:val="clear" w:color="auto" w:fill="auto"/>
          </w:tcPr>
          <w:p w14:paraId="1D02574C" w14:textId="77777777" w:rsidR="004421F6" w:rsidRDefault="004421F6">
            <w:pPr>
              <w:rPr>
                <w:rFonts w:ascii="宋体"/>
              </w:rPr>
            </w:pPr>
          </w:p>
        </w:tc>
        <w:tc>
          <w:tcPr>
            <w:tcW w:w="50" w:type="pct"/>
            <w:shd w:val="clear" w:color="auto" w:fill="auto"/>
          </w:tcPr>
          <w:p w14:paraId="1D02574D" w14:textId="77777777" w:rsidR="004421F6" w:rsidRDefault="004421F6">
            <w:pPr>
              <w:rPr>
                <w:rFonts w:ascii="宋体"/>
              </w:rPr>
            </w:pPr>
          </w:p>
        </w:tc>
        <w:tc>
          <w:tcPr>
            <w:tcW w:w="408" w:type="pct"/>
            <w:shd w:val="clear" w:color="auto" w:fill="auto"/>
          </w:tcPr>
          <w:p w14:paraId="1D02574E" w14:textId="77777777" w:rsidR="004421F6" w:rsidRDefault="004421F6">
            <w:pPr>
              <w:rPr>
                <w:rFonts w:ascii="宋体"/>
              </w:rPr>
            </w:pPr>
          </w:p>
        </w:tc>
        <w:tc>
          <w:tcPr>
            <w:tcW w:w="5" w:type="pct"/>
            <w:shd w:val="clear" w:color="auto" w:fill="auto"/>
          </w:tcPr>
          <w:p w14:paraId="1D02574F" w14:textId="77777777" w:rsidR="004421F6" w:rsidRDefault="004421F6">
            <w:pPr>
              <w:rPr>
                <w:rFonts w:ascii="宋体"/>
              </w:rPr>
            </w:pPr>
          </w:p>
        </w:tc>
        <w:tc>
          <w:tcPr>
            <w:tcW w:w="50" w:type="pct"/>
            <w:shd w:val="clear" w:color="auto" w:fill="auto"/>
          </w:tcPr>
          <w:p w14:paraId="1D025750" w14:textId="77777777" w:rsidR="004421F6" w:rsidRDefault="004421F6">
            <w:pPr>
              <w:rPr>
                <w:rFonts w:ascii="宋体"/>
              </w:rPr>
            </w:pPr>
          </w:p>
        </w:tc>
        <w:tc>
          <w:tcPr>
            <w:tcW w:w="447" w:type="pct"/>
            <w:shd w:val="clear" w:color="auto" w:fill="auto"/>
          </w:tcPr>
          <w:p w14:paraId="1D025751" w14:textId="77777777" w:rsidR="004421F6" w:rsidRDefault="004421F6">
            <w:pPr>
              <w:rPr>
                <w:rFonts w:ascii="宋体"/>
              </w:rPr>
            </w:pPr>
          </w:p>
        </w:tc>
        <w:tc>
          <w:tcPr>
            <w:tcW w:w="5" w:type="pct"/>
            <w:shd w:val="clear" w:color="auto" w:fill="auto"/>
          </w:tcPr>
          <w:p w14:paraId="1D025752" w14:textId="77777777" w:rsidR="004421F6" w:rsidRDefault="004421F6">
            <w:pPr>
              <w:rPr>
                <w:rFonts w:ascii="宋体"/>
              </w:rPr>
            </w:pPr>
          </w:p>
        </w:tc>
      </w:tr>
      <w:tr w:rsidR="004421F6" w14:paraId="1D02575C" w14:textId="77777777">
        <w:tc>
          <w:tcPr>
            <w:tcW w:w="0" w:type="auto"/>
            <w:gridSpan w:val="3"/>
            <w:shd w:val="clear" w:color="auto" w:fill="auto"/>
            <w:tcMar>
              <w:left w:w="20" w:type="dxa"/>
              <w:right w:w="20" w:type="dxa"/>
            </w:tcMar>
            <w:vAlign w:val="bottom"/>
          </w:tcPr>
          <w:p w14:paraId="1D025754" w14:textId="77777777" w:rsidR="004421F6" w:rsidRDefault="004421F6">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1D025755" w14:textId="77777777" w:rsidR="004421F6" w:rsidRDefault="00F15622">
            <w:pPr>
              <w:jc w:val="center"/>
              <w:textAlignment w:val="bottom"/>
            </w:pPr>
            <w:r>
              <w:rPr>
                <w:rFonts w:ascii="sans-serif" w:eastAsia="sans-serif" w:hAnsi="sans-serif" w:cs="sans-serif"/>
                <w:b/>
                <w:bCs/>
                <w:color w:val="000000"/>
                <w:sz w:val="17"/>
                <w:szCs w:val="17"/>
              </w:rPr>
              <w:t>AUGUST 31, 2020</w:t>
            </w:r>
          </w:p>
        </w:tc>
        <w:tc>
          <w:tcPr>
            <w:tcW w:w="0" w:type="auto"/>
            <w:gridSpan w:val="3"/>
            <w:shd w:val="clear" w:color="auto" w:fill="auto"/>
          </w:tcPr>
          <w:p w14:paraId="1D025756" w14:textId="77777777" w:rsidR="004421F6" w:rsidRDefault="004421F6">
            <w:pPr>
              <w:rPr>
                <w:rFonts w:ascii="宋体"/>
                <w:vanish/>
              </w:rPr>
            </w:pPr>
          </w:p>
        </w:tc>
        <w:tc>
          <w:tcPr>
            <w:tcW w:w="0" w:type="auto"/>
            <w:gridSpan w:val="3"/>
            <w:shd w:val="clear" w:color="auto" w:fill="auto"/>
          </w:tcPr>
          <w:p w14:paraId="1D025757" w14:textId="77777777" w:rsidR="004421F6" w:rsidRDefault="004421F6">
            <w:pPr>
              <w:rPr>
                <w:rFonts w:ascii="宋体"/>
                <w:vanish/>
              </w:rPr>
            </w:pPr>
          </w:p>
        </w:tc>
        <w:tc>
          <w:tcPr>
            <w:tcW w:w="0" w:type="auto"/>
            <w:gridSpan w:val="3"/>
            <w:shd w:val="clear" w:color="auto" w:fill="auto"/>
          </w:tcPr>
          <w:p w14:paraId="1D025758" w14:textId="77777777" w:rsidR="004421F6" w:rsidRDefault="004421F6">
            <w:pPr>
              <w:rPr>
                <w:rFonts w:ascii="宋体"/>
                <w:vanish/>
              </w:rPr>
            </w:pPr>
          </w:p>
        </w:tc>
        <w:tc>
          <w:tcPr>
            <w:tcW w:w="0" w:type="auto"/>
            <w:gridSpan w:val="3"/>
            <w:shd w:val="clear" w:color="auto" w:fill="auto"/>
          </w:tcPr>
          <w:p w14:paraId="1D025759" w14:textId="77777777" w:rsidR="004421F6" w:rsidRDefault="004421F6">
            <w:pPr>
              <w:rPr>
                <w:rFonts w:ascii="宋体"/>
                <w:vanish/>
              </w:rPr>
            </w:pPr>
          </w:p>
        </w:tc>
        <w:tc>
          <w:tcPr>
            <w:tcW w:w="0" w:type="auto"/>
            <w:gridSpan w:val="3"/>
            <w:shd w:val="clear" w:color="auto" w:fill="auto"/>
          </w:tcPr>
          <w:p w14:paraId="1D02575A" w14:textId="77777777" w:rsidR="004421F6" w:rsidRDefault="004421F6">
            <w:pPr>
              <w:rPr>
                <w:rFonts w:ascii="宋体"/>
                <w:vanish/>
              </w:rPr>
            </w:pPr>
          </w:p>
        </w:tc>
        <w:tc>
          <w:tcPr>
            <w:tcW w:w="0" w:type="auto"/>
            <w:gridSpan w:val="3"/>
            <w:shd w:val="clear" w:color="auto" w:fill="auto"/>
          </w:tcPr>
          <w:p w14:paraId="1D02575B" w14:textId="77777777" w:rsidR="004421F6" w:rsidRDefault="004421F6">
            <w:pPr>
              <w:rPr>
                <w:rFonts w:ascii="宋体"/>
                <w:vanish/>
              </w:rPr>
            </w:pPr>
          </w:p>
        </w:tc>
      </w:tr>
      <w:tr w:rsidR="004421F6" w14:paraId="1D02576B" w14:textId="77777777">
        <w:tc>
          <w:tcPr>
            <w:tcW w:w="0" w:type="auto"/>
            <w:gridSpan w:val="3"/>
            <w:shd w:val="clear" w:color="auto" w:fill="auto"/>
            <w:tcMar>
              <w:left w:w="20" w:type="dxa"/>
              <w:right w:w="20" w:type="dxa"/>
            </w:tcMar>
            <w:vAlign w:val="bottom"/>
          </w:tcPr>
          <w:p w14:paraId="1D02575D" w14:textId="77777777" w:rsidR="004421F6" w:rsidRDefault="004421F6">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1D02575E" w14:textId="77777777" w:rsidR="004421F6" w:rsidRDefault="00F15622">
            <w:pPr>
              <w:jc w:val="center"/>
              <w:textAlignment w:val="bottom"/>
            </w:pPr>
            <w:r>
              <w:rPr>
                <w:rFonts w:ascii="sans-serif" w:eastAsia="sans-serif" w:hAnsi="sans-serif" w:cs="sans-serif"/>
                <w:b/>
                <w:bCs/>
                <w:color w:val="000000"/>
                <w:sz w:val="17"/>
                <w:szCs w:val="17"/>
              </w:rPr>
              <w:t>DERIVATIVE ASSETS</w:t>
            </w:r>
          </w:p>
        </w:tc>
        <w:tc>
          <w:tcPr>
            <w:tcW w:w="0" w:type="auto"/>
            <w:gridSpan w:val="3"/>
            <w:shd w:val="clear" w:color="auto" w:fill="auto"/>
          </w:tcPr>
          <w:p w14:paraId="1D02575F" w14:textId="77777777" w:rsidR="004421F6" w:rsidRDefault="004421F6">
            <w:pPr>
              <w:rPr>
                <w:rFonts w:ascii="宋体"/>
                <w:vanish/>
              </w:rPr>
            </w:pPr>
          </w:p>
        </w:tc>
        <w:tc>
          <w:tcPr>
            <w:tcW w:w="0" w:type="auto"/>
            <w:gridSpan w:val="3"/>
            <w:shd w:val="clear" w:color="auto" w:fill="auto"/>
          </w:tcPr>
          <w:p w14:paraId="1D025760" w14:textId="77777777" w:rsidR="004421F6" w:rsidRDefault="004421F6">
            <w:pPr>
              <w:rPr>
                <w:rFonts w:ascii="宋体"/>
                <w:vanish/>
              </w:rPr>
            </w:pPr>
          </w:p>
        </w:tc>
        <w:tc>
          <w:tcPr>
            <w:tcW w:w="0" w:type="auto"/>
            <w:gridSpan w:val="3"/>
            <w:tcBorders>
              <w:top w:val="single" w:sz="8" w:space="0" w:color="E87722"/>
            </w:tcBorders>
            <w:shd w:val="clear" w:color="auto" w:fill="auto"/>
            <w:tcMar>
              <w:left w:w="20" w:type="dxa"/>
              <w:right w:w="20" w:type="dxa"/>
            </w:tcMar>
            <w:vAlign w:val="bottom"/>
          </w:tcPr>
          <w:p w14:paraId="1D025761" w14:textId="77777777" w:rsidR="004421F6" w:rsidRDefault="004421F6">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1D025762" w14:textId="77777777" w:rsidR="004421F6" w:rsidRDefault="00F15622">
            <w:pPr>
              <w:jc w:val="center"/>
              <w:textAlignment w:val="bottom"/>
            </w:pPr>
            <w:r>
              <w:rPr>
                <w:rFonts w:ascii="sans-serif" w:eastAsia="sans-serif" w:hAnsi="sans-serif" w:cs="sans-serif"/>
                <w:b/>
                <w:bCs/>
                <w:color w:val="000000"/>
                <w:sz w:val="17"/>
                <w:szCs w:val="17"/>
              </w:rPr>
              <w:t>DERIVATIVE LIABILITIES</w:t>
            </w:r>
          </w:p>
        </w:tc>
        <w:tc>
          <w:tcPr>
            <w:tcW w:w="0" w:type="auto"/>
            <w:gridSpan w:val="3"/>
            <w:shd w:val="clear" w:color="auto" w:fill="auto"/>
          </w:tcPr>
          <w:p w14:paraId="1D025763" w14:textId="77777777" w:rsidR="004421F6" w:rsidRDefault="004421F6">
            <w:pPr>
              <w:rPr>
                <w:rFonts w:ascii="宋体"/>
                <w:vanish/>
              </w:rPr>
            </w:pPr>
          </w:p>
        </w:tc>
        <w:tc>
          <w:tcPr>
            <w:tcW w:w="0" w:type="auto"/>
            <w:gridSpan w:val="3"/>
            <w:shd w:val="clear" w:color="auto" w:fill="auto"/>
          </w:tcPr>
          <w:p w14:paraId="1D025764" w14:textId="77777777" w:rsidR="004421F6" w:rsidRDefault="004421F6">
            <w:pPr>
              <w:rPr>
                <w:rFonts w:ascii="宋体"/>
                <w:vanish/>
              </w:rPr>
            </w:pPr>
          </w:p>
        </w:tc>
        <w:tc>
          <w:tcPr>
            <w:tcW w:w="0" w:type="auto"/>
            <w:shd w:val="clear" w:color="auto" w:fill="auto"/>
          </w:tcPr>
          <w:p w14:paraId="1D025765" w14:textId="77777777" w:rsidR="004421F6" w:rsidRDefault="004421F6">
            <w:pPr>
              <w:rPr>
                <w:rFonts w:ascii="宋体"/>
              </w:rPr>
            </w:pPr>
          </w:p>
        </w:tc>
        <w:tc>
          <w:tcPr>
            <w:tcW w:w="0" w:type="auto"/>
            <w:shd w:val="clear" w:color="auto" w:fill="auto"/>
          </w:tcPr>
          <w:p w14:paraId="1D025766" w14:textId="77777777" w:rsidR="004421F6" w:rsidRDefault="004421F6">
            <w:pPr>
              <w:rPr>
                <w:rFonts w:ascii="宋体"/>
              </w:rPr>
            </w:pPr>
          </w:p>
        </w:tc>
        <w:tc>
          <w:tcPr>
            <w:tcW w:w="0" w:type="auto"/>
            <w:shd w:val="clear" w:color="auto" w:fill="auto"/>
          </w:tcPr>
          <w:p w14:paraId="1D025767" w14:textId="77777777" w:rsidR="004421F6" w:rsidRDefault="004421F6">
            <w:pPr>
              <w:rPr>
                <w:rFonts w:ascii="宋体"/>
              </w:rPr>
            </w:pPr>
          </w:p>
        </w:tc>
        <w:tc>
          <w:tcPr>
            <w:tcW w:w="0" w:type="auto"/>
            <w:shd w:val="clear" w:color="auto" w:fill="auto"/>
          </w:tcPr>
          <w:p w14:paraId="1D025768" w14:textId="77777777" w:rsidR="004421F6" w:rsidRDefault="004421F6">
            <w:pPr>
              <w:rPr>
                <w:rFonts w:ascii="宋体"/>
              </w:rPr>
            </w:pPr>
          </w:p>
        </w:tc>
        <w:tc>
          <w:tcPr>
            <w:tcW w:w="0" w:type="auto"/>
            <w:shd w:val="clear" w:color="auto" w:fill="auto"/>
          </w:tcPr>
          <w:p w14:paraId="1D025769" w14:textId="77777777" w:rsidR="004421F6" w:rsidRDefault="004421F6">
            <w:pPr>
              <w:rPr>
                <w:rFonts w:ascii="宋体"/>
              </w:rPr>
            </w:pPr>
          </w:p>
        </w:tc>
        <w:tc>
          <w:tcPr>
            <w:tcW w:w="0" w:type="auto"/>
            <w:shd w:val="clear" w:color="auto" w:fill="auto"/>
          </w:tcPr>
          <w:p w14:paraId="1D02576A" w14:textId="77777777" w:rsidR="004421F6" w:rsidRDefault="004421F6">
            <w:pPr>
              <w:rPr>
                <w:rFonts w:ascii="宋体"/>
              </w:rPr>
            </w:pPr>
          </w:p>
        </w:tc>
      </w:tr>
      <w:tr w:rsidR="004421F6" w14:paraId="1D025786" w14:textId="77777777">
        <w:tc>
          <w:tcPr>
            <w:tcW w:w="0" w:type="auto"/>
            <w:gridSpan w:val="3"/>
            <w:shd w:val="clear" w:color="auto" w:fill="auto"/>
            <w:tcMar>
              <w:top w:w="40" w:type="dxa"/>
              <w:left w:w="20" w:type="dxa"/>
              <w:bottom w:w="40" w:type="dxa"/>
              <w:right w:w="20" w:type="dxa"/>
            </w:tcMar>
            <w:vAlign w:val="bottom"/>
          </w:tcPr>
          <w:p w14:paraId="1D02576C"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76D" w14:textId="77777777" w:rsidR="004421F6" w:rsidRDefault="00F15622">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76E" w14:textId="77777777" w:rsidR="004421F6" w:rsidRDefault="00F15622">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76F" w14:textId="77777777" w:rsidR="004421F6" w:rsidRDefault="00F15622">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left w:w="20" w:type="dxa"/>
              <w:right w:w="20" w:type="dxa"/>
            </w:tcMar>
            <w:vAlign w:val="bottom"/>
          </w:tcPr>
          <w:p w14:paraId="1D025770" w14:textId="77777777" w:rsidR="004421F6" w:rsidRDefault="004421F6">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771" w14:textId="77777777" w:rsidR="004421F6" w:rsidRDefault="00F15622">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772" w14:textId="77777777" w:rsidR="004421F6" w:rsidRDefault="00F15622">
            <w:pPr>
              <w:jc w:val="right"/>
              <w:textAlignment w:val="bottom"/>
            </w:pPr>
            <w:r>
              <w:rPr>
                <w:rFonts w:ascii="sans-serif" w:eastAsia="sans-serif" w:hAnsi="sans-serif" w:cs="sans-serif"/>
                <w:b/>
                <w:bCs/>
                <w:color w:val="000000"/>
                <w:sz w:val="17"/>
                <w:szCs w:val="17"/>
              </w:rPr>
              <w:t>ACCRUED 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773" w14:textId="77777777" w:rsidR="004421F6" w:rsidRDefault="00F15622">
            <w:pPr>
              <w:jc w:val="right"/>
              <w:textAlignment w:val="bottom"/>
            </w:pPr>
            <w:r>
              <w:rPr>
                <w:rFonts w:ascii="sans-serif" w:eastAsia="sans-serif" w:hAnsi="sans-serif" w:cs="sans-serif"/>
                <w:b/>
                <w:bCs/>
                <w:color w:val="000000"/>
                <w:sz w:val="17"/>
                <w:szCs w:val="17"/>
              </w:rPr>
              <w:t>OTHER LONG-TERM LIABILITIES</w:t>
            </w:r>
          </w:p>
        </w:tc>
        <w:tc>
          <w:tcPr>
            <w:tcW w:w="0" w:type="auto"/>
            <w:shd w:val="clear" w:color="auto" w:fill="auto"/>
          </w:tcPr>
          <w:p w14:paraId="1D025774" w14:textId="77777777" w:rsidR="004421F6" w:rsidRDefault="004421F6">
            <w:pPr>
              <w:rPr>
                <w:rFonts w:ascii="宋体"/>
              </w:rPr>
            </w:pPr>
          </w:p>
        </w:tc>
        <w:tc>
          <w:tcPr>
            <w:tcW w:w="0" w:type="auto"/>
            <w:shd w:val="clear" w:color="auto" w:fill="auto"/>
          </w:tcPr>
          <w:p w14:paraId="1D025775" w14:textId="77777777" w:rsidR="004421F6" w:rsidRDefault="004421F6">
            <w:pPr>
              <w:rPr>
                <w:rFonts w:ascii="宋体"/>
              </w:rPr>
            </w:pPr>
          </w:p>
        </w:tc>
        <w:tc>
          <w:tcPr>
            <w:tcW w:w="0" w:type="auto"/>
            <w:shd w:val="clear" w:color="auto" w:fill="auto"/>
          </w:tcPr>
          <w:p w14:paraId="1D025776" w14:textId="77777777" w:rsidR="004421F6" w:rsidRDefault="004421F6">
            <w:pPr>
              <w:rPr>
                <w:rFonts w:ascii="宋体"/>
              </w:rPr>
            </w:pPr>
          </w:p>
        </w:tc>
        <w:tc>
          <w:tcPr>
            <w:tcW w:w="0" w:type="auto"/>
            <w:shd w:val="clear" w:color="auto" w:fill="auto"/>
          </w:tcPr>
          <w:p w14:paraId="1D025777" w14:textId="77777777" w:rsidR="004421F6" w:rsidRDefault="004421F6">
            <w:pPr>
              <w:rPr>
                <w:rFonts w:ascii="宋体"/>
              </w:rPr>
            </w:pPr>
          </w:p>
        </w:tc>
        <w:tc>
          <w:tcPr>
            <w:tcW w:w="0" w:type="auto"/>
            <w:shd w:val="clear" w:color="auto" w:fill="auto"/>
          </w:tcPr>
          <w:p w14:paraId="1D025778" w14:textId="77777777" w:rsidR="004421F6" w:rsidRDefault="004421F6">
            <w:pPr>
              <w:rPr>
                <w:rFonts w:ascii="宋体"/>
              </w:rPr>
            </w:pPr>
          </w:p>
        </w:tc>
        <w:tc>
          <w:tcPr>
            <w:tcW w:w="0" w:type="auto"/>
            <w:shd w:val="clear" w:color="auto" w:fill="auto"/>
          </w:tcPr>
          <w:p w14:paraId="1D025779" w14:textId="77777777" w:rsidR="004421F6" w:rsidRDefault="004421F6">
            <w:pPr>
              <w:rPr>
                <w:rFonts w:ascii="宋体"/>
              </w:rPr>
            </w:pPr>
          </w:p>
        </w:tc>
        <w:tc>
          <w:tcPr>
            <w:tcW w:w="0" w:type="auto"/>
            <w:shd w:val="clear" w:color="auto" w:fill="auto"/>
          </w:tcPr>
          <w:p w14:paraId="1D02577A" w14:textId="77777777" w:rsidR="004421F6" w:rsidRDefault="004421F6">
            <w:pPr>
              <w:rPr>
                <w:rFonts w:ascii="宋体"/>
              </w:rPr>
            </w:pPr>
          </w:p>
        </w:tc>
        <w:tc>
          <w:tcPr>
            <w:tcW w:w="0" w:type="auto"/>
            <w:shd w:val="clear" w:color="auto" w:fill="auto"/>
          </w:tcPr>
          <w:p w14:paraId="1D02577B" w14:textId="77777777" w:rsidR="004421F6" w:rsidRDefault="004421F6">
            <w:pPr>
              <w:rPr>
                <w:rFonts w:ascii="宋体"/>
              </w:rPr>
            </w:pPr>
          </w:p>
        </w:tc>
        <w:tc>
          <w:tcPr>
            <w:tcW w:w="0" w:type="auto"/>
            <w:shd w:val="clear" w:color="auto" w:fill="auto"/>
          </w:tcPr>
          <w:p w14:paraId="1D02577C" w14:textId="77777777" w:rsidR="004421F6" w:rsidRDefault="004421F6">
            <w:pPr>
              <w:rPr>
                <w:rFonts w:ascii="宋体"/>
              </w:rPr>
            </w:pPr>
          </w:p>
        </w:tc>
        <w:tc>
          <w:tcPr>
            <w:tcW w:w="0" w:type="auto"/>
            <w:shd w:val="clear" w:color="auto" w:fill="auto"/>
          </w:tcPr>
          <w:p w14:paraId="1D02577D" w14:textId="77777777" w:rsidR="004421F6" w:rsidRDefault="004421F6">
            <w:pPr>
              <w:rPr>
                <w:rFonts w:ascii="宋体"/>
              </w:rPr>
            </w:pPr>
          </w:p>
        </w:tc>
        <w:tc>
          <w:tcPr>
            <w:tcW w:w="0" w:type="auto"/>
            <w:shd w:val="clear" w:color="auto" w:fill="auto"/>
          </w:tcPr>
          <w:p w14:paraId="1D02577E" w14:textId="77777777" w:rsidR="004421F6" w:rsidRDefault="004421F6">
            <w:pPr>
              <w:rPr>
                <w:rFonts w:ascii="宋体"/>
              </w:rPr>
            </w:pPr>
          </w:p>
        </w:tc>
        <w:tc>
          <w:tcPr>
            <w:tcW w:w="0" w:type="auto"/>
            <w:shd w:val="clear" w:color="auto" w:fill="auto"/>
          </w:tcPr>
          <w:p w14:paraId="1D02577F" w14:textId="77777777" w:rsidR="004421F6" w:rsidRDefault="004421F6">
            <w:pPr>
              <w:rPr>
                <w:rFonts w:ascii="宋体"/>
              </w:rPr>
            </w:pPr>
          </w:p>
        </w:tc>
        <w:tc>
          <w:tcPr>
            <w:tcW w:w="0" w:type="auto"/>
            <w:shd w:val="clear" w:color="auto" w:fill="auto"/>
          </w:tcPr>
          <w:p w14:paraId="1D025780" w14:textId="77777777" w:rsidR="004421F6" w:rsidRDefault="004421F6">
            <w:pPr>
              <w:rPr>
                <w:rFonts w:ascii="宋体"/>
              </w:rPr>
            </w:pPr>
          </w:p>
        </w:tc>
        <w:tc>
          <w:tcPr>
            <w:tcW w:w="0" w:type="auto"/>
            <w:shd w:val="clear" w:color="auto" w:fill="auto"/>
          </w:tcPr>
          <w:p w14:paraId="1D025781" w14:textId="77777777" w:rsidR="004421F6" w:rsidRDefault="004421F6">
            <w:pPr>
              <w:rPr>
                <w:rFonts w:ascii="宋体"/>
              </w:rPr>
            </w:pPr>
          </w:p>
        </w:tc>
        <w:tc>
          <w:tcPr>
            <w:tcW w:w="0" w:type="auto"/>
            <w:shd w:val="clear" w:color="auto" w:fill="auto"/>
          </w:tcPr>
          <w:p w14:paraId="1D025782" w14:textId="77777777" w:rsidR="004421F6" w:rsidRDefault="004421F6">
            <w:pPr>
              <w:rPr>
                <w:rFonts w:ascii="宋体"/>
              </w:rPr>
            </w:pPr>
          </w:p>
        </w:tc>
        <w:tc>
          <w:tcPr>
            <w:tcW w:w="0" w:type="auto"/>
            <w:shd w:val="clear" w:color="auto" w:fill="auto"/>
          </w:tcPr>
          <w:p w14:paraId="1D025783" w14:textId="77777777" w:rsidR="004421F6" w:rsidRDefault="004421F6">
            <w:pPr>
              <w:rPr>
                <w:rFonts w:ascii="宋体"/>
              </w:rPr>
            </w:pPr>
          </w:p>
        </w:tc>
        <w:tc>
          <w:tcPr>
            <w:tcW w:w="0" w:type="auto"/>
            <w:shd w:val="clear" w:color="auto" w:fill="auto"/>
          </w:tcPr>
          <w:p w14:paraId="1D025784" w14:textId="77777777" w:rsidR="004421F6" w:rsidRDefault="004421F6">
            <w:pPr>
              <w:rPr>
                <w:rFonts w:ascii="宋体"/>
              </w:rPr>
            </w:pPr>
          </w:p>
        </w:tc>
        <w:tc>
          <w:tcPr>
            <w:tcW w:w="0" w:type="auto"/>
            <w:shd w:val="clear" w:color="auto" w:fill="auto"/>
          </w:tcPr>
          <w:p w14:paraId="1D025785" w14:textId="77777777" w:rsidR="004421F6" w:rsidRDefault="004421F6">
            <w:pPr>
              <w:rPr>
                <w:rFonts w:ascii="宋体"/>
              </w:rPr>
            </w:pPr>
          </w:p>
        </w:tc>
      </w:tr>
      <w:tr w:rsidR="004421F6" w14:paraId="1D0257A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787" w14:textId="77777777" w:rsidR="004421F6" w:rsidRDefault="00F15622">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FFF1E7"/>
            <w:tcMar>
              <w:left w:w="20" w:type="dxa"/>
              <w:right w:w="20" w:type="dxa"/>
            </w:tcMar>
            <w:vAlign w:val="bottom"/>
          </w:tcPr>
          <w:p w14:paraId="1D025788"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789"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78A"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78B"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78C"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78D"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78E" w14:textId="77777777" w:rsidR="004421F6" w:rsidRDefault="004421F6">
            <w:pPr>
              <w:rPr>
                <w:rFonts w:ascii="宋体"/>
              </w:rPr>
            </w:pPr>
          </w:p>
        </w:tc>
        <w:tc>
          <w:tcPr>
            <w:tcW w:w="0" w:type="auto"/>
            <w:shd w:val="clear" w:color="auto" w:fill="auto"/>
          </w:tcPr>
          <w:p w14:paraId="1D02578F" w14:textId="77777777" w:rsidR="004421F6" w:rsidRDefault="004421F6">
            <w:pPr>
              <w:rPr>
                <w:rFonts w:ascii="宋体"/>
              </w:rPr>
            </w:pPr>
          </w:p>
        </w:tc>
        <w:tc>
          <w:tcPr>
            <w:tcW w:w="0" w:type="auto"/>
            <w:shd w:val="clear" w:color="auto" w:fill="auto"/>
          </w:tcPr>
          <w:p w14:paraId="1D025790" w14:textId="77777777" w:rsidR="004421F6" w:rsidRDefault="004421F6">
            <w:pPr>
              <w:rPr>
                <w:rFonts w:ascii="宋体"/>
              </w:rPr>
            </w:pPr>
          </w:p>
        </w:tc>
        <w:tc>
          <w:tcPr>
            <w:tcW w:w="0" w:type="auto"/>
            <w:shd w:val="clear" w:color="auto" w:fill="auto"/>
          </w:tcPr>
          <w:p w14:paraId="1D025791" w14:textId="77777777" w:rsidR="004421F6" w:rsidRDefault="004421F6">
            <w:pPr>
              <w:rPr>
                <w:rFonts w:ascii="宋体"/>
              </w:rPr>
            </w:pPr>
          </w:p>
        </w:tc>
        <w:tc>
          <w:tcPr>
            <w:tcW w:w="0" w:type="auto"/>
            <w:shd w:val="clear" w:color="auto" w:fill="auto"/>
          </w:tcPr>
          <w:p w14:paraId="1D025792" w14:textId="77777777" w:rsidR="004421F6" w:rsidRDefault="004421F6">
            <w:pPr>
              <w:rPr>
                <w:rFonts w:ascii="宋体"/>
              </w:rPr>
            </w:pPr>
          </w:p>
        </w:tc>
        <w:tc>
          <w:tcPr>
            <w:tcW w:w="0" w:type="auto"/>
            <w:shd w:val="clear" w:color="auto" w:fill="auto"/>
          </w:tcPr>
          <w:p w14:paraId="1D025793" w14:textId="77777777" w:rsidR="004421F6" w:rsidRDefault="004421F6">
            <w:pPr>
              <w:rPr>
                <w:rFonts w:ascii="宋体"/>
              </w:rPr>
            </w:pPr>
          </w:p>
        </w:tc>
        <w:tc>
          <w:tcPr>
            <w:tcW w:w="0" w:type="auto"/>
            <w:shd w:val="clear" w:color="auto" w:fill="auto"/>
          </w:tcPr>
          <w:p w14:paraId="1D025794" w14:textId="77777777" w:rsidR="004421F6" w:rsidRDefault="004421F6">
            <w:pPr>
              <w:rPr>
                <w:rFonts w:ascii="宋体"/>
              </w:rPr>
            </w:pPr>
          </w:p>
        </w:tc>
        <w:tc>
          <w:tcPr>
            <w:tcW w:w="0" w:type="auto"/>
            <w:shd w:val="clear" w:color="auto" w:fill="auto"/>
          </w:tcPr>
          <w:p w14:paraId="1D025795" w14:textId="77777777" w:rsidR="004421F6" w:rsidRDefault="004421F6">
            <w:pPr>
              <w:rPr>
                <w:rFonts w:ascii="宋体"/>
              </w:rPr>
            </w:pPr>
          </w:p>
        </w:tc>
        <w:tc>
          <w:tcPr>
            <w:tcW w:w="0" w:type="auto"/>
            <w:shd w:val="clear" w:color="auto" w:fill="auto"/>
          </w:tcPr>
          <w:p w14:paraId="1D025796" w14:textId="77777777" w:rsidR="004421F6" w:rsidRDefault="004421F6">
            <w:pPr>
              <w:rPr>
                <w:rFonts w:ascii="宋体"/>
              </w:rPr>
            </w:pPr>
          </w:p>
        </w:tc>
        <w:tc>
          <w:tcPr>
            <w:tcW w:w="0" w:type="auto"/>
            <w:shd w:val="clear" w:color="auto" w:fill="auto"/>
          </w:tcPr>
          <w:p w14:paraId="1D025797" w14:textId="77777777" w:rsidR="004421F6" w:rsidRDefault="004421F6">
            <w:pPr>
              <w:rPr>
                <w:rFonts w:ascii="宋体"/>
              </w:rPr>
            </w:pPr>
          </w:p>
        </w:tc>
        <w:tc>
          <w:tcPr>
            <w:tcW w:w="0" w:type="auto"/>
            <w:shd w:val="clear" w:color="auto" w:fill="auto"/>
          </w:tcPr>
          <w:p w14:paraId="1D025798" w14:textId="77777777" w:rsidR="004421F6" w:rsidRDefault="004421F6">
            <w:pPr>
              <w:rPr>
                <w:rFonts w:ascii="宋体"/>
              </w:rPr>
            </w:pPr>
          </w:p>
        </w:tc>
        <w:tc>
          <w:tcPr>
            <w:tcW w:w="0" w:type="auto"/>
            <w:shd w:val="clear" w:color="auto" w:fill="auto"/>
          </w:tcPr>
          <w:p w14:paraId="1D025799" w14:textId="77777777" w:rsidR="004421F6" w:rsidRDefault="004421F6">
            <w:pPr>
              <w:rPr>
                <w:rFonts w:ascii="宋体"/>
              </w:rPr>
            </w:pPr>
          </w:p>
        </w:tc>
        <w:tc>
          <w:tcPr>
            <w:tcW w:w="0" w:type="auto"/>
            <w:shd w:val="clear" w:color="auto" w:fill="auto"/>
          </w:tcPr>
          <w:p w14:paraId="1D02579A" w14:textId="77777777" w:rsidR="004421F6" w:rsidRDefault="004421F6">
            <w:pPr>
              <w:rPr>
                <w:rFonts w:ascii="宋体"/>
              </w:rPr>
            </w:pPr>
          </w:p>
        </w:tc>
        <w:tc>
          <w:tcPr>
            <w:tcW w:w="0" w:type="auto"/>
            <w:shd w:val="clear" w:color="auto" w:fill="auto"/>
          </w:tcPr>
          <w:p w14:paraId="1D02579B" w14:textId="77777777" w:rsidR="004421F6" w:rsidRDefault="004421F6">
            <w:pPr>
              <w:rPr>
                <w:rFonts w:ascii="宋体"/>
              </w:rPr>
            </w:pPr>
          </w:p>
        </w:tc>
        <w:tc>
          <w:tcPr>
            <w:tcW w:w="0" w:type="auto"/>
            <w:shd w:val="clear" w:color="auto" w:fill="auto"/>
          </w:tcPr>
          <w:p w14:paraId="1D02579C" w14:textId="77777777" w:rsidR="004421F6" w:rsidRDefault="004421F6">
            <w:pPr>
              <w:rPr>
                <w:rFonts w:ascii="宋体"/>
              </w:rPr>
            </w:pPr>
          </w:p>
        </w:tc>
        <w:tc>
          <w:tcPr>
            <w:tcW w:w="0" w:type="auto"/>
            <w:shd w:val="clear" w:color="auto" w:fill="auto"/>
          </w:tcPr>
          <w:p w14:paraId="1D02579D" w14:textId="77777777" w:rsidR="004421F6" w:rsidRDefault="004421F6">
            <w:pPr>
              <w:rPr>
                <w:rFonts w:ascii="宋体"/>
              </w:rPr>
            </w:pPr>
          </w:p>
        </w:tc>
        <w:tc>
          <w:tcPr>
            <w:tcW w:w="0" w:type="auto"/>
            <w:shd w:val="clear" w:color="auto" w:fill="auto"/>
          </w:tcPr>
          <w:p w14:paraId="1D02579E" w14:textId="77777777" w:rsidR="004421F6" w:rsidRDefault="004421F6">
            <w:pPr>
              <w:rPr>
                <w:rFonts w:ascii="宋体"/>
              </w:rPr>
            </w:pPr>
          </w:p>
        </w:tc>
        <w:tc>
          <w:tcPr>
            <w:tcW w:w="0" w:type="auto"/>
            <w:shd w:val="clear" w:color="auto" w:fill="auto"/>
          </w:tcPr>
          <w:p w14:paraId="1D02579F" w14:textId="77777777" w:rsidR="004421F6" w:rsidRDefault="004421F6">
            <w:pPr>
              <w:rPr>
                <w:rFonts w:ascii="宋体"/>
              </w:rPr>
            </w:pPr>
          </w:p>
        </w:tc>
        <w:tc>
          <w:tcPr>
            <w:tcW w:w="0" w:type="auto"/>
            <w:shd w:val="clear" w:color="auto" w:fill="auto"/>
          </w:tcPr>
          <w:p w14:paraId="1D0257A0" w14:textId="77777777" w:rsidR="004421F6" w:rsidRDefault="004421F6">
            <w:pPr>
              <w:rPr>
                <w:rFonts w:ascii="宋体"/>
              </w:rPr>
            </w:pPr>
          </w:p>
        </w:tc>
      </w:tr>
      <w:tr w:rsidR="004421F6" w14:paraId="1D0257C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7A2" w14:textId="77777777" w:rsidR="004421F6" w:rsidRDefault="00F15622">
            <w:pP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9"/>
                <w:szCs w:val="9"/>
              </w:rPr>
              <w:t>(1)</w:t>
            </w:r>
          </w:p>
        </w:tc>
        <w:tc>
          <w:tcPr>
            <w:tcW w:w="0" w:type="auto"/>
            <w:tcBorders>
              <w:top w:val="single" w:sz="8" w:space="0" w:color="808080"/>
            </w:tcBorders>
            <w:shd w:val="clear" w:color="auto" w:fill="FFF1E7"/>
            <w:tcMar>
              <w:top w:w="40" w:type="dxa"/>
              <w:left w:w="20" w:type="dxa"/>
              <w:bottom w:w="40" w:type="dxa"/>
            </w:tcMar>
            <w:vAlign w:val="bottom"/>
          </w:tcPr>
          <w:p w14:paraId="1D0257A3"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57A4" w14:textId="77777777" w:rsidR="004421F6" w:rsidRDefault="00F15622">
            <w:pPr>
              <w:jc w:val="right"/>
              <w:textAlignment w:val="bottom"/>
            </w:pPr>
            <w:r>
              <w:rPr>
                <w:rFonts w:ascii="Arial" w:eastAsia="宋体" w:hAnsi="Arial" w:cs="Arial"/>
                <w:color w:val="000000"/>
                <w:sz w:val="17"/>
                <w:szCs w:val="17"/>
              </w:rPr>
              <w:t>48 </w:t>
            </w:r>
          </w:p>
        </w:tc>
        <w:tc>
          <w:tcPr>
            <w:tcW w:w="0" w:type="auto"/>
            <w:tcBorders>
              <w:top w:val="single" w:sz="8" w:space="0" w:color="808080"/>
            </w:tcBorders>
            <w:shd w:val="clear" w:color="auto" w:fill="FFF1E7"/>
            <w:tcMar>
              <w:top w:w="40" w:type="dxa"/>
              <w:bottom w:w="40" w:type="dxa"/>
              <w:right w:w="20" w:type="dxa"/>
            </w:tcMar>
            <w:vAlign w:val="bottom"/>
          </w:tcPr>
          <w:p w14:paraId="1D0257A5"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57A6"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57A7" w14:textId="77777777" w:rsidR="004421F6" w:rsidRDefault="00F15622">
            <w:pPr>
              <w:jc w:val="right"/>
              <w:textAlignment w:val="bottom"/>
            </w:pPr>
            <w:r>
              <w:rPr>
                <w:rFonts w:ascii="Arial" w:eastAsia="宋体" w:hAnsi="Arial" w:cs="Arial"/>
                <w:color w:val="000000"/>
                <w:sz w:val="17"/>
                <w:szCs w:val="17"/>
              </w:rPr>
              <w:t>43 </w:t>
            </w:r>
          </w:p>
        </w:tc>
        <w:tc>
          <w:tcPr>
            <w:tcW w:w="0" w:type="auto"/>
            <w:tcBorders>
              <w:top w:val="single" w:sz="8" w:space="0" w:color="808080"/>
            </w:tcBorders>
            <w:shd w:val="clear" w:color="auto" w:fill="FFF1E7"/>
            <w:tcMar>
              <w:top w:w="40" w:type="dxa"/>
              <w:bottom w:w="40" w:type="dxa"/>
              <w:right w:w="20" w:type="dxa"/>
            </w:tcMar>
            <w:vAlign w:val="bottom"/>
          </w:tcPr>
          <w:p w14:paraId="1D0257A8"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57A9"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57AA" w14:textId="77777777" w:rsidR="004421F6" w:rsidRDefault="00F1562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FFF1E7"/>
            <w:tcMar>
              <w:top w:w="40" w:type="dxa"/>
              <w:bottom w:w="40" w:type="dxa"/>
              <w:right w:w="20" w:type="dxa"/>
            </w:tcMar>
            <w:vAlign w:val="bottom"/>
          </w:tcPr>
          <w:p w14:paraId="1D0257AB" w14:textId="77777777" w:rsidR="004421F6" w:rsidRDefault="004421F6">
            <w:pPr>
              <w:jc w:val="right"/>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7AC" w14:textId="77777777" w:rsidR="004421F6" w:rsidRDefault="004421F6">
            <w:pPr>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57AD"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57AE" w14:textId="77777777" w:rsidR="004421F6" w:rsidRDefault="00F15622">
            <w:pPr>
              <w:jc w:val="right"/>
              <w:textAlignment w:val="bottom"/>
            </w:pPr>
            <w:r>
              <w:rPr>
                <w:rFonts w:ascii="Arial" w:eastAsia="宋体" w:hAnsi="Arial" w:cs="Arial"/>
                <w:color w:val="000000"/>
                <w:sz w:val="17"/>
                <w:szCs w:val="17"/>
              </w:rPr>
              <w:t>655 </w:t>
            </w:r>
          </w:p>
        </w:tc>
        <w:tc>
          <w:tcPr>
            <w:tcW w:w="0" w:type="auto"/>
            <w:tcBorders>
              <w:top w:val="single" w:sz="8" w:space="0" w:color="808080"/>
            </w:tcBorders>
            <w:shd w:val="clear" w:color="auto" w:fill="FFF1E7"/>
            <w:tcMar>
              <w:top w:w="40" w:type="dxa"/>
              <w:bottom w:w="40" w:type="dxa"/>
              <w:right w:w="20" w:type="dxa"/>
            </w:tcMar>
            <w:vAlign w:val="bottom"/>
          </w:tcPr>
          <w:p w14:paraId="1D0257AF"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57B0"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57B1" w14:textId="77777777" w:rsidR="004421F6" w:rsidRDefault="00F15622">
            <w:pPr>
              <w:jc w:val="right"/>
              <w:textAlignment w:val="bottom"/>
            </w:pPr>
            <w:r>
              <w:rPr>
                <w:rFonts w:ascii="Arial" w:eastAsia="宋体" w:hAnsi="Arial" w:cs="Arial"/>
                <w:color w:val="000000"/>
                <w:sz w:val="17"/>
                <w:szCs w:val="17"/>
              </w:rPr>
              <w:t>511 </w:t>
            </w:r>
          </w:p>
        </w:tc>
        <w:tc>
          <w:tcPr>
            <w:tcW w:w="0" w:type="auto"/>
            <w:tcBorders>
              <w:top w:val="single" w:sz="8" w:space="0" w:color="808080"/>
            </w:tcBorders>
            <w:shd w:val="clear" w:color="auto" w:fill="FFF1E7"/>
            <w:tcMar>
              <w:top w:w="40" w:type="dxa"/>
              <w:bottom w:w="40" w:type="dxa"/>
              <w:right w:w="20" w:type="dxa"/>
            </w:tcMar>
            <w:vAlign w:val="bottom"/>
          </w:tcPr>
          <w:p w14:paraId="1D0257B2"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57B3"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57B4" w14:textId="77777777" w:rsidR="004421F6" w:rsidRDefault="00F15622">
            <w:pPr>
              <w:jc w:val="right"/>
              <w:textAlignment w:val="bottom"/>
            </w:pPr>
            <w:r>
              <w:rPr>
                <w:rFonts w:ascii="Arial" w:eastAsia="宋体" w:hAnsi="Arial" w:cs="Arial"/>
                <w:color w:val="000000"/>
                <w:sz w:val="17"/>
                <w:szCs w:val="17"/>
              </w:rPr>
              <w:t>144 </w:t>
            </w:r>
          </w:p>
        </w:tc>
        <w:tc>
          <w:tcPr>
            <w:tcW w:w="0" w:type="auto"/>
            <w:tcBorders>
              <w:top w:val="single" w:sz="8" w:space="0" w:color="808080"/>
            </w:tcBorders>
            <w:shd w:val="clear" w:color="auto" w:fill="FFF1E7"/>
            <w:tcMar>
              <w:top w:w="40" w:type="dxa"/>
              <w:bottom w:w="40" w:type="dxa"/>
              <w:right w:w="20" w:type="dxa"/>
            </w:tcMar>
            <w:vAlign w:val="bottom"/>
          </w:tcPr>
          <w:p w14:paraId="1D0257B5" w14:textId="77777777" w:rsidR="004421F6" w:rsidRDefault="004421F6">
            <w:pPr>
              <w:jc w:val="right"/>
              <w:rPr>
                <w:rFonts w:ascii="宋体"/>
              </w:rPr>
            </w:pPr>
          </w:p>
        </w:tc>
        <w:tc>
          <w:tcPr>
            <w:tcW w:w="0" w:type="auto"/>
            <w:shd w:val="clear" w:color="auto" w:fill="auto"/>
          </w:tcPr>
          <w:p w14:paraId="1D0257B6" w14:textId="77777777" w:rsidR="004421F6" w:rsidRDefault="004421F6">
            <w:pPr>
              <w:rPr>
                <w:rFonts w:ascii="宋体"/>
              </w:rPr>
            </w:pPr>
          </w:p>
        </w:tc>
        <w:tc>
          <w:tcPr>
            <w:tcW w:w="0" w:type="auto"/>
            <w:shd w:val="clear" w:color="auto" w:fill="auto"/>
          </w:tcPr>
          <w:p w14:paraId="1D0257B7" w14:textId="77777777" w:rsidR="004421F6" w:rsidRDefault="004421F6">
            <w:pPr>
              <w:rPr>
                <w:rFonts w:ascii="宋体"/>
              </w:rPr>
            </w:pPr>
          </w:p>
        </w:tc>
        <w:tc>
          <w:tcPr>
            <w:tcW w:w="0" w:type="auto"/>
            <w:shd w:val="clear" w:color="auto" w:fill="auto"/>
          </w:tcPr>
          <w:p w14:paraId="1D0257B8" w14:textId="77777777" w:rsidR="004421F6" w:rsidRDefault="004421F6">
            <w:pPr>
              <w:rPr>
                <w:rFonts w:ascii="宋体"/>
              </w:rPr>
            </w:pPr>
          </w:p>
        </w:tc>
        <w:tc>
          <w:tcPr>
            <w:tcW w:w="0" w:type="auto"/>
            <w:shd w:val="clear" w:color="auto" w:fill="auto"/>
          </w:tcPr>
          <w:p w14:paraId="1D0257B9" w14:textId="77777777" w:rsidR="004421F6" w:rsidRDefault="004421F6">
            <w:pPr>
              <w:rPr>
                <w:rFonts w:ascii="宋体"/>
              </w:rPr>
            </w:pPr>
          </w:p>
        </w:tc>
        <w:tc>
          <w:tcPr>
            <w:tcW w:w="0" w:type="auto"/>
            <w:shd w:val="clear" w:color="auto" w:fill="auto"/>
          </w:tcPr>
          <w:p w14:paraId="1D0257BA" w14:textId="77777777" w:rsidR="004421F6" w:rsidRDefault="004421F6">
            <w:pPr>
              <w:rPr>
                <w:rFonts w:ascii="宋体"/>
              </w:rPr>
            </w:pPr>
          </w:p>
        </w:tc>
        <w:tc>
          <w:tcPr>
            <w:tcW w:w="0" w:type="auto"/>
            <w:shd w:val="clear" w:color="auto" w:fill="auto"/>
          </w:tcPr>
          <w:p w14:paraId="1D0257BB" w14:textId="77777777" w:rsidR="004421F6" w:rsidRDefault="004421F6">
            <w:pPr>
              <w:rPr>
                <w:rFonts w:ascii="宋体"/>
              </w:rPr>
            </w:pPr>
          </w:p>
        </w:tc>
        <w:tc>
          <w:tcPr>
            <w:tcW w:w="0" w:type="auto"/>
            <w:shd w:val="clear" w:color="auto" w:fill="auto"/>
          </w:tcPr>
          <w:p w14:paraId="1D0257BC" w14:textId="77777777" w:rsidR="004421F6" w:rsidRDefault="004421F6">
            <w:pPr>
              <w:rPr>
                <w:rFonts w:ascii="宋体"/>
              </w:rPr>
            </w:pPr>
          </w:p>
        </w:tc>
        <w:tc>
          <w:tcPr>
            <w:tcW w:w="0" w:type="auto"/>
            <w:shd w:val="clear" w:color="auto" w:fill="auto"/>
          </w:tcPr>
          <w:p w14:paraId="1D0257BD" w14:textId="77777777" w:rsidR="004421F6" w:rsidRDefault="004421F6">
            <w:pPr>
              <w:rPr>
                <w:rFonts w:ascii="宋体"/>
              </w:rPr>
            </w:pPr>
          </w:p>
        </w:tc>
        <w:tc>
          <w:tcPr>
            <w:tcW w:w="0" w:type="auto"/>
            <w:shd w:val="clear" w:color="auto" w:fill="auto"/>
          </w:tcPr>
          <w:p w14:paraId="1D0257BE" w14:textId="77777777" w:rsidR="004421F6" w:rsidRDefault="004421F6">
            <w:pPr>
              <w:rPr>
                <w:rFonts w:ascii="宋体"/>
              </w:rPr>
            </w:pPr>
          </w:p>
        </w:tc>
        <w:tc>
          <w:tcPr>
            <w:tcW w:w="0" w:type="auto"/>
            <w:shd w:val="clear" w:color="auto" w:fill="auto"/>
          </w:tcPr>
          <w:p w14:paraId="1D0257BF" w14:textId="77777777" w:rsidR="004421F6" w:rsidRDefault="004421F6">
            <w:pPr>
              <w:rPr>
                <w:rFonts w:ascii="宋体"/>
              </w:rPr>
            </w:pPr>
          </w:p>
        </w:tc>
        <w:tc>
          <w:tcPr>
            <w:tcW w:w="0" w:type="auto"/>
            <w:shd w:val="clear" w:color="auto" w:fill="auto"/>
          </w:tcPr>
          <w:p w14:paraId="1D0257C0" w14:textId="77777777" w:rsidR="004421F6" w:rsidRDefault="004421F6">
            <w:pPr>
              <w:rPr>
                <w:rFonts w:ascii="宋体"/>
              </w:rPr>
            </w:pPr>
          </w:p>
        </w:tc>
        <w:tc>
          <w:tcPr>
            <w:tcW w:w="0" w:type="auto"/>
            <w:shd w:val="clear" w:color="auto" w:fill="auto"/>
          </w:tcPr>
          <w:p w14:paraId="1D0257C1" w14:textId="77777777" w:rsidR="004421F6" w:rsidRDefault="004421F6">
            <w:pPr>
              <w:rPr>
                <w:rFonts w:ascii="宋体"/>
              </w:rPr>
            </w:pPr>
          </w:p>
        </w:tc>
        <w:tc>
          <w:tcPr>
            <w:tcW w:w="0" w:type="auto"/>
            <w:shd w:val="clear" w:color="auto" w:fill="auto"/>
          </w:tcPr>
          <w:p w14:paraId="1D0257C2" w14:textId="77777777" w:rsidR="004421F6" w:rsidRDefault="004421F6">
            <w:pPr>
              <w:rPr>
                <w:rFonts w:ascii="宋体"/>
              </w:rPr>
            </w:pPr>
          </w:p>
        </w:tc>
        <w:tc>
          <w:tcPr>
            <w:tcW w:w="0" w:type="auto"/>
            <w:shd w:val="clear" w:color="auto" w:fill="auto"/>
          </w:tcPr>
          <w:p w14:paraId="1D0257C3" w14:textId="77777777" w:rsidR="004421F6" w:rsidRDefault="004421F6">
            <w:pPr>
              <w:rPr>
                <w:rFonts w:ascii="宋体"/>
              </w:rPr>
            </w:pPr>
          </w:p>
        </w:tc>
        <w:tc>
          <w:tcPr>
            <w:tcW w:w="0" w:type="auto"/>
            <w:shd w:val="clear" w:color="auto" w:fill="auto"/>
          </w:tcPr>
          <w:p w14:paraId="1D0257C4" w14:textId="77777777" w:rsidR="004421F6" w:rsidRDefault="004421F6">
            <w:pPr>
              <w:rPr>
                <w:rFonts w:ascii="宋体"/>
              </w:rPr>
            </w:pPr>
          </w:p>
        </w:tc>
        <w:tc>
          <w:tcPr>
            <w:tcW w:w="0" w:type="auto"/>
            <w:shd w:val="clear" w:color="auto" w:fill="auto"/>
          </w:tcPr>
          <w:p w14:paraId="1D0257C5" w14:textId="77777777" w:rsidR="004421F6" w:rsidRDefault="004421F6">
            <w:pPr>
              <w:rPr>
                <w:rFonts w:ascii="宋体"/>
              </w:rPr>
            </w:pPr>
          </w:p>
        </w:tc>
        <w:tc>
          <w:tcPr>
            <w:tcW w:w="0" w:type="auto"/>
            <w:shd w:val="clear" w:color="auto" w:fill="auto"/>
          </w:tcPr>
          <w:p w14:paraId="1D0257C6" w14:textId="77777777" w:rsidR="004421F6" w:rsidRDefault="004421F6">
            <w:pPr>
              <w:rPr>
                <w:rFonts w:ascii="宋体"/>
              </w:rPr>
            </w:pPr>
          </w:p>
        </w:tc>
        <w:tc>
          <w:tcPr>
            <w:tcW w:w="0" w:type="auto"/>
            <w:shd w:val="clear" w:color="auto" w:fill="auto"/>
          </w:tcPr>
          <w:p w14:paraId="1D0257C7" w14:textId="77777777" w:rsidR="004421F6" w:rsidRDefault="004421F6">
            <w:pPr>
              <w:rPr>
                <w:rFonts w:ascii="宋体"/>
              </w:rPr>
            </w:pPr>
          </w:p>
        </w:tc>
      </w:tr>
      <w:tr w:rsidR="004421F6" w14:paraId="1D0257E9"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7C9" w14:textId="77777777" w:rsidR="004421F6" w:rsidRDefault="00F15622">
            <w:pPr>
              <w:textAlignment w:val="bottom"/>
            </w:pPr>
            <w:r>
              <w:rPr>
                <w:rFonts w:ascii="Arial" w:eastAsia="宋体" w:hAnsi="Arial" w:cs="Arial"/>
                <w:color w:val="000000"/>
                <w:sz w:val="17"/>
                <w:szCs w:val="17"/>
              </w:rPr>
              <w:t>Embedded derivatives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7CA"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57CB"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7CC"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57CD"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7CE"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57CF" w14:textId="77777777" w:rsidR="004421F6" w:rsidRDefault="004421F6">
            <w:pPr>
              <w:jc w:val="right"/>
              <w:rPr>
                <w:rFonts w:ascii="宋体"/>
              </w:rPr>
            </w:pPr>
          </w:p>
        </w:tc>
        <w:tc>
          <w:tcPr>
            <w:tcW w:w="0" w:type="auto"/>
            <w:gridSpan w:val="3"/>
            <w:tcBorders>
              <w:top w:val="single" w:sz="8" w:space="0" w:color="808080"/>
            </w:tcBorders>
            <w:shd w:val="clear" w:color="auto" w:fill="FFF1E7"/>
            <w:tcMar>
              <w:left w:w="20" w:type="dxa"/>
              <w:right w:w="20" w:type="dxa"/>
            </w:tcMar>
            <w:vAlign w:val="bottom"/>
          </w:tcPr>
          <w:p w14:paraId="1D0257D0" w14:textId="77777777" w:rsidR="004421F6" w:rsidRDefault="004421F6">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7D1"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bottom w:w="40" w:type="dxa"/>
              <w:right w:w="20" w:type="dxa"/>
            </w:tcMar>
            <w:vAlign w:val="bottom"/>
          </w:tcPr>
          <w:p w14:paraId="1D0257D2"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7D3"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bottom w:w="40" w:type="dxa"/>
              <w:right w:w="20" w:type="dxa"/>
            </w:tcMar>
            <w:vAlign w:val="bottom"/>
          </w:tcPr>
          <w:p w14:paraId="1D0257D4"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7D5"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57D6" w14:textId="77777777" w:rsidR="004421F6" w:rsidRDefault="004421F6">
            <w:pPr>
              <w:jc w:val="right"/>
              <w:rPr>
                <w:rFonts w:ascii="宋体"/>
              </w:rPr>
            </w:pPr>
          </w:p>
        </w:tc>
        <w:tc>
          <w:tcPr>
            <w:tcW w:w="0" w:type="auto"/>
            <w:shd w:val="clear" w:color="auto" w:fill="auto"/>
          </w:tcPr>
          <w:p w14:paraId="1D0257D7" w14:textId="77777777" w:rsidR="004421F6" w:rsidRDefault="004421F6">
            <w:pPr>
              <w:rPr>
                <w:rFonts w:ascii="宋体"/>
              </w:rPr>
            </w:pPr>
          </w:p>
        </w:tc>
        <w:tc>
          <w:tcPr>
            <w:tcW w:w="0" w:type="auto"/>
            <w:shd w:val="clear" w:color="auto" w:fill="auto"/>
          </w:tcPr>
          <w:p w14:paraId="1D0257D8" w14:textId="77777777" w:rsidR="004421F6" w:rsidRDefault="004421F6">
            <w:pPr>
              <w:rPr>
                <w:rFonts w:ascii="宋体"/>
              </w:rPr>
            </w:pPr>
          </w:p>
        </w:tc>
        <w:tc>
          <w:tcPr>
            <w:tcW w:w="0" w:type="auto"/>
            <w:shd w:val="clear" w:color="auto" w:fill="auto"/>
          </w:tcPr>
          <w:p w14:paraId="1D0257D9" w14:textId="77777777" w:rsidR="004421F6" w:rsidRDefault="004421F6">
            <w:pPr>
              <w:rPr>
                <w:rFonts w:ascii="宋体"/>
              </w:rPr>
            </w:pPr>
          </w:p>
        </w:tc>
        <w:tc>
          <w:tcPr>
            <w:tcW w:w="0" w:type="auto"/>
            <w:shd w:val="clear" w:color="auto" w:fill="auto"/>
          </w:tcPr>
          <w:p w14:paraId="1D0257DA" w14:textId="77777777" w:rsidR="004421F6" w:rsidRDefault="004421F6">
            <w:pPr>
              <w:rPr>
                <w:rFonts w:ascii="宋体"/>
              </w:rPr>
            </w:pPr>
          </w:p>
        </w:tc>
        <w:tc>
          <w:tcPr>
            <w:tcW w:w="0" w:type="auto"/>
            <w:shd w:val="clear" w:color="auto" w:fill="auto"/>
          </w:tcPr>
          <w:p w14:paraId="1D0257DB" w14:textId="77777777" w:rsidR="004421F6" w:rsidRDefault="004421F6">
            <w:pPr>
              <w:rPr>
                <w:rFonts w:ascii="宋体"/>
              </w:rPr>
            </w:pPr>
          </w:p>
        </w:tc>
        <w:tc>
          <w:tcPr>
            <w:tcW w:w="0" w:type="auto"/>
            <w:shd w:val="clear" w:color="auto" w:fill="auto"/>
          </w:tcPr>
          <w:p w14:paraId="1D0257DC" w14:textId="77777777" w:rsidR="004421F6" w:rsidRDefault="004421F6">
            <w:pPr>
              <w:rPr>
                <w:rFonts w:ascii="宋体"/>
              </w:rPr>
            </w:pPr>
          </w:p>
        </w:tc>
        <w:tc>
          <w:tcPr>
            <w:tcW w:w="0" w:type="auto"/>
            <w:shd w:val="clear" w:color="auto" w:fill="auto"/>
          </w:tcPr>
          <w:p w14:paraId="1D0257DD" w14:textId="77777777" w:rsidR="004421F6" w:rsidRDefault="004421F6">
            <w:pPr>
              <w:rPr>
                <w:rFonts w:ascii="宋体"/>
              </w:rPr>
            </w:pPr>
          </w:p>
        </w:tc>
        <w:tc>
          <w:tcPr>
            <w:tcW w:w="0" w:type="auto"/>
            <w:shd w:val="clear" w:color="auto" w:fill="auto"/>
          </w:tcPr>
          <w:p w14:paraId="1D0257DE" w14:textId="77777777" w:rsidR="004421F6" w:rsidRDefault="004421F6">
            <w:pPr>
              <w:rPr>
                <w:rFonts w:ascii="宋体"/>
              </w:rPr>
            </w:pPr>
          </w:p>
        </w:tc>
        <w:tc>
          <w:tcPr>
            <w:tcW w:w="0" w:type="auto"/>
            <w:shd w:val="clear" w:color="auto" w:fill="auto"/>
          </w:tcPr>
          <w:p w14:paraId="1D0257DF" w14:textId="77777777" w:rsidR="004421F6" w:rsidRDefault="004421F6">
            <w:pPr>
              <w:rPr>
                <w:rFonts w:ascii="宋体"/>
              </w:rPr>
            </w:pPr>
          </w:p>
        </w:tc>
        <w:tc>
          <w:tcPr>
            <w:tcW w:w="0" w:type="auto"/>
            <w:shd w:val="clear" w:color="auto" w:fill="auto"/>
          </w:tcPr>
          <w:p w14:paraId="1D0257E0" w14:textId="77777777" w:rsidR="004421F6" w:rsidRDefault="004421F6">
            <w:pPr>
              <w:rPr>
                <w:rFonts w:ascii="宋体"/>
              </w:rPr>
            </w:pPr>
          </w:p>
        </w:tc>
        <w:tc>
          <w:tcPr>
            <w:tcW w:w="0" w:type="auto"/>
            <w:shd w:val="clear" w:color="auto" w:fill="auto"/>
          </w:tcPr>
          <w:p w14:paraId="1D0257E1" w14:textId="77777777" w:rsidR="004421F6" w:rsidRDefault="004421F6">
            <w:pPr>
              <w:rPr>
                <w:rFonts w:ascii="宋体"/>
              </w:rPr>
            </w:pPr>
          </w:p>
        </w:tc>
        <w:tc>
          <w:tcPr>
            <w:tcW w:w="0" w:type="auto"/>
            <w:shd w:val="clear" w:color="auto" w:fill="auto"/>
          </w:tcPr>
          <w:p w14:paraId="1D0257E2" w14:textId="77777777" w:rsidR="004421F6" w:rsidRDefault="004421F6">
            <w:pPr>
              <w:rPr>
                <w:rFonts w:ascii="宋体"/>
              </w:rPr>
            </w:pPr>
          </w:p>
        </w:tc>
        <w:tc>
          <w:tcPr>
            <w:tcW w:w="0" w:type="auto"/>
            <w:shd w:val="clear" w:color="auto" w:fill="auto"/>
          </w:tcPr>
          <w:p w14:paraId="1D0257E3" w14:textId="77777777" w:rsidR="004421F6" w:rsidRDefault="004421F6">
            <w:pPr>
              <w:rPr>
                <w:rFonts w:ascii="宋体"/>
              </w:rPr>
            </w:pPr>
          </w:p>
        </w:tc>
        <w:tc>
          <w:tcPr>
            <w:tcW w:w="0" w:type="auto"/>
            <w:shd w:val="clear" w:color="auto" w:fill="auto"/>
          </w:tcPr>
          <w:p w14:paraId="1D0257E4" w14:textId="77777777" w:rsidR="004421F6" w:rsidRDefault="004421F6">
            <w:pPr>
              <w:rPr>
                <w:rFonts w:ascii="宋体"/>
              </w:rPr>
            </w:pPr>
          </w:p>
        </w:tc>
        <w:tc>
          <w:tcPr>
            <w:tcW w:w="0" w:type="auto"/>
            <w:shd w:val="clear" w:color="auto" w:fill="auto"/>
          </w:tcPr>
          <w:p w14:paraId="1D0257E5" w14:textId="77777777" w:rsidR="004421F6" w:rsidRDefault="004421F6">
            <w:pPr>
              <w:rPr>
                <w:rFonts w:ascii="宋体"/>
              </w:rPr>
            </w:pPr>
          </w:p>
        </w:tc>
        <w:tc>
          <w:tcPr>
            <w:tcW w:w="0" w:type="auto"/>
            <w:shd w:val="clear" w:color="auto" w:fill="auto"/>
          </w:tcPr>
          <w:p w14:paraId="1D0257E6" w14:textId="77777777" w:rsidR="004421F6" w:rsidRDefault="004421F6">
            <w:pPr>
              <w:rPr>
                <w:rFonts w:ascii="宋体"/>
              </w:rPr>
            </w:pPr>
          </w:p>
        </w:tc>
        <w:tc>
          <w:tcPr>
            <w:tcW w:w="0" w:type="auto"/>
            <w:shd w:val="clear" w:color="auto" w:fill="auto"/>
          </w:tcPr>
          <w:p w14:paraId="1D0257E7" w14:textId="77777777" w:rsidR="004421F6" w:rsidRDefault="004421F6">
            <w:pPr>
              <w:rPr>
                <w:rFonts w:ascii="宋体"/>
              </w:rPr>
            </w:pPr>
          </w:p>
        </w:tc>
        <w:tc>
          <w:tcPr>
            <w:tcW w:w="0" w:type="auto"/>
            <w:shd w:val="clear" w:color="auto" w:fill="auto"/>
          </w:tcPr>
          <w:p w14:paraId="1D0257E8" w14:textId="77777777" w:rsidR="004421F6" w:rsidRDefault="004421F6">
            <w:pPr>
              <w:rPr>
                <w:rFonts w:ascii="宋体"/>
              </w:rPr>
            </w:pPr>
          </w:p>
        </w:tc>
      </w:tr>
      <w:tr w:rsidR="004421F6" w14:paraId="1D025810"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7EA" w14:textId="77777777" w:rsidR="004421F6" w:rsidRDefault="00F15622">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7EB"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7EC" w14:textId="77777777" w:rsidR="004421F6" w:rsidRDefault="00F15622">
            <w:pPr>
              <w:jc w:val="right"/>
              <w:textAlignment w:val="bottom"/>
            </w:pPr>
            <w:r>
              <w:rPr>
                <w:rFonts w:ascii="Arial" w:eastAsia="宋体" w:hAnsi="Arial" w:cs="Arial"/>
                <w:b/>
                <w:bCs/>
                <w:color w:val="000000"/>
                <w:sz w:val="17"/>
                <w:szCs w:val="17"/>
              </w:rPr>
              <w:t>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7ED"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7EE"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7EF" w14:textId="77777777" w:rsidR="004421F6" w:rsidRDefault="00F15622">
            <w:pPr>
              <w:jc w:val="right"/>
              <w:textAlignment w:val="bottom"/>
            </w:pPr>
            <w:r>
              <w:rPr>
                <w:rFonts w:ascii="Arial" w:eastAsia="宋体" w:hAnsi="Arial" w:cs="Arial"/>
                <w:b/>
                <w:bCs/>
                <w:color w:val="000000"/>
                <w:sz w:val="17"/>
                <w:szCs w:val="17"/>
              </w:rPr>
              <w:t>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7F0"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7F1"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7F2" w14:textId="77777777" w:rsidR="004421F6" w:rsidRDefault="00F15622">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7F3" w14:textId="77777777" w:rsidR="004421F6" w:rsidRDefault="004421F6">
            <w:pPr>
              <w:jc w:val="right"/>
              <w:rPr>
                <w:rFonts w:ascii="宋体"/>
              </w:rPr>
            </w:pPr>
          </w:p>
        </w:tc>
        <w:tc>
          <w:tcPr>
            <w:tcW w:w="0" w:type="auto"/>
            <w:gridSpan w:val="3"/>
            <w:tcBorders>
              <w:top w:val="single" w:sz="8" w:space="0" w:color="E87722"/>
              <w:bottom w:val="single" w:sz="8" w:space="0" w:color="E87722"/>
            </w:tcBorders>
            <w:shd w:val="clear" w:color="auto" w:fill="FFF1E7"/>
            <w:tcMar>
              <w:left w:w="20" w:type="dxa"/>
              <w:right w:w="20" w:type="dxa"/>
            </w:tcMar>
            <w:vAlign w:val="bottom"/>
          </w:tcPr>
          <w:p w14:paraId="1D0257F4" w14:textId="77777777" w:rsidR="004421F6" w:rsidRDefault="004421F6">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7F5"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7F6" w14:textId="77777777" w:rsidR="004421F6" w:rsidRDefault="00F15622">
            <w:pPr>
              <w:jc w:val="right"/>
              <w:textAlignment w:val="bottom"/>
            </w:pPr>
            <w:r>
              <w:rPr>
                <w:rFonts w:ascii="Arial" w:eastAsia="宋体" w:hAnsi="Arial" w:cs="Arial"/>
                <w:b/>
                <w:bCs/>
                <w:color w:val="000000"/>
                <w:sz w:val="17"/>
                <w:szCs w:val="17"/>
              </w:rPr>
              <w:t>656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7F7"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7F8"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7F9" w14:textId="77777777" w:rsidR="004421F6" w:rsidRDefault="00F15622">
            <w:pPr>
              <w:jc w:val="right"/>
              <w:textAlignment w:val="bottom"/>
            </w:pPr>
            <w:r>
              <w:rPr>
                <w:rFonts w:ascii="Arial" w:eastAsia="宋体" w:hAnsi="Arial" w:cs="Arial"/>
                <w:b/>
                <w:bCs/>
                <w:color w:val="000000"/>
                <w:sz w:val="17"/>
                <w:szCs w:val="17"/>
              </w:rPr>
              <w:t>512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7FA"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7FB"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7FC" w14:textId="77777777" w:rsidR="004421F6" w:rsidRDefault="00F15622">
            <w:pPr>
              <w:jc w:val="right"/>
              <w:textAlignment w:val="bottom"/>
            </w:pPr>
            <w:r>
              <w:rPr>
                <w:rFonts w:ascii="Arial" w:eastAsia="宋体" w:hAnsi="Arial" w:cs="Arial"/>
                <w:b/>
                <w:bCs/>
                <w:color w:val="000000"/>
                <w:sz w:val="17"/>
                <w:szCs w:val="17"/>
              </w:rPr>
              <w:t>144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7FD" w14:textId="77777777" w:rsidR="004421F6" w:rsidRDefault="004421F6">
            <w:pPr>
              <w:jc w:val="right"/>
              <w:rPr>
                <w:rFonts w:ascii="宋体"/>
              </w:rPr>
            </w:pPr>
          </w:p>
        </w:tc>
        <w:tc>
          <w:tcPr>
            <w:tcW w:w="0" w:type="auto"/>
            <w:shd w:val="clear" w:color="auto" w:fill="auto"/>
          </w:tcPr>
          <w:p w14:paraId="1D0257FE" w14:textId="77777777" w:rsidR="004421F6" w:rsidRDefault="004421F6">
            <w:pPr>
              <w:rPr>
                <w:rFonts w:ascii="宋体"/>
              </w:rPr>
            </w:pPr>
          </w:p>
        </w:tc>
        <w:tc>
          <w:tcPr>
            <w:tcW w:w="0" w:type="auto"/>
            <w:shd w:val="clear" w:color="auto" w:fill="auto"/>
          </w:tcPr>
          <w:p w14:paraId="1D0257FF" w14:textId="77777777" w:rsidR="004421F6" w:rsidRDefault="004421F6">
            <w:pPr>
              <w:rPr>
                <w:rFonts w:ascii="宋体"/>
              </w:rPr>
            </w:pPr>
          </w:p>
        </w:tc>
        <w:tc>
          <w:tcPr>
            <w:tcW w:w="0" w:type="auto"/>
            <w:shd w:val="clear" w:color="auto" w:fill="auto"/>
          </w:tcPr>
          <w:p w14:paraId="1D025800" w14:textId="77777777" w:rsidR="004421F6" w:rsidRDefault="004421F6">
            <w:pPr>
              <w:rPr>
                <w:rFonts w:ascii="宋体"/>
              </w:rPr>
            </w:pPr>
          </w:p>
        </w:tc>
        <w:tc>
          <w:tcPr>
            <w:tcW w:w="0" w:type="auto"/>
            <w:shd w:val="clear" w:color="auto" w:fill="auto"/>
          </w:tcPr>
          <w:p w14:paraId="1D025801" w14:textId="77777777" w:rsidR="004421F6" w:rsidRDefault="004421F6">
            <w:pPr>
              <w:rPr>
                <w:rFonts w:ascii="宋体"/>
              </w:rPr>
            </w:pPr>
          </w:p>
        </w:tc>
        <w:tc>
          <w:tcPr>
            <w:tcW w:w="0" w:type="auto"/>
            <w:shd w:val="clear" w:color="auto" w:fill="auto"/>
          </w:tcPr>
          <w:p w14:paraId="1D025802" w14:textId="77777777" w:rsidR="004421F6" w:rsidRDefault="004421F6">
            <w:pPr>
              <w:rPr>
                <w:rFonts w:ascii="宋体"/>
              </w:rPr>
            </w:pPr>
          </w:p>
        </w:tc>
        <w:tc>
          <w:tcPr>
            <w:tcW w:w="0" w:type="auto"/>
            <w:shd w:val="clear" w:color="auto" w:fill="auto"/>
          </w:tcPr>
          <w:p w14:paraId="1D025803" w14:textId="77777777" w:rsidR="004421F6" w:rsidRDefault="004421F6">
            <w:pPr>
              <w:rPr>
                <w:rFonts w:ascii="宋体"/>
              </w:rPr>
            </w:pPr>
          </w:p>
        </w:tc>
        <w:tc>
          <w:tcPr>
            <w:tcW w:w="0" w:type="auto"/>
            <w:shd w:val="clear" w:color="auto" w:fill="auto"/>
          </w:tcPr>
          <w:p w14:paraId="1D025804" w14:textId="77777777" w:rsidR="004421F6" w:rsidRDefault="004421F6">
            <w:pPr>
              <w:rPr>
                <w:rFonts w:ascii="宋体"/>
              </w:rPr>
            </w:pPr>
          </w:p>
        </w:tc>
        <w:tc>
          <w:tcPr>
            <w:tcW w:w="0" w:type="auto"/>
            <w:shd w:val="clear" w:color="auto" w:fill="auto"/>
          </w:tcPr>
          <w:p w14:paraId="1D025805" w14:textId="77777777" w:rsidR="004421F6" w:rsidRDefault="004421F6">
            <w:pPr>
              <w:rPr>
                <w:rFonts w:ascii="宋体"/>
              </w:rPr>
            </w:pPr>
          </w:p>
        </w:tc>
        <w:tc>
          <w:tcPr>
            <w:tcW w:w="0" w:type="auto"/>
            <w:shd w:val="clear" w:color="auto" w:fill="auto"/>
          </w:tcPr>
          <w:p w14:paraId="1D025806" w14:textId="77777777" w:rsidR="004421F6" w:rsidRDefault="004421F6">
            <w:pPr>
              <w:rPr>
                <w:rFonts w:ascii="宋体"/>
              </w:rPr>
            </w:pPr>
          </w:p>
        </w:tc>
        <w:tc>
          <w:tcPr>
            <w:tcW w:w="0" w:type="auto"/>
            <w:shd w:val="clear" w:color="auto" w:fill="auto"/>
          </w:tcPr>
          <w:p w14:paraId="1D025807" w14:textId="77777777" w:rsidR="004421F6" w:rsidRDefault="004421F6">
            <w:pPr>
              <w:rPr>
                <w:rFonts w:ascii="宋体"/>
              </w:rPr>
            </w:pPr>
          </w:p>
        </w:tc>
        <w:tc>
          <w:tcPr>
            <w:tcW w:w="0" w:type="auto"/>
            <w:shd w:val="clear" w:color="auto" w:fill="auto"/>
          </w:tcPr>
          <w:p w14:paraId="1D025808" w14:textId="77777777" w:rsidR="004421F6" w:rsidRDefault="004421F6">
            <w:pPr>
              <w:rPr>
                <w:rFonts w:ascii="宋体"/>
              </w:rPr>
            </w:pPr>
          </w:p>
        </w:tc>
        <w:tc>
          <w:tcPr>
            <w:tcW w:w="0" w:type="auto"/>
            <w:shd w:val="clear" w:color="auto" w:fill="auto"/>
          </w:tcPr>
          <w:p w14:paraId="1D025809" w14:textId="77777777" w:rsidR="004421F6" w:rsidRDefault="004421F6">
            <w:pPr>
              <w:rPr>
                <w:rFonts w:ascii="宋体"/>
              </w:rPr>
            </w:pPr>
          </w:p>
        </w:tc>
        <w:tc>
          <w:tcPr>
            <w:tcW w:w="0" w:type="auto"/>
            <w:shd w:val="clear" w:color="auto" w:fill="auto"/>
          </w:tcPr>
          <w:p w14:paraId="1D02580A" w14:textId="77777777" w:rsidR="004421F6" w:rsidRDefault="004421F6">
            <w:pPr>
              <w:rPr>
                <w:rFonts w:ascii="宋体"/>
              </w:rPr>
            </w:pPr>
          </w:p>
        </w:tc>
        <w:tc>
          <w:tcPr>
            <w:tcW w:w="0" w:type="auto"/>
            <w:shd w:val="clear" w:color="auto" w:fill="auto"/>
          </w:tcPr>
          <w:p w14:paraId="1D02580B" w14:textId="77777777" w:rsidR="004421F6" w:rsidRDefault="004421F6">
            <w:pPr>
              <w:rPr>
                <w:rFonts w:ascii="宋体"/>
              </w:rPr>
            </w:pPr>
          </w:p>
        </w:tc>
        <w:tc>
          <w:tcPr>
            <w:tcW w:w="0" w:type="auto"/>
            <w:shd w:val="clear" w:color="auto" w:fill="auto"/>
          </w:tcPr>
          <w:p w14:paraId="1D02580C" w14:textId="77777777" w:rsidR="004421F6" w:rsidRDefault="004421F6">
            <w:pPr>
              <w:rPr>
                <w:rFonts w:ascii="宋体"/>
              </w:rPr>
            </w:pPr>
          </w:p>
        </w:tc>
        <w:tc>
          <w:tcPr>
            <w:tcW w:w="0" w:type="auto"/>
            <w:shd w:val="clear" w:color="auto" w:fill="auto"/>
          </w:tcPr>
          <w:p w14:paraId="1D02580D" w14:textId="77777777" w:rsidR="004421F6" w:rsidRDefault="004421F6">
            <w:pPr>
              <w:rPr>
                <w:rFonts w:ascii="宋体"/>
              </w:rPr>
            </w:pPr>
          </w:p>
        </w:tc>
        <w:tc>
          <w:tcPr>
            <w:tcW w:w="0" w:type="auto"/>
            <w:shd w:val="clear" w:color="auto" w:fill="auto"/>
          </w:tcPr>
          <w:p w14:paraId="1D02580E" w14:textId="77777777" w:rsidR="004421F6" w:rsidRDefault="004421F6">
            <w:pPr>
              <w:rPr>
                <w:rFonts w:ascii="宋体"/>
              </w:rPr>
            </w:pPr>
          </w:p>
        </w:tc>
        <w:tc>
          <w:tcPr>
            <w:tcW w:w="0" w:type="auto"/>
            <w:shd w:val="clear" w:color="auto" w:fill="auto"/>
          </w:tcPr>
          <w:p w14:paraId="1D02580F" w14:textId="77777777" w:rsidR="004421F6" w:rsidRDefault="004421F6">
            <w:pPr>
              <w:rPr>
                <w:rFonts w:ascii="宋体"/>
              </w:rPr>
            </w:pPr>
          </w:p>
        </w:tc>
      </w:tr>
    </w:tbl>
    <w:p w14:paraId="1D025811" w14:textId="77777777" w:rsidR="004421F6" w:rsidRDefault="00F15622">
      <w:pPr>
        <w:spacing w:before="60" w:after="60"/>
        <w:ind w:hanging="360"/>
      </w:pPr>
      <w:r>
        <w:rPr>
          <w:rFonts w:ascii="Arial" w:eastAsia="宋体" w:hAnsi="Arial" w:cs="Arial"/>
          <w:i/>
          <w:iCs/>
          <w:color w:val="000000"/>
          <w:sz w:val="14"/>
          <w:szCs w:val="14"/>
        </w:rPr>
        <w:t>(1)If the foreign ex</w:t>
      </w:r>
      <w:r>
        <w:rPr>
          <w:rFonts w:ascii="Arial" w:eastAsia="宋体" w:hAnsi="Arial" w:cs="Arial"/>
          <w:i/>
          <w:iCs/>
          <w:color w:val="000000"/>
          <w:sz w:val="14"/>
          <w:szCs w:val="14"/>
        </w:rPr>
        <w:t>change derivative instruments had been netted on the Unaudited Condensed Consolidated Balance Sheets, the asset and liability positions each would have been reduced by $44 million as of August 31, 2020. As of that date, the Company had posted $151 million </w:t>
      </w:r>
      <w:r>
        <w:rPr>
          <w:rFonts w:ascii="Arial" w:eastAsia="宋体" w:hAnsi="Arial" w:cs="Arial"/>
          <w:i/>
          <w:iCs/>
          <w:color w:val="000000"/>
          <w:sz w:val="14"/>
          <w:szCs w:val="14"/>
        </w:rPr>
        <w:t xml:space="preserve">of cash collateral to various counterparties related to foreign exchange derivative instruments. No amount of collateral was received on the Company's derivative asset balance as of August 31, 2020. </w:t>
      </w:r>
    </w:p>
    <w:p w14:paraId="1D025812" w14:textId="77777777" w:rsidR="004421F6" w:rsidRDefault="00F15622">
      <w:pPr>
        <w:spacing w:before="120" w:after="120"/>
      </w:pPr>
      <w:r>
        <w:rPr>
          <w:rFonts w:ascii="Arial" w:eastAsia="宋体" w:hAnsi="Arial" w:cs="Arial"/>
          <w:color w:val="E87722"/>
          <w:sz w:val="17"/>
          <w:szCs w:val="17"/>
        </w:rPr>
        <w:t>8</w:t>
      </w:r>
      <w:r>
        <w:rPr>
          <w:rFonts w:ascii="sans-serif" w:eastAsia="sans-serif" w:hAnsi="sans-serif" w:cs="sans-serif"/>
          <w:color w:val="000000"/>
          <w:sz w:val="17"/>
          <w:szCs w:val="17"/>
        </w:rPr>
        <w:t xml:space="preserve"> </w:t>
      </w:r>
    </w:p>
    <w:p w14:paraId="1D025813" w14:textId="77777777" w:rsidR="004421F6" w:rsidRDefault="00F15622">
      <w:r>
        <w:pict w14:anchorId="1D027283">
          <v:rect id="_x0000_i1034" style="width:415.3pt;height:1.5pt" o:hralign="center" o:hrstd="t" o:hr="t" fillcolor="#a0a0a0" stroked="f"/>
        </w:pict>
      </w:r>
    </w:p>
    <w:p w14:paraId="1D025814" w14:textId="77777777" w:rsidR="004421F6" w:rsidRDefault="004421F6"/>
    <w:p w14:paraId="1D025815" w14:textId="77777777" w:rsidR="004421F6" w:rsidRDefault="00F15622">
      <w:hyperlink r:id="rId79" w:anchor="i3e524f2e23844e81ba9d33a05ac3917c_7" w:history="1">
        <w:r>
          <w:rPr>
            <w:rStyle w:val="a5"/>
            <w:rFonts w:ascii="sans-serif" w:eastAsia="sans-serif" w:hAnsi="sans-serif" w:cs="sans-serif"/>
            <w:sz w:val="17"/>
            <w:szCs w:val="17"/>
          </w:rPr>
          <w:t>Table of Contents</w:t>
        </w:r>
      </w:hyperlink>
    </w:p>
    <w:p w14:paraId="1D025816" w14:textId="77777777" w:rsidR="004421F6" w:rsidRDefault="004421F6"/>
    <w:tbl>
      <w:tblPr>
        <w:tblW w:w="4992" w:type="pct"/>
        <w:tblCellMar>
          <w:top w:w="15" w:type="dxa"/>
          <w:left w:w="15" w:type="dxa"/>
          <w:bottom w:w="15" w:type="dxa"/>
          <w:right w:w="15" w:type="dxa"/>
        </w:tblCellMar>
        <w:tblLook w:val="04A0" w:firstRow="1" w:lastRow="0" w:firstColumn="1" w:lastColumn="0" w:noHBand="0" w:noVBand="1"/>
      </w:tblPr>
      <w:tblGrid>
        <w:gridCol w:w="39"/>
        <w:gridCol w:w="1703"/>
        <w:gridCol w:w="38"/>
        <w:gridCol w:w="131"/>
        <w:gridCol w:w="487"/>
        <w:gridCol w:w="41"/>
        <w:gridCol w:w="131"/>
        <w:gridCol w:w="628"/>
        <w:gridCol w:w="41"/>
        <w:gridCol w:w="131"/>
        <w:gridCol w:w="811"/>
        <w:gridCol w:w="41"/>
        <w:gridCol w:w="36"/>
        <w:gridCol w:w="36"/>
        <w:gridCol w:w="36"/>
        <w:gridCol w:w="131"/>
        <w:gridCol w:w="715"/>
        <w:gridCol w:w="41"/>
        <w:gridCol w:w="131"/>
        <w:gridCol w:w="715"/>
        <w:gridCol w:w="41"/>
        <w:gridCol w:w="131"/>
        <w:gridCol w:w="811"/>
        <w:gridCol w:w="41"/>
        <w:gridCol w:w="134"/>
        <w:gridCol w:w="134"/>
        <w:gridCol w:w="134"/>
        <w:gridCol w:w="134"/>
        <w:gridCol w:w="134"/>
        <w:gridCol w:w="134"/>
        <w:gridCol w:w="36"/>
        <w:gridCol w:w="36"/>
        <w:gridCol w:w="36"/>
        <w:gridCol w:w="36"/>
        <w:gridCol w:w="36"/>
        <w:gridCol w:w="36"/>
        <w:gridCol w:w="36"/>
        <w:gridCol w:w="36"/>
        <w:gridCol w:w="36"/>
        <w:gridCol w:w="36"/>
        <w:gridCol w:w="36"/>
        <w:gridCol w:w="36"/>
      </w:tblGrid>
      <w:tr w:rsidR="004421F6" w14:paraId="1D02582F" w14:textId="77777777">
        <w:trPr>
          <w:gridAfter w:val="18"/>
        </w:trPr>
        <w:tc>
          <w:tcPr>
            <w:tcW w:w="50" w:type="pct"/>
            <w:shd w:val="clear" w:color="auto" w:fill="auto"/>
          </w:tcPr>
          <w:p w14:paraId="1D025817" w14:textId="77777777" w:rsidR="004421F6" w:rsidRDefault="004421F6">
            <w:pPr>
              <w:rPr>
                <w:rFonts w:ascii="宋体"/>
              </w:rPr>
            </w:pPr>
          </w:p>
        </w:tc>
        <w:tc>
          <w:tcPr>
            <w:tcW w:w="2047" w:type="pct"/>
            <w:shd w:val="clear" w:color="auto" w:fill="auto"/>
          </w:tcPr>
          <w:p w14:paraId="1D025818" w14:textId="77777777" w:rsidR="004421F6" w:rsidRDefault="004421F6">
            <w:pPr>
              <w:rPr>
                <w:rFonts w:ascii="宋体"/>
              </w:rPr>
            </w:pPr>
          </w:p>
        </w:tc>
        <w:tc>
          <w:tcPr>
            <w:tcW w:w="5" w:type="pct"/>
            <w:shd w:val="clear" w:color="auto" w:fill="auto"/>
          </w:tcPr>
          <w:p w14:paraId="1D025819" w14:textId="77777777" w:rsidR="004421F6" w:rsidRDefault="004421F6">
            <w:pPr>
              <w:rPr>
                <w:rFonts w:ascii="宋体"/>
              </w:rPr>
            </w:pPr>
          </w:p>
        </w:tc>
        <w:tc>
          <w:tcPr>
            <w:tcW w:w="50" w:type="pct"/>
            <w:shd w:val="clear" w:color="auto" w:fill="auto"/>
          </w:tcPr>
          <w:p w14:paraId="1D02581A" w14:textId="77777777" w:rsidR="004421F6" w:rsidRDefault="004421F6">
            <w:pPr>
              <w:rPr>
                <w:rFonts w:ascii="宋体"/>
              </w:rPr>
            </w:pPr>
          </w:p>
        </w:tc>
        <w:tc>
          <w:tcPr>
            <w:tcW w:w="408" w:type="pct"/>
            <w:shd w:val="clear" w:color="auto" w:fill="auto"/>
          </w:tcPr>
          <w:p w14:paraId="1D02581B" w14:textId="77777777" w:rsidR="004421F6" w:rsidRDefault="004421F6">
            <w:pPr>
              <w:rPr>
                <w:rFonts w:ascii="宋体"/>
              </w:rPr>
            </w:pPr>
          </w:p>
        </w:tc>
        <w:tc>
          <w:tcPr>
            <w:tcW w:w="5" w:type="pct"/>
            <w:shd w:val="clear" w:color="auto" w:fill="auto"/>
          </w:tcPr>
          <w:p w14:paraId="1D02581C" w14:textId="77777777" w:rsidR="004421F6" w:rsidRDefault="004421F6">
            <w:pPr>
              <w:rPr>
                <w:rFonts w:ascii="宋体"/>
              </w:rPr>
            </w:pPr>
          </w:p>
        </w:tc>
        <w:tc>
          <w:tcPr>
            <w:tcW w:w="50" w:type="pct"/>
            <w:shd w:val="clear" w:color="auto" w:fill="auto"/>
          </w:tcPr>
          <w:p w14:paraId="1D02581D" w14:textId="77777777" w:rsidR="004421F6" w:rsidRDefault="004421F6">
            <w:pPr>
              <w:rPr>
                <w:rFonts w:ascii="宋体"/>
              </w:rPr>
            </w:pPr>
          </w:p>
        </w:tc>
        <w:tc>
          <w:tcPr>
            <w:tcW w:w="408" w:type="pct"/>
            <w:shd w:val="clear" w:color="auto" w:fill="auto"/>
          </w:tcPr>
          <w:p w14:paraId="1D02581E" w14:textId="77777777" w:rsidR="004421F6" w:rsidRDefault="004421F6">
            <w:pPr>
              <w:rPr>
                <w:rFonts w:ascii="宋体"/>
              </w:rPr>
            </w:pPr>
          </w:p>
        </w:tc>
        <w:tc>
          <w:tcPr>
            <w:tcW w:w="5" w:type="pct"/>
            <w:shd w:val="clear" w:color="auto" w:fill="auto"/>
          </w:tcPr>
          <w:p w14:paraId="1D02581F" w14:textId="77777777" w:rsidR="004421F6" w:rsidRDefault="004421F6">
            <w:pPr>
              <w:rPr>
                <w:rFonts w:ascii="宋体"/>
              </w:rPr>
            </w:pPr>
          </w:p>
        </w:tc>
        <w:tc>
          <w:tcPr>
            <w:tcW w:w="50" w:type="pct"/>
            <w:shd w:val="clear" w:color="auto" w:fill="auto"/>
          </w:tcPr>
          <w:p w14:paraId="1D025820" w14:textId="77777777" w:rsidR="004421F6" w:rsidRDefault="004421F6">
            <w:pPr>
              <w:rPr>
                <w:rFonts w:ascii="宋体"/>
              </w:rPr>
            </w:pPr>
          </w:p>
        </w:tc>
        <w:tc>
          <w:tcPr>
            <w:tcW w:w="447" w:type="pct"/>
            <w:shd w:val="clear" w:color="auto" w:fill="auto"/>
          </w:tcPr>
          <w:p w14:paraId="1D025821" w14:textId="77777777" w:rsidR="004421F6" w:rsidRDefault="004421F6">
            <w:pPr>
              <w:rPr>
                <w:rFonts w:ascii="宋体"/>
              </w:rPr>
            </w:pPr>
          </w:p>
        </w:tc>
        <w:tc>
          <w:tcPr>
            <w:tcW w:w="5" w:type="pct"/>
            <w:shd w:val="clear" w:color="auto" w:fill="auto"/>
          </w:tcPr>
          <w:p w14:paraId="1D025822" w14:textId="77777777" w:rsidR="004421F6" w:rsidRDefault="004421F6">
            <w:pPr>
              <w:rPr>
                <w:rFonts w:ascii="宋体"/>
              </w:rPr>
            </w:pPr>
          </w:p>
        </w:tc>
        <w:tc>
          <w:tcPr>
            <w:tcW w:w="5" w:type="pct"/>
            <w:shd w:val="clear" w:color="auto" w:fill="auto"/>
          </w:tcPr>
          <w:p w14:paraId="1D025823" w14:textId="77777777" w:rsidR="004421F6" w:rsidRDefault="004421F6">
            <w:pPr>
              <w:rPr>
                <w:rFonts w:ascii="宋体"/>
              </w:rPr>
            </w:pPr>
          </w:p>
        </w:tc>
        <w:tc>
          <w:tcPr>
            <w:tcW w:w="28" w:type="pct"/>
            <w:shd w:val="clear" w:color="auto" w:fill="auto"/>
          </w:tcPr>
          <w:p w14:paraId="1D025824" w14:textId="77777777" w:rsidR="004421F6" w:rsidRDefault="004421F6">
            <w:pPr>
              <w:rPr>
                <w:rFonts w:ascii="宋体"/>
              </w:rPr>
            </w:pPr>
          </w:p>
        </w:tc>
        <w:tc>
          <w:tcPr>
            <w:tcW w:w="5" w:type="pct"/>
            <w:shd w:val="clear" w:color="auto" w:fill="auto"/>
          </w:tcPr>
          <w:p w14:paraId="1D025825" w14:textId="77777777" w:rsidR="004421F6" w:rsidRDefault="004421F6">
            <w:pPr>
              <w:rPr>
                <w:rFonts w:ascii="宋体"/>
              </w:rPr>
            </w:pPr>
          </w:p>
        </w:tc>
        <w:tc>
          <w:tcPr>
            <w:tcW w:w="50" w:type="pct"/>
            <w:shd w:val="clear" w:color="auto" w:fill="auto"/>
          </w:tcPr>
          <w:p w14:paraId="1D025826" w14:textId="77777777" w:rsidR="004421F6" w:rsidRDefault="004421F6">
            <w:pPr>
              <w:rPr>
                <w:rFonts w:ascii="宋体"/>
              </w:rPr>
            </w:pPr>
          </w:p>
        </w:tc>
        <w:tc>
          <w:tcPr>
            <w:tcW w:w="408" w:type="pct"/>
            <w:shd w:val="clear" w:color="auto" w:fill="auto"/>
          </w:tcPr>
          <w:p w14:paraId="1D025827" w14:textId="77777777" w:rsidR="004421F6" w:rsidRDefault="004421F6">
            <w:pPr>
              <w:rPr>
                <w:rFonts w:ascii="宋体"/>
              </w:rPr>
            </w:pPr>
          </w:p>
        </w:tc>
        <w:tc>
          <w:tcPr>
            <w:tcW w:w="5" w:type="pct"/>
            <w:shd w:val="clear" w:color="auto" w:fill="auto"/>
          </w:tcPr>
          <w:p w14:paraId="1D025828" w14:textId="77777777" w:rsidR="004421F6" w:rsidRDefault="004421F6">
            <w:pPr>
              <w:rPr>
                <w:rFonts w:ascii="宋体"/>
              </w:rPr>
            </w:pPr>
          </w:p>
        </w:tc>
        <w:tc>
          <w:tcPr>
            <w:tcW w:w="50" w:type="pct"/>
            <w:shd w:val="clear" w:color="auto" w:fill="auto"/>
          </w:tcPr>
          <w:p w14:paraId="1D025829" w14:textId="77777777" w:rsidR="004421F6" w:rsidRDefault="004421F6">
            <w:pPr>
              <w:rPr>
                <w:rFonts w:ascii="宋体"/>
              </w:rPr>
            </w:pPr>
          </w:p>
        </w:tc>
        <w:tc>
          <w:tcPr>
            <w:tcW w:w="408" w:type="pct"/>
            <w:shd w:val="clear" w:color="auto" w:fill="auto"/>
          </w:tcPr>
          <w:p w14:paraId="1D02582A" w14:textId="77777777" w:rsidR="004421F6" w:rsidRDefault="004421F6">
            <w:pPr>
              <w:rPr>
                <w:rFonts w:ascii="宋体"/>
              </w:rPr>
            </w:pPr>
          </w:p>
        </w:tc>
        <w:tc>
          <w:tcPr>
            <w:tcW w:w="5" w:type="pct"/>
            <w:shd w:val="clear" w:color="auto" w:fill="auto"/>
          </w:tcPr>
          <w:p w14:paraId="1D02582B" w14:textId="77777777" w:rsidR="004421F6" w:rsidRDefault="004421F6">
            <w:pPr>
              <w:rPr>
                <w:rFonts w:ascii="宋体"/>
              </w:rPr>
            </w:pPr>
          </w:p>
        </w:tc>
        <w:tc>
          <w:tcPr>
            <w:tcW w:w="50" w:type="pct"/>
            <w:shd w:val="clear" w:color="auto" w:fill="auto"/>
          </w:tcPr>
          <w:p w14:paraId="1D02582C" w14:textId="77777777" w:rsidR="004421F6" w:rsidRDefault="004421F6">
            <w:pPr>
              <w:rPr>
                <w:rFonts w:ascii="宋体"/>
              </w:rPr>
            </w:pPr>
          </w:p>
        </w:tc>
        <w:tc>
          <w:tcPr>
            <w:tcW w:w="447" w:type="pct"/>
            <w:shd w:val="clear" w:color="auto" w:fill="auto"/>
          </w:tcPr>
          <w:p w14:paraId="1D02582D" w14:textId="77777777" w:rsidR="004421F6" w:rsidRDefault="004421F6">
            <w:pPr>
              <w:rPr>
                <w:rFonts w:ascii="宋体"/>
              </w:rPr>
            </w:pPr>
          </w:p>
        </w:tc>
        <w:tc>
          <w:tcPr>
            <w:tcW w:w="5" w:type="pct"/>
            <w:shd w:val="clear" w:color="auto" w:fill="auto"/>
          </w:tcPr>
          <w:p w14:paraId="1D02582E" w14:textId="77777777" w:rsidR="004421F6" w:rsidRDefault="004421F6">
            <w:pPr>
              <w:rPr>
                <w:rFonts w:ascii="宋体"/>
              </w:rPr>
            </w:pPr>
          </w:p>
        </w:tc>
      </w:tr>
      <w:tr w:rsidR="004421F6" w14:paraId="1D025838" w14:textId="77777777">
        <w:tc>
          <w:tcPr>
            <w:tcW w:w="0" w:type="auto"/>
            <w:gridSpan w:val="3"/>
            <w:shd w:val="clear" w:color="auto" w:fill="auto"/>
            <w:tcMar>
              <w:left w:w="20" w:type="dxa"/>
              <w:right w:w="20" w:type="dxa"/>
            </w:tcMar>
            <w:vAlign w:val="bottom"/>
          </w:tcPr>
          <w:p w14:paraId="1D025830" w14:textId="77777777" w:rsidR="004421F6" w:rsidRDefault="004421F6">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1D025831" w14:textId="77777777" w:rsidR="004421F6" w:rsidRDefault="00F15622">
            <w:pPr>
              <w:jc w:val="center"/>
              <w:textAlignment w:val="bottom"/>
            </w:pPr>
            <w:r>
              <w:rPr>
                <w:rFonts w:ascii="sans-serif" w:eastAsia="sans-serif" w:hAnsi="sans-serif" w:cs="sans-serif"/>
                <w:b/>
                <w:bCs/>
                <w:color w:val="000000"/>
                <w:sz w:val="17"/>
                <w:szCs w:val="17"/>
              </w:rPr>
              <w:t>MAY 31, 2020</w:t>
            </w:r>
          </w:p>
        </w:tc>
        <w:tc>
          <w:tcPr>
            <w:tcW w:w="0" w:type="auto"/>
            <w:gridSpan w:val="3"/>
            <w:shd w:val="clear" w:color="auto" w:fill="auto"/>
          </w:tcPr>
          <w:p w14:paraId="1D025832" w14:textId="77777777" w:rsidR="004421F6" w:rsidRDefault="004421F6">
            <w:pPr>
              <w:rPr>
                <w:rFonts w:ascii="宋体"/>
                <w:vanish/>
              </w:rPr>
            </w:pPr>
          </w:p>
        </w:tc>
        <w:tc>
          <w:tcPr>
            <w:tcW w:w="0" w:type="auto"/>
            <w:gridSpan w:val="3"/>
            <w:shd w:val="clear" w:color="auto" w:fill="auto"/>
          </w:tcPr>
          <w:p w14:paraId="1D025833" w14:textId="77777777" w:rsidR="004421F6" w:rsidRDefault="004421F6">
            <w:pPr>
              <w:rPr>
                <w:rFonts w:ascii="宋体"/>
                <w:vanish/>
              </w:rPr>
            </w:pPr>
          </w:p>
        </w:tc>
        <w:tc>
          <w:tcPr>
            <w:tcW w:w="0" w:type="auto"/>
            <w:gridSpan w:val="3"/>
            <w:shd w:val="clear" w:color="auto" w:fill="auto"/>
          </w:tcPr>
          <w:p w14:paraId="1D025834" w14:textId="77777777" w:rsidR="004421F6" w:rsidRDefault="004421F6">
            <w:pPr>
              <w:rPr>
                <w:rFonts w:ascii="宋体"/>
                <w:vanish/>
              </w:rPr>
            </w:pPr>
          </w:p>
        </w:tc>
        <w:tc>
          <w:tcPr>
            <w:tcW w:w="0" w:type="auto"/>
            <w:gridSpan w:val="3"/>
            <w:shd w:val="clear" w:color="auto" w:fill="auto"/>
          </w:tcPr>
          <w:p w14:paraId="1D025835" w14:textId="77777777" w:rsidR="004421F6" w:rsidRDefault="004421F6">
            <w:pPr>
              <w:rPr>
                <w:rFonts w:ascii="宋体"/>
                <w:vanish/>
              </w:rPr>
            </w:pPr>
          </w:p>
        </w:tc>
        <w:tc>
          <w:tcPr>
            <w:tcW w:w="0" w:type="auto"/>
            <w:gridSpan w:val="3"/>
            <w:shd w:val="clear" w:color="auto" w:fill="auto"/>
          </w:tcPr>
          <w:p w14:paraId="1D025836" w14:textId="77777777" w:rsidR="004421F6" w:rsidRDefault="004421F6">
            <w:pPr>
              <w:rPr>
                <w:rFonts w:ascii="宋体"/>
                <w:vanish/>
              </w:rPr>
            </w:pPr>
          </w:p>
        </w:tc>
        <w:tc>
          <w:tcPr>
            <w:tcW w:w="0" w:type="auto"/>
            <w:gridSpan w:val="3"/>
            <w:shd w:val="clear" w:color="auto" w:fill="auto"/>
          </w:tcPr>
          <w:p w14:paraId="1D025837" w14:textId="77777777" w:rsidR="004421F6" w:rsidRDefault="004421F6">
            <w:pPr>
              <w:rPr>
                <w:rFonts w:ascii="宋体"/>
                <w:vanish/>
              </w:rPr>
            </w:pPr>
          </w:p>
        </w:tc>
      </w:tr>
      <w:tr w:rsidR="004421F6" w14:paraId="1D025847" w14:textId="77777777">
        <w:tc>
          <w:tcPr>
            <w:tcW w:w="0" w:type="auto"/>
            <w:gridSpan w:val="3"/>
            <w:shd w:val="clear" w:color="auto" w:fill="auto"/>
            <w:tcMar>
              <w:left w:w="20" w:type="dxa"/>
              <w:right w:w="20" w:type="dxa"/>
            </w:tcMar>
            <w:vAlign w:val="bottom"/>
          </w:tcPr>
          <w:p w14:paraId="1D025839" w14:textId="77777777" w:rsidR="004421F6" w:rsidRDefault="004421F6">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1D02583A" w14:textId="77777777" w:rsidR="004421F6" w:rsidRDefault="00F15622">
            <w:pPr>
              <w:jc w:val="center"/>
              <w:textAlignment w:val="bottom"/>
            </w:pPr>
            <w:r>
              <w:rPr>
                <w:rFonts w:ascii="sans-serif" w:eastAsia="sans-serif" w:hAnsi="sans-serif" w:cs="sans-serif"/>
                <w:b/>
                <w:bCs/>
                <w:color w:val="000000"/>
                <w:sz w:val="17"/>
                <w:szCs w:val="17"/>
              </w:rPr>
              <w:t>DERIVATIVE ASSETS</w:t>
            </w:r>
          </w:p>
        </w:tc>
        <w:tc>
          <w:tcPr>
            <w:tcW w:w="0" w:type="auto"/>
            <w:gridSpan w:val="3"/>
            <w:shd w:val="clear" w:color="auto" w:fill="auto"/>
          </w:tcPr>
          <w:p w14:paraId="1D02583B" w14:textId="77777777" w:rsidR="004421F6" w:rsidRDefault="004421F6">
            <w:pPr>
              <w:rPr>
                <w:rFonts w:ascii="宋体"/>
                <w:vanish/>
              </w:rPr>
            </w:pPr>
          </w:p>
        </w:tc>
        <w:tc>
          <w:tcPr>
            <w:tcW w:w="0" w:type="auto"/>
            <w:gridSpan w:val="3"/>
            <w:shd w:val="clear" w:color="auto" w:fill="auto"/>
          </w:tcPr>
          <w:p w14:paraId="1D02583C" w14:textId="77777777" w:rsidR="004421F6" w:rsidRDefault="004421F6">
            <w:pPr>
              <w:rPr>
                <w:rFonts w:ascii="宋体"/>
                <w:vanish/>
              </w:rPr>
            </w:pPr>
          </w:p>
        </w:tc>
        <w:tc>
          <w:tcPr>
            <w:tcW w:w="0" w:type="auto"/>
            <w:gridSpan w:val="3"/>
            <w:tcBorders>
              <w:top w:val="single" w:sz="8" w:space="0" w:color="E87722"/>
            </w:tcBorders>
            <w:shd w:val="clear" w:color="auto" w:fill="auto"/>
            <w:tcMar>
              <w:left w:w="20" w:type="dxa"/>
              <w:right w:w="20" w:type="dxa"/>
            </w:tcMar>
            <w:vAlign w:val="bottom"/>
          </w:tcPr>
          <w:p w14:paraId="1D02583D" w14:textId="77777777" w:rsidR="004421F6" w:rsidRDefault="004421F6">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1D02583E" w14:textId="77777777" w:rsidR="004421F6" w:rsidRDefault="00F15622">
            <w:pPr>
              <w:jc w:val="center"/>
              <w:textAlignment w:val="bottom"/>
            </w:pPr>
            <w:r>
              <w:rPr>
                <w:rFonts w:ascii="sans-serif" w:eastAsia="sans-serif" w:hAnsi="sans-serif" w:cs="sans-serif"/>
                <w:b/>
                <w:bCs/>
                <w:color w:val="000000"/>
                <w:sz w:val="17"/>
                <w:szCs w:val="17"/>
              </w:rPr>
              <w:t>DERIVATIVE LIABILITIES</w:t>
            </w:r>
          </w:p>
        </w:tc>
        <w:tc>
          <w:tcPr>
            <w:tcW w:w="0" w:type="auto"/>
            <w:gridSpan w:val="3"/>
            <w:shd w:val="clear" w:color="auto" w:fill="auto"/>
          </w:tcPr>
          <w:p w14:paraId="1D02583F" w14:textId="77777777" w:rsidR="004421F6" w:rsidRDefault="004421F6">
            <w:pPr>
              <w:rPr>
                <w:rFonts w:ascii="宋体"/>
                <w:vanish/>
              </w:rPr>
            </w:pPr>
          </w:p>
        </w:tc>
        <w:tc>
          <w:tcPr>
            <w:tcW w:w="0" w:type="auto"/>
            <w:gridSpan w:val="3"/>
            <w:shd w:val="clear" w:color="auto" w:fill="auto"/>
          </w:tcPr>
          <w:p w14:paraId="1D025840" w14:textId="77777777" w:rsidR="004421F6" w:rsidRDefault="004421F6">
            <w:pPr>
              <w:rPr>
                <w:rFonts w:ascii="宋体"/>
                <w:vanish/>
              </w:rPr>
            </w:pPr>
          </w:p>
        </w:tc>
        <w:tc>
          <w:tcPr>
            <w:tcW w:w="0" w:type="auto"/>
            <w:shd w:val="clear" w:color="auto" w:fill="auto"/>
          </w:tcPr>
          <w:p w14:paraId="1D025841" w14:textId="77777777" w:rsidR="004421F6" w:rsidRDefault="004421F6">
            <w:pPr>
              <w:rPr>
                <w:rFonts w:ascii="宋体"/>
              </w:rPr>
            </w:pPr>
          </w:p>
        </w:tc>
        <w:tc>
          <w:tcPr>
            <w:tcW w:w="0" w:type="auto"/>
            <w:shd w:val="clear" w:color="auto" w:fill="auto"/>
          </w:tcPr>
          <w:p w14:paraId="1D025842" w14:textId="77777777" w:rsidR="004421F6" w:rsidRDefault="004421F6">
            <w:pPr>
              <w:rPr>
                <w:rFonts w:ascii="宋体"/>
              </w:rPr>
            </w:pPr>
          </w:p>
        </w:tc>
        <w:tc>
          <w:tcPr>
            <w:tcW w:w="0" w:type="auto"/>
            <w:shd w:val="clear" w:color="auto" w:fill="auto"/>
          </w:tcPr>
          <w:p w14:paraId="1D025843" w14:textId="77777777" w:rsidR="004421F6" w:rsidRDefault="004421F6">
            <w:pPr>
              <w:rPr>
                <w:rFonts w:ascii="宋体"/>
              </w:rPr>
            </w:pPr>
          </w:p>
        </w:tc>
        <w:tc>
          <w:tcPr>
            <w:tcW w:w="0" w:type="auto"/>
            <w:shd w:val="clear" w:color="auto" w:fill="auto"/>
          </w:tcPr>
          <w:p w14:paraId="1D025844" w14:textId="77777777" w:rsidR="004421F6" w:rsidRDefault="004421F6">
            <w:pPr>
              <w:rPr>
                <w:rFonts w:ascii="宋体"/>
              </w:rPr>
            </w:pPr>
          </w:p>
        </w:tc>
        <w:tc>
          <w:tcPr>
            <w:tcW w:w="0" w:type="auto"/>
            <w:shd w:val="clear" w:color="auto" w:fill="auto"/>
          </w:tcPr>
          <w:p w14:paraId="1D025845" w14:textId="77777777" w:rsidR="004421F6" w:rsidRDefault="004421F6">
            <w:pPr>
              <w:rPr>
                <w:rFonts w:ascii="宋体"/>
              </w:rPr>
            </w:pPr>
          </w:p>
        </w:tc>
        <w:tc>
          <w:tcPr>
            <w:tcW w:w="0" w:type="auto"/>
            <w:shd w:val="clear" w:color="auto" w:fill="auto"/>
          </w:tcPr>
          <w:p w14:paraId="1D025846" w14:textId="77777777" w:rsidR="004421F6" w:rsidRDefault="004421F6">
            <w:pPr>
              <w:rPr>
                <w:rFonts w:ascii="宋体"/>
              </w:rPr>
            </w:pPr>
          </w:p>
        </w:tc>
      </w:tr>
      <w:tr w:rsidR="004421F6" w14:paraId="1D025862" w14:textId="77777777">
        <w:tc>
          <w:tcPr>
            <w:tcW w:w="0" w:type="auto"/>
            <w:gridSpan w:val="3"/>
            <w:shd w:val="clear" w:color="auto" w:fill="auto"/>
            <w:tcMar>
              <w:top w:w="40" w:type="dxa"/>
              <w:left w:w="20" w:type="dxa"/>
              <w:bottom w:w="40" w:type="dxa"/>
              <w:right w:w="20" w:type="dxa"/>
            </w:tcMar>
            <w:vAlign w:val="bottom"/>
          </w:tcPr>
          <w:p w14:paraId="1D025848"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849" w14:textId="77777777" w:rsidR="004421F6" w:rsidRDefault="00F15622">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84A" w14:textId="77777777" w:rsidR="004421F6" w:rsidRDefault="00F15622">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84B" w14:textId="77777777" w:rsidR="004421F6" w:rsidRDefault="00F15622">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left w:w="20" w:type="dxa"/>
              <w:right w:w="20" w:type="dxa"/>
            </w:tcMar>
            <w:vAlign w:val="bottom"/>
          </w:tcPr>
          <w:p w14:paraId="1D02584C" w14:textId="77777777" w:rsidR="004421F6" w:rsidRDefault="004421F6">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84D" w14:textId="77777777" w:rsidR="004421F6" w:rsidRDefault="00F15622">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84E" w14:textId="77777777" w:rsidR="004421F6" w:rsidRDefault="00F15622">
            <w:pPr>
              <w:jc w:val="right"/>
              <w:textAlignment w:val="bottom"/>
            </w:pPr>
            <w:r>
              <w:rPr>
                <w:rFonts w:ascii="sans-serif" w:eastAsia="sans-serif" w:hAnsi="sans-serif" w:cs="sans-serif"/>
                <w:b/>
                <w:bCs/>
                <w:color w:val="000000"/>
                <w:sz w:val="17"/>
                <w:szCs w:val="17"/>
              </w:rPr>
              <w:t>ACCRUED 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84F" w14:textId="77777777" w:rsidR="004421F6" w:rsidRDefault="00F15622">
            <w:pPr>
              <w:jc w:val="right"/>
              <w:textAlignment w:val="bottom"/>
            </w:pPr>
            <w:r>
              <w:rPr>
                <w:rFonts w:ascii="sans-serif" w:eastAsia="sans-serif" w:hAnsi="sans-serif" w:cs="sans-serif"/>
                <w:b/>
                <w:bCs/>
                <w:color w:val="000000"/>
                <w:sz w:val="17"/>
                <w:szCs w:val="17"/>
              </w:rPr>
              <w:t>OTHER LONG-TERM LIABILITIES</w:t>
            </w:r>
          </w:p>
        </w:tc>
        <w:tc>
          <w:tcPr>
            <w:tcW w:w="0" w:type="auto"/>
            <w:shd w:val="clear" w:color="auto" w:fill="auto"/>
          </w:tcPr>
          <w:p w14:paraId="1D025850" w14:textId="77777777" w:rsidR="004421F6" w:rsidRDefault="004421F6">
            <w:pPr>
              <w:rPr>
                <w:rFonts w:ascii="宋体"/>
              </w:rPr>
            </w:pPr>
          </w:p>
        </w:tc>
        <w:tc>
          <w:tcPr>
            <w:tcW w:w="0" w:type="auto"/>
            <w:shd w:val="clear" w:color="auto" w:fill="auto"/>
          </w:tcPr>
          <w:p w14:paraId="1D025851" w14:textId="77777777" w:rsidR="004421F6" w:rsidRDefault="004421F6">
            <w:pPr>
              <w:rPr>
                <w:rFonts w:ascii="宋体"/>
              </w:rPr>
            </w:pPr>
          </w:p>
        </w:tc>
        <w:tc>
          <w:tcPr>
            <w:tcW w:w="0" w:type="auto"/>
            <w:shd w:val="clear" w:color="auto" w:fill="auto"/>
          </w:tcPr>
          <w:p w14:paraId="1D025852" w14:textId="77777777" w:rsidR="004421F6" w:rsidRDefault="004421F6">
            <w:pPr>
              <w:rPr>
                <w:rFonts w:ascii="宋体"/>
              </w:rPr>
            </w:pPr>
          </w:p>
        </w:tc>
        <w:tc>
          <w:tcPr>
            <w:tcW w:w="0" w:type="auto"/>
            <w:shd w:val="clear" w:color="auto" w:fill="auto"/>
          </w:tcPr>
          <w:p w14:paraId="1D025853" w14:textId="77777777" w:rsidR="004421F6" w:rsidRDefault="004421F6">
            <w:pPr>
              <w:rPr>
                <w:rFonts w:ascii="宋体"/>
              </w:rPr>
            </w:pPr>
          </w:p>
        </w:tc>
        <w:tc>
          <w:tcPr>
            <w:tcW w:w="0" w:type="auto"/>
            <w:shd w:val="clear" w:color="auto" w:fill="auto"/>
          </w:tcPr>
          <w:p w14:paraId="1D025854" w14:textId="77777777" w:rsidR="004421F6" w:rsidRDefault="004421F6">
            <w:pPr>
              <w:rPr>
                <w:rFonts w:ascii="宋体"/>
              </w:rPr>
            </w:pPr>
          </w:p>
        </w:tc>
        <w:tc>
          <w:tcPr>
            <w:tcW w:w="0" w:type="auto"/>
            <w:shd w:val="clear" w:color="auto" w:fill="auto"/>
          </w:tcPr>
          <w:p w14:paraId="1D025855" w14:textId="77777777" w:rsidR="004421F6" w:rsidRDefault="004421F6">
            <w:pPr>
              <w:rPr>
                <w:rFonts w:ascii="宋体"/>
              </w:rPr>
            </w:pPr>
          </w:p>
        </w:tc>
        <w:tc>
          <w:tcPr>
            <w:tcW w:w="0" w:type="auto"/>
            <w:shd w:val="clear" w:color="auto" w:fill="auto"/>
          </w:tcPr>
          <w:p w14:paraId="1D025856" w14:textId="77777777" w:rsidR="004421F6" w:rsidRDefault="004421F6">
            <w:pPr>
              <w:rPr>
                <w:rFonts w:ascii="宋体"/>
              </w:rPr>
            </w:pPr>
          </w:p>
        </w:tc>
        <w:tc>
          <w:tcPr>
            <w:tcW w:w="0" w:type="auto"/>
            <w:shd w:val="clear" w:color="auto" w:fill="auto"/>
          </w:tcPr>
          <w:p w14:paraId="1D025857" w14:textId="77777777" w:rsidR="004421F6" w:rsidRDefault="004421F6">
            <w:pPr>
              <w:rPr>
                <w:rFonts w:ascii="宋体"/>
              </w:rPr>
            </w:pPr>
          </w:p>
        </w:tc>
        <w:tc>
          <w:tcPr>
            <w:tcW w:w="0" w:type="auto"/>
            <w:shd w:val="clear" w:color="auto" w:fill="auto"/>
          </w:tcPr>
          <w:p w14:paraId="1D025858" w14:textId="77777777" w:rsidR="004421F6" w:rsidRDefault="004421F6">
            <w:pPr>
              <w:rPr>
                <w:rFonts w:ascii="宋体"/>
              </w:rPr>
            </w:pPr>
          </w:p>
        </w:tc>
        <w:tc>
          <w:tcPr>
            <w:tcW w:w="0" w:type="auto"/>
            <w:shd w:val="clear" w:color="auto" w:fill="auto"/>
          </w:tcPr>
          <w:p w14:paraId="1D025859" w14:textId="77777777" w:rsidR="004421F6" w:rsidRDefault="004421F6">
            <w:pPr>
              <w:rPr>
                <w:rFonts w:ascii="宋体"/>
              </w:rPr>
            </w:pPr>
          </w:p>
        </w:tc>
        <w:tc>
          <w:tcPr>
            <w:tcW w:w="0" w:type="auto"/>
            <w:shd w:val="clear" w:color="auto" w:fill="auto"/>
          </w:tcPr>
          <w:p w14:paraId="1D02585A" w14:textId="77777777" w:rsidR="004421F6" w:rsidRDefault="004421F6">
            <w:pPr>
              <w:rPr>
                <w:rFonts w:ascii="宋体"/>
              </w:rPr>
            </w:pPr>
          </w:p>
        </w:tc>
        <w:tc>
          <w:tcPr>
            <w:tcW w:w="0" w:type="auto"/>
            <w:shd w:val="clear" w:color="auto" w:fill="auto"/>
          </w:tcPr>
          <w:p w14:paraId="1D02585B" w14:textId="77777777" w:rsidR="004421F6" w:rsidRDefault="004421F6">
            <w:pPr>
              <w:rPr>
                <w:rFonts w:ascii="宋体"/>
              </w:rPr>
            </w:pPr>
          </w:p>
        </w:tc>
        <w:tc>
          <w:tcPr>
            <w:tcW w:w="0" w:type="auto"/>
            <w:shd w:val="clear" w:color="auto" w:fill="auto"/>
          </w:tcPr>
          <w:p w14:paraId="1D02585C" w14:textId="77777777" w:rsidR="004421F6" w:rsidRDefault="004421F6">
            <w:pPr>
              <w:rPr>
                <w:rFonts w:ascii="宋体"/>
              </w:rPr>
            </w:pPr>
          </w:p>
        </w:tc>
        <w:tc>
          <w:tcPr>
            <w:tcW w:w="0" w:type="auto"/>
            <w:shd w:val="clear" w:color="auto" w:fill="auto"/>
          </w:tcPr>
          <w:p w14:paraId="1D02585D" w14:textId="77777777" w:rsidR="004421F6" w:rsidRDefault="004421F6">
            <w:pPr>
              <w:rPr>
                <w:rFonts w:ascii="宋体"/>
              </w:rPr>
            </w:pPr>
          </w:p>
        </w:tc>
        <w:tc>
          <w:tcPr>
            <w:tcW w:w="0" w:type="auto"/>
            <w:shd w:val="clear" w:color="auto" w:fill="auto"/>
          </w:tcPr>
          <w:p w14:paraId="1D02585E" w14:textId="77777777" w:rsidR="004421F6" w:rsidRDefault="004421F6">
            <w:pPr>
              <w:rPr>
                <w:rFonts w:ascii="宋体"/>
              </w:rPr>
            </w:pPr>
          </w:p>
        </w:tc>
        <w:tc>
          <w:tcPr>
            <w:tcW w:w="0" w:type="auto"/>
            <w:shd w:val="clear" w:color="auto" w:fill="auto"/>
          </w:tcPr>
          <w:p w14:paraId="1D02585F" w14:textId="77777777" w:rsidR="004421F6" w:rsidRDefault="004421F6">
            <w:pPr>
              <w:rPr>
                <w:rFonts w:ascii="宋体"/>
              </w:rPr>
            </w:pPr>
          </w:p>
        </w:tc>
        <w:tc>
          <w:tcPr>
            <w:tcW w:w="0" w:type="auto"/>
            <w:shd w:val="clear" w:color="auto" w:fill="auto"/>
          </w:tcPr>
          <w:p w14:paraId="1D025860" w14:textId="77777777" w:rsidR="004421F6" w:rsidRDefault="004421F6">
            <w:pPr>
              <w:rPr>
                <w:rFonts w:ascii="宋体"/>
              </w:rPr>
            </w:pPr>
          </w:p>
        </w:tc>
        <w:tc>
          <w:tcPr>
            <w:tcW w:w="0" w:type="auto"/>
            <w:shd w:val="clear" w:color="auto" w:fill="auto"/>
          </w:tcPr>
          <w:p w14:paraId="1D025861" w14:textId="77777777" w:rsidR="004421F6" w:rsidRDefault="004421F6">
            <w:pPr>
              <w:rPr>
                <w:rFonts w:ascii="宋体"/>
              </w:rPr>
            </w:pPr>
          </w:p>
        </w:tc>
      </w:tr>
      <w:tr w:rsidR="004421F6" w14:paraId="1D02587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863" w14:textId="77777777" w:rsidR="004421F6" w:rsidRDefault="00F15622">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auto"/>
            <w:tcMar>
              <w:left w:w="20" w:type="dxa"/>
              <w:right w:w="20" w:type="dxa"/>
            </w:tcMar>
            <w:vAlign w:val="bottom"/>
          </w:tcPr>
          <w:p w14:paraId="1D025864"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865"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866"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867"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868"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869"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86A" w14:textId="77777777" w:rsidR="004421F6" w:rsidRDefault="004421F6">
            <w:pPr>
              <w:rPr>
                <w:rFonts w:ascii="宋体"/>
              </w:rPr>
            </w:pPr>
          </w:p>
        </w:tc>
        <w:tc>
          <w:tcPr>
            <w:tcW w:w="0" w:type="auto"/>
            <w:shd w:val="clear" w:color="auto" w:fill="auto"/>
          </w:tcPr>
          <w:p w14:paraId="1D02586B" w14:textId="77777777" w:rsidR="004421F6" w:rsidRDefault="004421F6">
            <w:pPr>
              <w:rPr>
                <w:rFonts w:ascii="宋体"/>
              </w:rPr>
            </w:pPr>
          </w:p>
        </w:tc>
        <w:tc>
          <w:tcPr>
            <w:tcW w:w="0" w:type="auto"/>
            <w:shd w:val="clear" w:color="auto" w:fill="auto"/>
          </w:tcPr>
          <w:p w14:paraId="1D02586C" w14:textId="77777777" w:rsidR="004421F6" w:rsidRDefault="004421F6">
            <w:pPr>
              <w:rPr>
                <w:rFonts w:ascii="宋体"/>
              </w:rPr>
            </w:pPr>
          </w:p>
        </w:tc>
        <w:tc>
          <w:tcPr>
            <w:tcW w:w="0" w:type="auto"/>
            <w:shd w:val="clear" w:color="auto" w:fill="auto"/>
          </w:tcPr>
          <w:p w14:paraId="1D02586D" w14:textId="77777777" w:rsidR="004421F6" w:rsidRDefault="004421F6">
            <w:pPr>
              <w:rPr>
                <w:rFonts w:ascii="宋体"/>
              </w:rPr>
            </w:pPr>
          </w:p>
        </w:tc>
        <w:tc>
          <w:tcPr>
            <w:tcW w:w="0" w:type="auto"/>
            <w:shd w:val="clear" w:color="auto" w:fill="auto"/>
          </w:tcPr>
          <w:p w14:paraId="1D02586E" w14:textId="77777777" w:rsidR="004421F6" w:rsidRDefault="004421F6">
            <w:pPr>
              <w:rPr>
                <w:rFonts w:ascii="宋体"/>
              </w:rPr>
            </w:pPr>
          </w:p>
        </w:tc>
        <w:tc>
          <w:tcPr>
            <w:tcW w:w="0" w:type="auto"/>
            <w:shd w:val="clear" w:color="auto" w:fill="auto"/>
          </w:tcPr>
          <w:p w14:paraId="1D02586F" w14:textId="77777777" w:rsidR="004421F6" w:rsidRDefault="004421F6">
            <w:pPr>
              <w:rPr>
                <w:rFonts w:ascii="宋体"/>
              </w:rPr>
            </w:pPr>
          </w:p>
        </w:tc>
        <w:tc>
          <w:tcPr>
            <w:tcW w:w="0" w:type="auto"/>
            <w:shd w:val="clear" w:color="auto" w:fill="auto"/>
          </w:tcPr>
          <w:p w14:paraId="1D025870" w14:textId="77777777" w:rsidR="004421F6" w:rsidRDefault="004421F6">
            <w:pPr>
              <w:rPr>
                <w:rFonts w:ascii="宋体"/>
              </w:rPr>
            </w:pPr>
          </w:p>
        </w:tc>
        <w:tc>
          <w:tcPr>
            <w:tcW w:w="0" w:type="auto"/>
            <w:shd w:val="clear" w:color="auto" w:fill="auto"/>
          </w:tcPr>
          <w:p w14:paraId="1D025871" w14:textId="77777777" w:rsidR="004421F6" w:rsidRDefault="004421F6">
            <w:pPr>
              <w:rPr>
                <w:rFonts w:ascii="宋体"/>
              </w:rPr>
            </w:pPr>
          </w:p>
        </w:tc>
        <w:tc>
          <w:tcPr>
            <w:tcW w:w="0" w:type="auto"/>
            <w:shd w:val="clear" w:color="auto" w:fill="auto"/>
          </w:tcPr>
          <w:p w14:paraId="1D025872" w14:textId="77777777" w:rsidR="004421F6" w:rsidRDefault="004421F6">
            <w:pPr>
              <w:rPr>
                <w:rFonts w:ascii="宋体"/>
              </w:rPr>
            </w:pPr>
          </w:p>
        </w:tc>
        <w:tc>
          <w:tcPr>
            <w:tcW w:w="0" w:type="auto"/>
            <w:shd w:val="clear" w:color="auto" w:fill="auto"/>
          </w:tcPr>
          <w:p w14:paraId="1D025873" w14:textId="77777777" w:rsidR="004421F6" w:rsidRDefault="004421F6">
            <w:pPr>
              <w:rPr>
                <w:rFonts w:ascii="宋体"/>
              </w:rPr>
            </w:pPr>
          </w:p>
        </w:tc>
        <w:tc>
          <w:tcPr>
            <w:tcW w:w="0" w:type="auto"/>
            <w:shd w:val="clear" w:color="auto" w:fill="auto"/>
          </w:tcPr>
          <w:p w14:paraId="1D025874" w14:textId="77777777" w:rsidR="004421F6" w:rsidRDefault="004421F6">
            <w:pPr>
              <w:rPr>
                <w:rFonts w:ascii="宋体"/>
              </w:rPr>
            </w:pPr>
          </w:p>
        </w:tc>
        <w:tc>
          <w:tcPr>
            <w:tcW w:w="0" w:type="auto"/>
            <w:shd w:val="clear" w:color="auto" w:fill="auto"/>
          </w:tcPr>
          <w:p w14:paraId="1D025875" w14:textId="77777777" w:rsidR="004421F6" w:rsidRDefault="004421F6">
            <w:pPr>
              <w:rPr>
                <w:rFonts w:ascii="宋体"/>
              </w:rPr>
            </w:pPr>
          </w:p>
        </w:tc>
        <w:tc>
          <w:tcPr>
            <w:tcW w:w="0" w:type="auto"/>
            <w:shd w:val="clear" w:color="auto" w:fill="auto"/>
          </w:tcPr>
          <w:p w14:paraId="1D025876" w14:textId="77777777" w:rsidR="004421F6" w:rsidRDefault="004421F6">
            <w:pPr>
              <w:rPr>
                <w:rFonts w:ascii="宋体"/>
              </w:rPr>
            </w:pPr>
          </w:p>
        </w:tc>
        <w:tc>
          <w:tcPr>
            <w:tcW w:w="0" w:type="auto"/>
            <w:shd w:val="clear" w:color="auto" w:fill="auto"/>
          </w:tcPr>
          <w:p w14:paraId="1D025877" w14:textId="77777777" w:rsidR="004421F6" w:rsidRDefault="004421F6">
            <w:pPr>
              <w:rPr>
                <w:rFonts w:ascii="宋体"/>
              </w:rPr>
            </w:pPr>
          </w:p>
        </w:tc>
        <w:tc>
          <w:tcPr>
            <w:tcW w:w="0" w:type="auto"/>
            <w:shd w:val="clear" w:color="auto" w:fill="auto"/>
          </w:tcPr>
          <w:p w14:paraId="1D025878" w14:textId="77777777" w:rsidR="004421F6" w:rsidRDefault="004421F6">
            <w:pPr>
              <w:rPr>
                <w:rFonts w:ascii="宋体"/>
              </w:rPr>
            </w:pPr>
          </w:p>
        </w:tc>
        <w:tc>
          <w:tcPr>
            <w:tcW w:w="0" w:type="auto"/>
            <w:shd w:val="clear" w:color="auto" w:fill="auto"/>
          </w:tcPr>
          <w:p w14:paraId="1D025879" w14:textId="77777777" w:rsidR="004421F6" w:rsidRDefault="004421F6">
            <w:pPr>
              <w:rPr>
                <w:rFonts w:ascii="宋体"/>
              </w:rPr>
            </w:pPr>
          </w:p>
        </w:tc>
        <w:tc>
          <w:tcPr>
            <w:tcW w:w="0" w:type="auto"/>
            <w:shd w:val="clear" w:color="auto" w:fill="auto"/>
          </w:tcPr>
          <w:p w14:paraId="1D02587A" w14:textId="77777777" w:rsidR="004421F6" w:rsidRDefault="004421F6">
            <w:pPr>
              <w:rPr>
                <w:rFonts w:ascii="宋体"/>
              </w:rPr>
            </w:pPr>
          </w:p>
        </w:tc>
        <w:tc>
          <w:tcPr>
            <w:tcW w:w="0" w:type="auto"/>
            <w:shd w:val="clear" w:color="auto" w:fill="auto"/>
          </w:tcPr>
          <w:p w14:paraId="1D02587B" w14:textId="77777777" w:rsidR="004421F6" w:rsidRDefault="004421F6">
            <w:pPr>
              <w:rPr>
                <w:rFonts w:ascii="宋体"/>
              </w:rPr>
            </w:pPr>
          </w:p>
        </w:tc>
        <w:tc>
          <w:tcPr>
            <w:tcW w:w="0" w:type="auto"/>
            <w:shd w:val="clear" w:color="auto" w:fill="auto"/>
          </w:tcPr>
          <w:p w14:paraId="1D02587C" w14:textId="77777777" w:rsidR="004421F6" w:rsidRDefault="004421F6">
            <w:pPr>
              <w:rPr>
                <w:rFonts w:ascii="宋体"/>
              </w:rPr>
            </w:pPr>
          </w:p>
        </w:tc>
      </w:tr>
      <w:tr w:rsidR="004421F6" w14:paraId="1D0258A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87E" w14:textId="77777777" w:rsidR="004421F6" w:rsidRDefault="00F15622">
            <w:pP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9"/>
                <w:szCs w:val="9"/>
              </w:rPr>
              <w:t>(1)</w:t>
            </w:r>
          </w:p>
        </w:tc>
        <w:tc>
          <w:tcPr>
            <w:tcW w:w="0" w:type="auto"/>
            <w:tcBorders>
              <w:top w:val="single" w:sz="8" w:space="0" w:color="808080"/>
            </w:tcBorders>
            <w:shd w:val="clear" w:color="auto" w:fill="auto"/>
            <w:tcMar>
              <w:top w:w="40" w:type="dxa"/>
              <w:left w:w="20" w:type="dxa"/>
              <w:bottom w:w="40" w:type="dxa"/>
            </w:tcMar>
            <w:vAlign w:val="bottom"/>
          </w:tcPr>
          <w:p w14:paraId="1D02587F"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5880" w14:textId="77777777" w:rsidR="004421F6" w:rsidRDefault="00F15622">
            <w:pPr>
              <w:jc w:val="right"/>
              <w:textAlignment w:val="bottom"/>
            </w:pPr>
            <w:r>
              <w:rPr>
                <w:rFonts w:ascii="Arial" w:eastAsia="宋体" w:hAnsi="Arial" w:cs="Arial"/>
                <w:color w:val="000000"/>
                <w:sz w:val="17"/>
                <w:szCs w:val="17"/>
              </w:rPr>
              <w:t>94 </w:t>
            </w:r>
          </w:p>
        </w:tc>
        <w:tc>
          <w:tcPr>
            <w:tcW w:w="0" w:type="auto"/>
            <w:tcBorders>
              <w:top w:val="single" w:sz="8" w:space="0" w:color="808080"/>
            </w:tcBorders>
            <w:shd w:val="clear" w:color="auto" w:fill="auto"/>
            <w:tcMar>
              <w:top w:w="40" w:type="dxa"/>
              <w:bottom w:w="40" w:type="dxa"/>
              <w:right w:w="20" w:type="dxa"/>
            </w:tcMar>
            <w:vAlign w:val="bottom"/>
          </w:tcPr>
          <w:p w14:paraId="1D025881"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5882"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5883" w14:textId="77777777" w:rsidR="004421F6" w:rsidRDefault="00F15622">
            <w:pPr>
              <w:jc w:val="right"/>
              <w:textAlignment w:val="bottom"/>
            </w:pPr>
            <w:r>
              <w:rPr>
                <w:rFonts w:ascii="Arial" w:eastAsia="宋体" w:hAnsi="Arial" w:cs="Arial"/>
                <w:color w:val="000000"/>
                <w:sz w:val="17"/>
                <w:szCs w:val="17"/>
              </w:rPr>
              <w:t>91 </w:t>
            </w:r>
          </w:p>
        </w:tc>
        <w:tc>
          <w:tcPr>
            <w:tcW w:w="0" w:type="auto"/>
            <w:tcBorders>
              <w:top w:val="single" w:sz="8" w:space="0" w:color="808080"/>
            </w:tcBorders>
            <w:shd w:val="clear" w:color="auto" w:fill="auto"/>
            <w:tcMar>
              <w:top w:w="40" w:type="dxa"/>
              <w:bottom w:w="40" w:type="dxa"/>
              <w:right w:w="20" w:type="dxa"/>
            </w:tcMar>
            <w:vAlign w:val="bottom"/>
          </w:tcPr>
          <w:p w14:paraId="1D025884"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5885"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5886" w14:textId="77777777" w:rsidR="004421F6" w:rsidRDefault="00F1562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bottom w:w="40" w:type="dxa"/>
              <w:right w:w="20" w:type="dxa"/>
            </w:tcMar>
            <w:vAlign w:val="bottom"/>
          </w:tcPr>
          <w:p w14:paraId="1D025887"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888" w14:textId="77777777" w:rsidR="004421F6" w:rsidRDefault="004421F6">
            <w:pPr>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5889"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588A" w14:textId="77777777" w:rsidR="004421F6" w:rsidRDefault="00F15622">
            <w:pPr>
              <w:jc w:val="right"/>
              <w:textAlignment w:val="bottom"/>
            </w:pPr>
            <w:r>
              <w:rPr>
                <w:rFonts w:ascii="Arial" w:eastAsia="宋体" w:hAnsi="Arial" w:cs="Arial"/>
                <w:color w:val="000000"/>
                <w:sz w:val="17"/>
                <w:szCs w:val="17"/>
              </w:rPr>
              <w:t>205 </w:t>
            </w:r>
          </w:p>
        </w:tc>
        <w:tc>
          <w:tcPr>
            <w:tcW w:w="0" w:type="auto"/>
            <w:tcBorders>
              <w:top w:val="single" w:sz="8" w:space="0" w:color="808080"/>
            </w:tcBorders>
            <w:shd w:val="clear" w:color="auto" w:fill="auto"/>
            <w:tcMar>
              <w:top w:w="40" w:type="dxa"/>
              <w:bottom w:w="40" w:type="dxa"/>
              <w:right w:w="20" w:type="dxa"/>
            </w:tcMar>
            <w:vAlign w:val="bottom"/>
          </w:tcPr>
          <w:p w14:paraId="1D02588B"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588C"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588D" w14:textId="77777777" w:rsidR="004421F6" w:rsidRDefault="00F15622">
            <w:pPr>
              <w:jc w:val="right"/>
              <w:textAlignment w:val="bottom"/>
            </w:pPr>
            <w:r>
              <w:rPr>
                <w:rFonts w:ascii="Arial" w:eastAsia="宋体" w:hAnsi="Arial" w:cs="Arial"/>
                <w:color w:val="000000"/>
                <w:sz w:val="17"/>
                <w:szCs w:val="17"/>
              </w:rPr>
              <w:t>188 </w:t>
            </w:r>
          </w:p>
        </w:tc>
        <w:tc>
          <w:tcPr>
            <w:tcW w:w="0" w:type="auto"/>
            <w:tcBorders>
              <w:top w:val="single" w:sz="8" w:space="0" w:color="808080"/>
            </w:tcBorders>
            <w:shd w:val="clear" w:color="auto" w:fill="auto"/>
            <w:tcMar>
              <w:top w:w="40" w:type="dxa"/>
              <w:bottom w:w="40" w:type="dxa"/>
              <w:right w:w="20" w:type="dxa"/>
            </w:tcMar>
            <w:vAlign w:val="bottom"/>
          </w:tcPr>
          <w:p w14:paraId="1D02588E"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588F"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5890" w14:textId="77777777" w:rsidR="004421F6" w:rsidRDefault="00F15622">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bottom w:w="40" w:type="dxa"/>
              <w:right w:w="20" w:type="dxa"/>
            </w:tcMar>
            <w:vAlign w:val="bottom"/>
          </w:tcPr>
          <w:p w14:paraId="1D025891" w14:textId="77777777" w:rsidR="004421F6" w:rsidRDefault="004421F6">
            <w:pPr>
              <w:jc w:val="right"/>
              <w:rPr>
                <w:rFonts w:ascii="宋体"/>
              </w:rPr>
            </w:pPr>
          </w:p>
        </w:tc>
        <w:tc>
          <w:tcPr>
            <w:tcW w:w="0" w:type="auto"/>
            <w:shd w:val="clear" w:color="auto" w:fill="auto"/>
          </w:tcPr>
          <w:p w14:paraId="1D025892" w14:textId="77777777" w:rsidR="004421F6" w:rsidRDefault="004421F6">
            <w:pPr>
              <w:rPr>
                <w:rFonts w:ascii="宋体"/>
              </w:rPr>
            </w:pPr>
          </w:p>
        </w:tc>
        <w:tc>
          <w:tcPr>
            <w:tcW w:w="0" w:type="auto"/>
            <w:shd w:val="clear" w:color="auto" w:fill="auto"/>
          </w:tcPr>
          <w:p w14:paraId="1D025893" w14:textId="77777777" w:rsidR="004421F6" w:rsidRDefault="004421F6">
            <w:pPr>
              <w:rPr>
                <w:rFonts w:ascii="宋体"/>
              </w:rPr>
            </w:pPr>
          </w:p>
        </w:tc>
        <w:tc>
          <w:tcPr>
            <w:tcW w:w="0" w:type="auto"/>
            <w:shd w:val="clear" w:color="auto" w:fill="auto"/>
          </w:tcPr>
          <w:p w14:paraId="1D025894" w14:textId="77777777" w:rsidR="004421F6" w:rsidRDefault="004421F6">
            <w:pPr>
              <w:rPr>
                <w:rFonts w:ascii="宋体"/>
              </w:rPr>
            </w:pPr>
          </w:p>
        </w:tc>
        <w:tc>
          <w:tcPr>
            <w:tcW w:w="0" w:type="auto"/>
            <w:shd w:val="clear" w:color="auto" w:fill="auto"/>
          </w:tcPr>
          <w:p w14:paraId="1D025895" w14:textId="77777777" w:rsidR="004421F6" w:rsidRDefault="004421F6">
            <w:pPr>
              <w:rPr>
                <w:rFonts w:ascii="宋体"/>
              </w:rPr>
            </w:pPr>
          </w:p>
        </w:tc>
        <w:tc>
          <w:tcPr>
            <w:tcW w:w="0" w:type="auto"/>
            <w:shd w:val="clear" w:color="auto" w:fill="auto"/>
          </w:tcPr>
          <w:p w14:paraId="1D025896" w14:textId="77777777" w:rsidR="004421F6" w:rsidRDefault="004421F6">
            <w:pPr>
              <w:rPr>
                <w:rFonts w:ascii="宋体"/>
              </w:rPr>
            </w:pPr>
          </w:p>
        </w:tc>
        <w:tc>
          <w:tcPr>
            <w:tcW w:w="0" w:type="auto"/>
            <w:shd w:val="clear" w:color="auto" w:fill="auto"/>
          </w:tcPr>
          <w:p w14:paraId="1D025897" w14:textId="77777777" w:rsidR="004421F6" w:rsidRDefault="004421F6">
            <w:pPr>
              <w:rPr>
                <w:rFonts w:ascii="宋体"/>
              </w:rPr>
            </w:pPr>
          </w:p>
        </w:tc>
        <w:tc>
          <w:tcPr>
            <w:tcW w:w="0" w:type="auto"/>
            <w:shd w:val="clear" w:color="auto" w:fill="auto"/>
          </w:tcPr>
          <w:p w14:paraId="1D025898" w14:textId="77777777" w:rsidR="004421F6" w:rsidRDefault="004421F6">
            <w:pPr>
              <w:rPr>
                <w:rFonts w:ascii="宋体"/>
              </w:rPr>
            </w:pPr>
          </w:p>
        </w:tc>
        <w:tc>
          <w:tcPr>
            <w:tcW w:w="0" w:type="auto"/>
            <w:shd w:val="clear" w:color="auto" w:fill="auto"/>
          </w:tcPr>
          <w:p w14:paraId="1D025899" w14:textId="77777777" w:rsidR="004421F6" w:rsidRDefault="004421F6">
            <w:pPr>
              <w:rPr>
                <w:rFonts w:ascii="宋体"/>
              </w:rPr>
            </w:pPr>
          </w:p>
        </w:tc>
        <w:tc>
          <w:tcPr>
            <w:tcW w:w="0" w:type="auto"/>
            <w:shd w:val="clear" w:color="auto" w:fill="auto"/>
          </w:tcPr>
          <w:p w14:paraId="1D02589A" w14:textId="77777777" w:rsidR="004421F6" w:rsidRDefault="004421F6">
            <w:pPr>
              <w:rPr>
                <w:rFonts w:ascii="宋体"/>
              </w:rPr>
            </w:pPr>
          </w:p>
        </w:tc>
        <w:tc>
          <w:tcPr>
            <w:tcW w:w="0" w:type="auto"/>
            <w:shd w:val="clear" w:color="auto" w:fill="auto"/>
          </w:tcPr>
          <w:p w14:paraId="1D02589B" w14:textId="77777777" w:rsidR="004421F6" w:rsidRDefault="004421F6">
            <w:pPr>
              <w:rPr>
                <w:rFonts w:ascii="宋体"/>
              </w:rPr>
            </w:pPr>
          </w:p>
        </w:tc>
        <w:tc>
          <w:tcPr>
            <w:tcW w:w="0" w:type="auto"/>
            <w:shd w:val="clear" w:color="auto" w:fill="auto"/>
          </w:tcPr>
          <w:p w14:paraId="1D02589C" w14:textId="77777777" w:rsidR="004421F6" w:rsidRDefault="004421F6">
            <w:pPr>
              <w:rPr>
                <w:rFonts w:ascii="宋体"/>
              </w:rPr>
            </w:pPr>
          </w:p>
        </w:tc>
        <w:tc>
          <w:tcPr>
            <w:tcW w:w="0" w:type="auto"/>
            <w:shd w:val="clear" w:color="auto" w:fill="auto"/>
          </w:tcPr>
          <w:p w14:paraId="1D02589D" w14:textId="77777777" w:rsidR="004421F6" w:rsidRDefault="004421F6">
            <w:pPr>
              <w:rPr>
                <w:rFonts w:ascii="宋体"/>
              </w:rPr>
            </w:pPr>
          </w:p>
        </w:tc>
        <w:tc>
          <w:tcPr>
            <w:tcW w:w="0" w:type="auto"/>
            <w:shd w:val="clear" w:color="auto" w:fill="auto"/>
          </w:tcPr>
          <w:p w14:paraId="1D02589E" w14:textId="77777777" w:rsidR="004421F6" w:rsidRDefault="004421F6">
            <w:pPr>
              <w:rPr>
                <w:rFonts w:ascii="宋体"/>
              </w:rPr>
            </w:pPr>
          </w:p>
        </w:tc>
        <w:tc>
          <w:tcPr>
            <w:tcW w:w="0" w:type="auto"/>
            <w:shd w:val="clear" w:color="auto" w:fill="auto"/>
          </w:tcPr>
          <w:p w14:paraId="1D02589F" w14:textId="77777777" w:rsidR="004421F6" w:rsidRDefault="004421F6">
            <w:pPr>
              <w:rPr>
                <w:rFonts w:ascii="宋体"/>
              </w:rPr>
            </w:pPr>
          </w:p>
        </w:tc>
        <w:tc>
          <w:tcPr>
            <w:tcW w:w="0" w:type="auto"/>
            <w:shd w:val="clear" w:color="auto" w:fill="auto"/>
          </w:tcPr>
          <w:p w14:paraId="1D0258A0" w14:textId="77777777" w:rsidR="004421F6" w:rsidRDefault="004421F6">
            <w:pPr>
              <w:rPr>
                <w:rFonts w:ascii="宋体"/>
              </w:rPr>
            </w:pPr>
          </w:p>
        </w:tc>
        <w:tc>
          <w:tcPr>
            <w:tcW w:w="0" w:type="auto"/>
            <w:shd w:val="clear" w:color="auto" w:fill="auto"/>
          </w:tcPr>
          <w:p w14:paraId="1D0258A1" w14:textId="77777777" w:rsidR="004421F6" w:rsidRDefault="004421F6">
            <w:pPr>
              <w:rPr>
                <w:rFonts w:ascii="宋体"/>
              </w:rPr>
            </w:pPr>
          </w:p>
        </w:tc>
        <w:tc>
          <w:tcPr>
            <w:tcW w:w="0" w:type="auto"/>
            <w:shd w:val="clear" w:color="auto" w:fill="auto"/>
          </w:tcPr>
          <w:p w14:paraId="1D0258A2" w14:textId="77777777" w:rsidR="004421F6" w:rsidRDefault="004421F6">
            <w:pPr>
              <w:rPr>
                <w:rFonts w:ascii="宋体"/>
              </w:rPr>
            </w:pPr>
          </w:p>
        </w:tc>
        <w:tc>
          <w:tcPr>
            <w:tcW w:w="0" w:type="auto"/>
            <w:shd w:val="clear" w:color="auto" w:fill="auto"/>
          </w:tcPr>
          <w:p w14:paraId="1D0258A3" w14:textId="77777777" w:rsidR="004421F6" w:rsidRDefault="004421F6">
            <w:pPr>
              <w:rPr>
                <w:rFonts w:ascii="宋体"/>
              </w:rPr>
            </w:pPr>
          </w:p>
        </w:tc>
      </w:tr>
      <w:tr w:rsidR="004421F6" w14:paraId="1D0258C5"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8A5" w14:textId="77777777" w:rsidR="004421F6" w:rsidRDefault="00F15622">
            <w:pPr>
              <w:textAlignment w:val="bottom"/>
            </w:pPr>
            <w:r>
              <w:rPr>
                <w:rFonts w:ascii="Arial" w:eastAsia="宋体" w:hAnsi="Arial" w:cs="Arial"/>
                <w:color w:val="000000"/>
                <w:sz w:val="17"/>
                <w:szCs w:val="17"/>
              </w:rPr>
              <w:t>Embedded derivatives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8A6"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bottom w:w="40" w:type="dxa"/>
              <w:right w:w="20" w:type="dxa"/>
            </w:tcMar>
            <w:vAlign w:val="bottom"/>
          </w:tcPr>
          <w:p w14:paraId="1D0258A7"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8A8"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bottom w:w="40" w:type="dxa"/>
              <w:right w:w="20" w:type="dxa"/>
            </w:tcMar>
            <w:vAlign w:val="bottom"/>
          </w:tcPr>
          <w:p w14:paraId="1D0258A9"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8AA"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58AB"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8AC"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8AD" w14:textId="77777777" w:rsidR="004421F6" w:rsidRDefault="00F1562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bottom w:w="40" w:type="dxa"/>
              <w:right w:w="20" w:type="dxa"/>
            </w:tcMar>
            <w:vAlign w:val="bottom"/>
          </w:tcPr>
          <w:p w14:paraId="1D0258AE"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8AF" w14:textId="77777777" w:rsidR="004421F6" w:rsidRDefault="00F1562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bottom w:w="40" w:type="dxa"/>
              <w:right w:w="20" w:type="dxa"/>
            </w:tcMar>
            <w:vAlign w:val="bottom"/>
          </w:tcPr>
          <w:p w14:paraId="1D0258B0"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8B1"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58B2" w14:textId="77777777" w:rsidR="004421F6" w:rsidRDefault="004421F6">
            <w:pPr>
              <w:jc w:val="right"/>
              <w:rPr>
                <w:rFonts w:ascii="宋体"/>
              </w:rPr>
            </w:pPr>
          </w:p>
        </w:tc>
        <w:tc>
          <w:tcPr>
            <w:tcW w:w="0" w:type="auto"/>
            <w:shd w:val="clear" w:color="auto" w:fill="auto"/>
          </w:tcPr>
          <w:p w14:paraId="1D0258B3" w14:textId="77777777" w:rsidR="004421F6" w:rsidRDefault="004421F6">
            <w:pPr>
              <w:rPr>
                <w:rFonts w:ascii="宋体"/>
              </w:rPr>
            </w:pPr>
          </w:p>
        </w:tc>
        <w:tc>
          <w:tcPr>
            <w:tcW w:w="0" w:type="auto"/>
            <w:shd w:val="clear" w:color="auto" w:fill="auto"/>
          </w:tcPr>
          <w:p w14:paraId="1D0258B4" w14:textId="77777777" w:rsidR="004421F6" w:rsidRDefault="004421F6">
            <w:pPr>
              <w:rPr>
                <w:rFonts w:ascii="宋体"/>
              </w:rPr>
            </w:pPr>
          </w:p>
        </w:tc>
        <w:tc>
          <w:tcPr>
            <w:tcW w:w="0" w:type="auto"/>
            <w:shd w:val="clear" w:color="auto" w:fill="auto"/>
          </w:tcPr>
          <w:p w14:paraId="1D0258B5" w14:textId="77777777" w:rsidR="004421F6" w:rsidRDefault="004421F6">
            <w:pPr>
              <w:rPr>
                <w:rFonts w:ascii="宋体"/>
              </w:rPr>
            </w:pPr>
          </w:p>
        </w:tc>
        <w:tc>
          <w:tcPr>
            <w:tcW w:w="0" w:type="auto"/>
            <w:shd w:val="clear" w:color="auto" w:fill="auto"/>
          </w:tcPr>
          <w:p w14:paraId="1D0258B6" w14:textId="77777777" w:rsidR="004421F6" w:rsidRDefault="004421F6">
            <w:pPr>
              <w:rPr>
                <w:rFonts w:ascii="宋体"/>
              </w:rPr>
            </w:pPr>
          </w:p>
        </w:tc>
        <w:tc>
          <w:tcPr>
            <w:tcW w:w="0" w:type="auto"/>
            <w:shd w:val="clear" w:color="auto" w:fill="auto"/>
          </w:tcPr>
          <w:p w14:paraId="1D0258B7" w14:textId="77777777" w:rsidR="004421F6" w:rsidRDefault="004421F6">
            <w:pPr>
              <w:rPr>
                <w:rFonts w:ascii="宋体"/>
              </w:rPr>
            </w:pPr>
          </w:p>
        </w:tc>
        <w:tc>
          <w:tcPr>
            <w:tcW w:w="0" w:type="auto"/>
            <w:shd w:val="clear" w:color="auto" w:fill="auto"/>
          </w:tcPr>
          <w:p w14:paraId="1D0258B8" w14:textId="77777777" w:rsidR="004421F6" w:rsidRDefault="004421F6">
            <w:pPr>
              <w:rPr>
                <w:rFonts w:ascii="宋体"/>
              </w:rPr>
            </w:pPr>
          </w:p>
        </w:tc>
        <w:tc>
          <w:tcPr>
            <w:tcW w:w="0" w:type="auto"/>
            <w:shd w:val="clear" w:color="auto" w:fill="auto"/>
          </w:tcPr>
          <w:p w14:paraId="1D0258B9" w14:textId="77777777" w:rsidR="004421F6" w:rsidRDefault="004421F6">
            <w:pPr>
              <w:rPr>
                <w:rFonts w:ascii="宋体"/>
              </w:rPr>
            </w:pPr>
          </w:p>
        </w:tc>
        <w:tc>
          <w:tcPr>
            <w:tcW w:w="0" w:type="auto"/>
            <w:shd w:val="clear" w:color="auto" w:fill="auto"/>
          </w:tcPr>
          <w:p w14:paraId="1D0258BA" w14:textId="77777777" w:rsidR="004421F6" w:rsidRDefault="004421F6">
            <w:pPr>
              <w:rPr>
                <w:rFonts w:ascii="宋体"/>
              </w:rPr>
            </w:pPr>
          </w:p>
        </w:tc>
        <w:tc>
          <w:tcPr>
            <w:tcW w:w="0" w:type="auto"/>
            <w:shd w:val="clear" w:color="auto" w:fill="auto"/>
          </w:tcPr>
          <w:p w14:paraId="1D0258BB" w14:textId="77777777" w:rsidR="004421F6" w:rsidRDefault="004421F6">
            <w:pPr>
              <w:rPr>
                <w:rFonts w:ascii="宋体"/>
              </w:rPr>
            </w:pPr>
          </w:p>
        </w:tc>
        <w:tc>
          <w:tcPr>
            <w:tcW w:w="0" w:type="auto"/>
            <w:shd w:val="clear" w:color="auto" w:fill="auto"/>
          </w:tcPr>
          <w:p w14:paraId="1D0258BC" w14:textId="77777777" w:rsidR="004421F6" w:rsidRDefault="004421F6">
            <w:pPr>
              <w:rPr>
                <w:rFonts w:ascii="宋体"/>
              </w:rPr>
            </w:pPr>
          </w:p>
        </w:tc>
        <w:tc>
          <w:tcPr>
            <w:tcW w:w="0" w:type="auto"/>
            <w:shd w:val="clear" w:color="auto" w:fill="auto"/>
          </w:tcPr>
          <w:p w14:paraId="1D0258BD" w14:textId="77777777" w:rsidR="004421F6" w:rsidRDefault="004421F6">
            <w:pPr>
              <w:rPr>
                <w:rFonts w:ascii="宋体"/>
              </w:rPr>
            </w:pPr>
          </w:p>
        </w:tc>
        <w:tc>
          <w:tcPr>
            <w:tcW w:w="0" w:type="auto"/>
            <w:shd w:val="clear" w:color="auto" w:fill="auto"/>
          </w:tcPr>
          <w:p w14:paraId="1D0258BE" w14:textId="77777777" w:rsidR="004421F6" w:rsidRDefault="004421F6">
            <w:pPr>
              <w:rPr>
                <w:rFonts w:ascii="宋体"/>
              </w:rPr>
            </w:pPr>
          </w:p>
        </w:tc>
        <w:tc>
          <w:tcPr>
            <w:tcW w:w="0" w:type="auto"/>
            <w:shd w:val="clear" w:color="auto" w:fill="auto"/>
          </w:tcPr>
          <w:p w14:paraId="1D0258BF" w14:textId="77777777" w:rsidR="004421F6" w:rsidRDefault="004421F6">
            <w:pPr>
              <w:rPr>
                <w:rFonts w:ascii="宋体"/>
              </w:rPr>
            </w:pPr>
          </w:p>
        </w:tc>
        <w:tc>
          <w:tcPr>
            <w:tcW w:w="0" w:type="auto"/>
            <w:shd w:val="clear" w:color="auto" w:fill="auto"/>
          </w:tcPr>
          <w:p w14:paraId="1D0258C0" w14:textId="77777777" w:rsidR="004421F6" w:rsidRDefault="004421F6">
            <w:pPr>
              <w:rPr>
                <w:rFonts w:ascii="宋体"/>
              </w:rPr>
            </w:pPr>
          </w:p>
        </w:tc>
        <w:tc>
          <w:tcPr>
            <w:tcW w:w="0" w:type="auto"/>
            <w:shd w:val="clear" w:color="auto" w:fill="auto"/>
          </w:tcPr>
          <w:p w14:paraId="1D0258C1" w14:textId="77777777" w:rsidR="004421F6" w:rsidRDefault="004421F6">
            <w:pPr>
              <w:rPr>
                <w:rFonts w:ascii="宋体"/>
              </w:rPr>
            </w:pPr>
          </w:p>
        </w:tc>
        <w:tc>
          <w:tcPr>
            <w:tcW w:w="0" w:type="auto"/>
            <w:shd w:val="clear" w:color="auto" w:fill="auto"/>
          </w:tcPr>
          <w:p w14:paraId="1D0258C2" w14:textId="77777777" w:rsidR="004421F6" w:rsidRDefault="004421F6">
            <w:pPr>
              <w:rPr>
                <w:rFonts w:ascii="宋体"/>
              </w:rPr>
            </w:pPr>
          </w:p>
        </w:tc>
        <w:tc>
          <w:tcPr>
            <w:tcW w:w="0" w:type="auto"/>
            <w:shd w:val="clear" w:color="auto" w:fill="auto"/>
          </w:tcPr>
          <w:p w14:paraId="1D0258C3" w14:textId="77777777" w:rsidR="004421F6" w:rsidRDefault="004421F6">
            <w:pPr>
              <w:rPr>
                <w:rFonts w:ascii="宋体"/>
              </w:rPr>
            </w:pPr>
          </w:p>
        </w:tc>
        <w:tc>
          <w:tcPr>
            <w:tcW w:w="0" w:type="auto"/>
            <w:shd w:val="clear" w:color="auto" w:fill="auto"/>
          </w:tcPr>
          <w:p w14:paraId="1D0258C4" w14:textId="77777777" w:rsidR="004421F6" w:rsidRDefault="004421F6">
            <w:pPr>
              <w:rPr>
                <w:rFonts w:ascii="宋体"/>
              </w:rPr>
            </w:pPr>
          </w:p>
        </w:tc>
      </w:tr>
      <w:tr w:rsidR="004421F6" w14:paraId="1D0258EC"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8C6" w14:textId="77777777" w:rsidR="004421F6" w:rsidRDefault="00F15622">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8C7"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8C8" w14:textId="77777777" w:rsidR="004421F6" w:rsidRDefault="00F15622">
            <w:pPr>
              <w:jc w:val="right"/>
              <w:textAlignment w:val="bottom"/>
            </w:pPr>
            <w:r>
              <w:rPr>
                <w:rFonts w:ascii="Arial" w:eastAsia="宋体" w:hAnsi="Arial" w:cs="Arial"/>
                <w:b/>
                <w:bCs/>
                <w:color w:val="000000"/>
                <w:sz w:val="17"/>
                <w:szCs w:val="17"/>
              </w:rPr>
              <w:t>95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8C9"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8CA"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8CB" w14:textId="77777777" w:rsidR="004421F6" w:rsidRDefault="00F15622">
            <w:pPr>
              <w:jc w:val="right"/>
              <w:textAlignment w:val="bottom"/>
            </w:pPr>
            <w:r>
              <w:rPr>
                <w:rFonts w:ascii="Arial" w:eastAsia="宋体" w:hAnsi="Arial" w:cs="Arial"/>
                <w:b/>
                <w:bCs/>
                <w:color w:val="000000"/>
                <w:sz w:val="17"/>
                <w:szCs w:val="17"/>
              </w:rPr>
              <w:t>92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8CC"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8CD"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8CE" w14:textId="77777777" w:rsidR="004421F6" w:rsidRDefault="00F1562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8CF" w14:textId="77777777" w:rsidR="004421F6" w:rsidRDefault="004421F6">
            <w:pPr>
              <w:jc w:val="right"/>
              <w:rPr>
                <w:rFonts w:ascii="宋体"/>
              </w:rPr>
            </w:pPr>
          </w:p>
        </w:tc>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58D0" w14:textId="77777777" w:rsidR="004421F6" w:rsidRDefault="004421F6">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8D1"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8D2" w14:textId="77777777" w:rsidR="004421F6" w:rsidRDefault="00F15622">
            <w:pPr>
              <w:jc w:val="right"/>
              <w:textAlignment w:val="bottom"/>
            </w:pPr>
            <w:r>
              <w:rPr>
                <w:rFonts w:ascii="Arial" w:eastAsia="宋体" w:hAnsi="Arial" w:cs="Arial"/>
                <w:b/>
                <w:bCs/>
                <w:color w:val="000000"/>
                <w:sz w:val="17"/>
                <w:szCs w:val="17"/>
              </w:rPr>
              <w:t>207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8D3"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8D4"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8D5" w14:textId="77777777" w:rsidR="004421F6" w:rsidRDefault="00F15622">
            <w:pPr>
              <w:jc w:val="right"/>
              <w:textAlignment w:val="bottom"/>
            </w:pPr>
            <w:r>
              <w:rPr>
                <w:rFonts w:ascii="Arial" w:eastAsia="宋体" w:hAnsi="Arial" w:cs="Arial"/>
                <w:b/>
                <w:bCs/>
                <w:color w:val="000000"/>
                <w:sz w:val="17"/>
                <w:szCs w:val="17"/>
              </w:rPr>
              <w:t>190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8D6"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8D7"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8D8" w14:textId="77777777" w:rsidR="004421F6" w:rsidRDefault="00F15622">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8D9" w14:textId="77777777" w:rsidR="004421F6" w:rsidRDefault="004421F6">
            <w:pPr>
              <w:jc w:val="right"/>
              <w:rPr>
                <w:rFonts w:ascii="宋体"/>
              </w:rPr>
            </w:pPr>
          </w:p>
        </w:tc>
        <w:tc>
          <w:tcPr>
            <w:tcW w:w="0" w:type="auto"/>
            <w:shd w:val="clear" w:color="auto" w:fill="auto"/>
          </w:tcPr>
          <w:p w14:paraId="1D0258DA" w14:textId="77777777" w:rsidR="004421F6" w:rsidRDefault="004421F6">
            <w:pPr>
              <w:rPr>
                <w:rFonts w:ascii="宋体"/>
              </w:rPr>
            </w:pPr>
          </w:p>
        </w:tc>
        <w:tc>
          <w:tcPr>
            <w:tcW w:w="0" w:type="auto"/>
            <w:shd w:val="clear" w:color="auto" w:fill="auto"/>
          </w:tcPr>
          <w:p w14:paraId="1D0258DB" w14:textId="77777777" w:rsidR="004421F6" w:rsidRDefault="004421F6">
            <w:pPr>
              <w:rPr>
                <w:rFonts w:ascii="宋体"/>
              </w:rPr>
            </w:pPr>
          </w:p>
        </w:tc>
        <w:tc>
          <w:tcPr>
            <w:tcW w:w="0" w:type="auto"/>
            <w:shd w:val="clear" w:color="auto" w:fill="auto"/>
          </w:tcPr>
          <w:p w14:paraId="1D0258DC" w14:textId="77777777" w:rsidR="004421F6" w:rsidRDefault="004421F6">
            <w:pPr>
              <w:rPr>
                <w:rFonts w:ascii="宋体"/>
              </w:rPr>
            </w:pPr>
          </w:p>
        </w:tc>
        <w:tc>
          <w:tcPr>
            <w:tcW w:w="0" w:type="auto"/>
            <w:shd w:val="clear" w:color="auto" w:fill="auto"/>
          </w:tcPr>
          <w:p w14:paraId="1D0258DD" w14:textId="77777777" w:rsidR="004421F6" w:rsidRDefault="004421F6">
            <w:pPr>
              <w:rPr>
                <w:rFonts w:ascii="宋体"/>
              </w:rPr>
            </w:pPr>
          </w:p>
        </w:tc>
        <w:tc>
          <w:tcPr>
            <w:tcW w:w="0" w:type="auto"/>
            <w:shd w:val="clear" w:color="auto" w:fill="auto"/>
          </w:tcPr>
          <w:p w14:paraId="1D0258DE" w14:textId="77777777" w:rsidR="004421F6" w:rsidRDefault="004421F6">
            <w:pPr>
              <w:rPr>
                <w:rFonts w:ascii="宋体"/>
              </w:rPr>
            </w:pPr>
          </w:p>
        </w:tc>
        <w:tc>
          <w:tcPr>
            <w:tcW w:w="0" w:type="auto"/>
            <w:shd w:val="clear" w:color="auto" w:fill="auto"/>
          </w:tcPr>
          <w:p w14:paraId="1D0258DF" w14:textId="77777777" w:rsidR="004421F6" w:rsidRDefault="004421F6">
            <w:pPr>
              <w:rPr>
                <w:rFonts w:ascii="宋体"/>
              </w:rPr>
            </w:pPr>
          </w:p>
        </w:tc>
        <w:tc>
          <w:tcPr>
            <w:tcW w:w="0" w:type="auto"/>
            <w:shd w:val="clear" w:color="auto" w:fill="auto"/>
          </w:tcPr>
          <w:p w14:paraId="1D0258E0" w14:textId="77777777" w:rsidR="004421F6" w:rsidRDefault="004421F6">
            <w:pPr>
              <w:rPr>
                <w:rFonts w:ascii="宋体"/>
              </w:rPr>
            </w:pPr>
          </w:p>
        </w:tc>
        <w:tc>
          <w:tcPr>
            <w:tcW w:w="0" w:type="auto"/>
            <w:shd w:val="clear" w:color="auto" w:fill="auto"/>
          </w:tcPr>
          <w:p w14:paraId="1D0258E1" w14:textId="77777777" w:rsidR="004421F6" w:rsidRDefault="004421F6">
            <w:pPr>
              <w:rPr>
                <w:rFonts w:ascii="宋体"/>
              </w:rPr>
            </w:pPr>
          </w:p>
        </w:tc>
        <w:tc>
          <w:tcPr>
            <w:tcW w:w="0" w:type="auto"/>
            <w:shd w:val="clear" w:color="auto" w:fill="auto"/>
          </w:tcPr>
          <w:p w14:paraId="1D0258E2" w14:textId="77777777" w:rsidR="004421F6" w:rsidRDefault="004421F6">
            <w:pPr>
              <w:rPr>
                <w:rFonts w:ascii="宋体"/>
              </w:rPr>
            </w:pPr>
          </w:p>
        </w:tc>
        <w:tc>
          <w:tcPr>
            <w:tcW w:w="0" w:type="auto"/>
            <w:shd w:val="clear" w:color="auto" w:fill="auto"/>
          </w:tcPr>
          <w:p w14:paraId="1D0258E3" w14:textId="77777777" w:rsidR="004421F6" w:rsidRDefault="004421F6">
            <w:pPr>
              <w:rPr>
                <w:rFonts w:ascii="宋体"/>
              </w:rPr>
            </w:pPr>
          </w:p>
        </w:tc>
        <w:tc>
          <w:tcPr>
            <w:tcW w:w="0" w:type="auto"/>
            <w:shd w:val="clear" w:color="auto" w:fill="auto"/>
          </w:tcPr>
          <w:p w14:paraId="1D0258E4" w14:textId="77777777" w:rsidR="004421F6" w:rsidRDefault="004421F6">
            <w:pPr>
              <w:rPr>
                <w:rFonts w:ascii="宋体"/>
              </w:rPr>
            </w:pPr>
          </w:p>
        </w:tc>
        <w:tc>
          <w:tcPr>
            <w:tcW w:w="0" w:type="auto"/>
            <w:shd w:val="clear" w:color="auto" w:fill="auto"/>
          </w:tcPr>
          <w:p w14:paraId="1D0258E5" w14:textId="77777777" w:rsidR="004421F6" w:rsidRDefault="004421F6">
            <w:pPr>
              <w:rPr>
                <w:rFonts w:ascii="宋体"/>
              </w:rPr>
            </w:pPr>
          </w:p>
        </w:tc>
        <w:tc>
          <w:tcPr>
            <w:tcW w:w="0" w:type="auto"/>
            <w:shd w:val="clear" w:color="auto" w:fill="auto"/>
          </w:tcPr>
          <w:p w14:paraId="1D0258E6" w14:textId="77777777" w:rsidR="004421F6" w:rsidRDefault="004421F6">
            <w:pPr>
              <w:rPr>
                <w:rFonts w:ascii="宋体"/>
              </w:rPr>
            </w:pPr>
          </w:p>
        </w:tc>
        <w:tc>
          <w:tcPr>
            <w:tcW w:w="0" w:type="auto"/>
            <w:shd w:val="clear" w:color="auto" w:fill="auto"/>
          </w:tcPr>
          <w:p w14:paraId="1D0258E7" w14:textId="77777777" w:rsidR="004421F6" w:rsidRDefault="004421F6">
            <w:pPr>
              <w:rPr>
                <w:rFonts w:ascii="宋体"/>
              </w:rPr>
            </w:pPr>
          </w:p>
        </w:tc>
        <w:tc>
          <w:tcPr>
            <w:tcW w:w="0" w:type="auto"/>
            <w:shd w:val="clear" w:color="auto" w:fill="auto"/>
          </w:tcPr>
          <w:p w14:paraId="1D0258E8" w14:textId="77777777" w:rsidR="004421F6" w:rsidRDefault="004421F6">
            <w:pPr>
              <w:rPr>
                <w:rFonts w:ascii="宋体"/>
              </w:rPr>
            </w:pPr>
          </w:p>
        </w:tc>
        <w:tc>
          <w:tcPr>
            <w:tcW w:w="0" w:type="auto"/>
            <w:shd w:val="clear" w:color="auto" w:fill="auto"/>
          </w:tcPr>
          <w:p w14:paraId="1D0258E9" w14:textId="77777777" w:rsidR="004421F6" w:rsidRDefault="004421F6">
            <w:pPr>
              <w:rPr>
                <w:rFonts w:ascii="宋体"/>
              </w:rPr>
            </w:pPr>
          </w:p>
        </w:tc>
        <w:tc>
          <w:tcPr>
            <w:tcW w:w="0" w:type="auto"/>
            <w:shd w:val="clear" w:color="auto" w:fill="auto"/>
          </w:tcPr>
          <w:p w14:paraId="1D0258EA" w14:textId="77777777" w:rsidR="004421F6" w:rsidRDefault="004421F6">
            <w:pPr>
              <w:rPr>
                <w:rFonts w:ascii="宋体"/>
              </w:rPr>
            </w:pPr>
          </w:p>
        </w:tc>
        <w:tc>
          <w:tcPr>
            <w:tcW w:w="0" w:type="auto"/>
            <w:shd w:val="clear" w:color="auto" w:fill="auto"/>
          </w:tcPr>
          <w:p w14:paraId="1D0258EB" w14:textId="77777777" w:rsidR="004421F6" w:rsidRDefault="004421F6">
            <w:pPr>
              <w:rPr>
                <w:rFonts w:ascii="宋体"/>
              </w:rPr>
            </w:pPr>
          </w:p>
        </w:tc>
      </w:tr>
    </w:tbl>
    <w:p w14:paraId="1D0258ED" w14:textId="77777777" w:rsidR="004421F6" w:rsidRDefault="00F15622">
      <w:pPr>
        <w:spacing w:before="60" w:after="60"/>
        <w:ind w:hanging="360"/>
      </w:pPr>
      <w:r>
        <w:rPr>
          <w:rFonts w:ascii="Arial" w:eastAsia="宋体" w:hAnsi="Arial" w:cs="Arial"/>
          <w:i/>
          <w:iCs/>
          <w:color w:val="000000"/>
          <w:sz w:val="14"/>
          <w:szCs w:val="14"/>
        </w:rPr>
        <w:t>(1)If the foreign ex</w:t>
      </w:r>
      <w:r>
        <w:rPr>
          <w:rFonts w:ascii="Arial" w:eastAsia="宋体" w:hAnsi="Arial" w:cs="Arial"/>
          <w:i/>
          <w:iCs/>
          <w:color w:val="000000"/>
          <w:sz w:val="14"/>
          <w:szCs w:val="14"/>
        </w:rPr>
        <w:t>change derivative instruments had been netted on the Consolidated Balance Sheets, the asset and liability positions each would have been reduced by $76 million as of May 31, 2020. As of that date, no amount of cash collateral had been received or posted on</w:t>
      </w:r>
      <w:r>
        <w:rPr>
          <w:rFonts w:ascii="Arial" w:eastAsia="宋体" w:hAnsi="Arial" w:cs="Arial"/>
          <w:i/>
          <w:iCs/>
          <w:color w:val="000000"/>
          <w:sz w:val="14"/>
          <w:szCs w:val="14"/>
        </w:rPr>
        <w:t xml:space="preserve"> the derivative asset and liability balances related to these foreign exchange derivative instruments.</w:t>
      </w:r>
    </w:p>
    <w:p w14:paraId="1D0258EE" w14:textId="77777777" w:rsidR="004421F6" w:rsidRDefault="00F15622">
      <w:pPr>
        <w:spacing w:before="120" w:after="120"/>
      </w:pPr>
      <w:r>
        <w:rPr>
          <w:rFonts w:ascii="Arial" w:eastAsia="宋体" w:hAnsi="Arial" w:cs="Arial"/>
          <w:color w:val="000000"/>
          <w:sz w:val="17"/>
          <w:szCs w:val="17"/>
        </w:rPr>
        <w:t xml:space="preserve">For additional information related to the Company's derivative financial instruments and credit risk, refer to Note 9 — Risk Management and Derivatives. </w:t>
      </w:r>
    </w:p>
    <w:p w14:paraId="1D0258EF" w14:textId="77777777" w:rsidR="004421F6" w:rsidRDefault="00F15622">
      <w:pPr>
        <w:spacing w:before="120" w:after="120"/>
      </w:pPr>
      <w:r>
        <w:rPr>
          <w:rFonts w:ascii="Arial" w:eastAsia="宋体" w:hAnsi="Arial" w:cs="Arial"/>
          <w:color w:val="000000"/>
          <w:sz w:val="17"/>
          <w:szCs w:val="17"/>
        </w:rPr>
        <w:t xml:space="preserve">The carrying amounts of other current financial assets and other current financial liabilities approximate fair value. </w:t>
      </w:r>
    </w:p>
    <w:p w14:paraId="1D0258F0" w14:textId="77777777" w:rsidR="004421F6" w:rsidRDefault="00F15622">
      <w:pPr>
        <w:spacing w:before="240" w:after="120"/>
      </w:pPr>
      <w:r>
        <w:rPr>
          <w:rFonts w:ascii="sans-serif" w:eastAsia="sans-serif" w:hAnsi="sans-serif" w:cs="sans-serif"/>
          <w:b/>
          <w:bCs/>
          <w:color w:val="000000"/>
          <w:sz w:val="28"/>
          <w:szCs w:val="28"/>
        </w:rPr>
        <w:t>FINANCIAL ASSETS AND LIABILITIES NOT RECORDED AT FAIR VALUE</w:t>
      </w:r>
    </w:p>
    <w:p w14:paraId="1D0258F1" w14:textId="77777777" w:rsidR="004421F6" w:rsidRDefault="00F15622">
      <w:pPr>
        <w:spacing w:before="120" w:after="120"/>
      </w:pPr>
      <w:r>
        <w:rPr>
          <w:rFonts w:ascii="Arial" w:eastAsia="宋体" w:hAnsi="Arial" w:cs="Arial"/>
          <w:color w:val="000000"/>
          <w:sz w:val="17"/>
          <w:szCs w:val="17"/>
        </w:rPr>
        <w:t>Long-term debt</w:t>
      </w:r>
      <w:r>
        <w:rPr>
          <w:rFonts w:ascii="Arial" w:eastAsia="宋体" w:hAnsi="Arial" w:cs="Arial"/>
          <w:i/>
          <w:iCs/>
          <w:color w:val="000000"/>
          <w:sz w:val="17"/>
          <w:szCs w:val="17"/>
        </w:rPr>
        <w:t xml:space="preserve"> </w:t>
      </w:r>
      <w:r>
        <w:rPr>
          <w:rFonts w:ascii="Arial" w:eastAsia="宋体" w:hAnsi="Arial" w:cs="Arial"/>
          <w:color w:val="000000"/>
          <w:sz w:val="17"/>
          <w:szCs w:val="17"/>
        </w:rPr>
        <w:t xml:space="preserve">is recorded at adjusted cost, net of unamortized </w:t>
      </w:r>
      <w:r>
        <w:rPr>
          <w:rFonts w:ascii="Arial" w:eastAsia="宋体" w:hAnsi="Arial" w:cs="Arial"/>
          <w:color w:val="000000"/>
          <w:sz w:val="17"/>
          <w:szCs w:val="17"/>
        </w:rPr>
        <w:t>premiums, discounts and debt issuance costs. The fair value of Long-term debt</w:t>
      </w:r>
      <w:r>
        <w:rPr>
          <w:rFonts w:ascii="Arial" w:eastAsia="宋体" w:hAnsi="Arial" w:cs="Arial"/>
          <w:i/>
          <w:iCs/>
          <w:color w:val="000000"/>
          <w:sz w:val="17"/>
          <w:szCs w:val="17"/>
        </w:rPr>
        <w:t xml:space="preserve"> </w:t>
      </w:r>
      <w:r>
        <w:rPr>
          <w:rFonts w:ascii="Arial" w:eastAsia="宋体" w:hAnsi="Arial" w:cs="Arial"/>
          <w:color w:val="000000"/>
          <w:sz w:val="17"/>
          <w:szCs w:val="17"/>
        </w:rPr>
        <w:t xml:space="preserve">is estimated based upon quoted prices for similar instruments or quoted prices for identical instruments in inactive markets (Level 2). The fair value of the Company’s Long-term </w:t>
      </w:r>
      <w:r>
        <w:rPr>
          <w:rFonts w:ascii="Arial" w:eastAsia="宋体" w:hAnsi="Arial" w:cs="Arial"/>
          <w:color w:val="000000"/>
          <w:sz w:val="17"/>
          <w:szCs w:val="17"/>
        </w:rPr>
        <w:t>debt, including the current portion, was approximately $10,731 million at August 31, 2020 and $10,645 million at May 31, 2020.</w:t>
      </w:r>
    </w:p>
    <w:p w14:paraId="1D0258F2" w14:textId="77777777" w:rsidR="004421F6" w:rsidRDefault="00F15622">
      <w:pPr>
        <w:spacing w:before="120" w:after="120"/>
      </w:pPr>
      <w:r>
        <w:rPr>
          <w:rFonts w:ascii="Arial" w:eastAsia="宋体" w:hAnsi="Arial" w:cs="Arial"/>
          <w:color w:val="000000"/>
          <w:sz w:val="17"/>
          <w:szCs w:val="17"/>
        </w:rPr>
        <w:t>For fair value information regarding Notes payable, refer to Note 5 — Short-Term Borrowings and Credit Lines.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421F6" w14:paraId="1D0258F6" w14:textId="77777777">
        <w:tc>
          <w:tcPr>
            <w:tcW w:w="50" w:type="pct"/>
            <w:shd w:val="clear" w:color="auto" w:fill="auto"/>
          </w:tcPr>
          <w:p w14:paraId="1D0258F3" w14:textId="77777777" w:rsidR="004421F6" w:rsidRDefault="004421F6">
            <w:pPr>
              <w:rPr>
                <w:rFonts w:ascii="宋体"/>
              </w:rPr>
            </w:pPr>
          </w:p>
        </w:tc>
        <w:tc>
          <w:tcPr>
            <w:tcW w:w="4945" w:type="pct"/>
            <w:shd w:val="clear" w:color="auto" w:fill="auto"/>
          </w:tcPr>
          <w:p w14:paraId="1D0258F4" w14:textId="77777777" w:rsidR="004421F6" w:rsidRDefault="004421F6">
            <w:pPr>
              <w:rPr>
                <w:rFonts w:ascii="宋体"/>
              </w:rPr>
            </w:pPr>
          </w:p>
        </w:tc>
        <w:tc>
          <w:tcPr>
            <w:tcW w:w="5" w:type="pct"/>
            <w:shd w:val="clear" w:color="auto" w:fill="auto"/>
          </w:tcPr>
          <w:p w14:paraId="1D0258F5" w14:textId="77777777" w:rsidR="004421F6" w:rsidRDefault="004421F6">
            <w:pPr>
              <w:rPr>
                <w:rFonts w:ascii="宋体"/>
              </w:rPr>
            </w:pPr>
          </w:p>
        </w:tc>
      </w:tr>
      <w:tr w:rsidR="004421F6" w14:paraId="1D0258F8" w14:textId="77777777">
        <w:tc>
          <w:tcPr>
            <w:tcW w:w="0" w:type="auto"/>
            <w:gridSpan w:val="3"/>
            <w:shd w:val="clear" w:color="auto" w:fill="auto"/>
            <w:tcMar>
              <w:top w:w="40" w:type="dxa"/>
              <w:left w:w="20" w:type="dxa"/>
              <w:bottom w:w="40" w:type="dxa"/>
              <w:right w:w="20" w:type="dxa"/>
            </w:tcMar>
            <w:vAlign w:val="bottom"/>
          </w:tcPr>
          <w:p w14:paraId="1D0258F7" w14:textId="77777777" w:rsidR="004421F6" w:rsidRDefault="00F15622">
            <w:pPr>
              <w:textAlignment w:val="bottom"/>
            </w:pPr>
            <w:r>
              <w:rPr>
                <w:rFonts w:ascii="sans-serif" w:eastAsia="sans-serif" w:hAnsi="sans-serif" w:cs="sans-serif"/>
                <w:b/>
                <w:bCs/>
                <w:color w:val="E87722"/>
                <w:sz w:val="36"/>
                <w:szCs w:val="36"/>
              </w:rPr>
              <w:t>NOTE 5 — SHORT-</w:t>
            </w:r>
            <w:r>
              <w:rPr>
                <w:rFonts w:ascii="sans-serif" w:eastAsia="sans-serif" w:hAnsi="sans-serif" w:cs="sans-serif"/>
                <w:b/>
                <w:bCs/>
                <w:color w:val="E87722"/>
                <w:sz w:val="36"/>
                <w:szCs w:val="36"/>
              </w:rPr>
              <w:t>TERM BORROWINGS AND CREDIT LINES</w:t>
            </w:r>
          </w:p>
        </w:tc>
      </w:tr>
    </w:tbl>
    <w:p w14:paraId="1D0258F9" w14:textId="77777777" w:rsidR="004421F6" w:rsidRDefault="00F15622">
      <w:pPr>
        <w:spacing w:before="120" w:after="120"/>
      </w:pPr>
      <w:r>
        <w:rPr>
          <w:rFonts w:ascii="Arial" w:eastAsia="宋体" w:hAnsi="Arial" w:cs="Arial"/>
          <w:color w:val="000000"/>
          <w:sz w:val="17"/>
          <w:szCs w:val="17"/>
        </w:rPr>
        <w:t xml:space="preserve">The carrying amounts reflected on the Unaudited Condensed Consolidated Balance Sheets for Notes payable approximate fair value. </w:t>
      </w:r>
    </w:p>
    <w:p w14:paraId="1D0258FA" w14:textId="77777777" w:rsidR="004421F6" w:rsidRDefault="00F15622">
      <w:pPr>
        <w:spacing w:before="120" w:after="120"/>
      </w:pPr>
      <w:r>
        <w:rPr>
          <w:rFonts w:ascii="Arial" w:eastAsia="宋体" w:hAnsi="Arial" w:cs="Arial"/>
          <w:color w:val="000000"/>
          <w:sz w:val="17"/>
          <w:szCs w:val="17"/>
        </w:rPr>
        <w:t>As of August 31, 2020 and May 31, 2020, the Company had $112 million and $248 million of borr</w:t>
      </w:r>
      <w:r>
        <w:rPr>
          <w:rFonts w:ascii="Arial" w:eastAsia="宋体" w:hAnsi="Arial" w:cs="Arial"/>
          <w:color w:val="000000"/>
          <w:sz w:val="17"/>
          <w:szCs w:val="17"/>
        </w:rPr>
        <w:t>owings outstanding at a weighted average interest rate of 1.72% and 1.65%, respectively, under its $4 billion commercial paper program. Commercial paper repayments with original maturities greater than three months are included in Repayments from borrowing</w:t>
      </w:r>
      <w:r>
        <w:rPr>
          <w:rFonts w:ascii="Arial" w:eastAsia="宋体" w:hAnsi="Arial" w:cs="Arial"/>
          <w:color w:val="000000"/>
          <w:sz w:val="17"/>
          <w:szCs w:val="17"/>
        </w:rPr>
        <w:t>s on the Unaudited Condensed Consolidated Statements of Cash Flows.</w:t>
      </w:r>
    </w:p>
    <w:p w14:paraId="1D0258FB" w14:textId="77777777" w:rsidR="004421F6" w:rsidRDefault="00F15622">
      <w:pPr>
        <w:spacing w:before="120" w:after="120"/>
      </w:pPr>
      <w:r>
        <w:rPr>
          <w:rFonts w:ascii="Arial" w:eastAsia="宋体" w:hAnsi="Arial" w:cs="Arial"/>
          <w:color w:val="000000"/>
          <w:sz w:val="17"/>
          <w:szCs w:val="17"/>
        </w:rPr>
        <w:t>As of August 31, 2020, there have been no significant changes to the credit lines reported in the Company's Annual Report on Form 10-K for the fiscal year ended May 31,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421F6" w14:paraId="1D0258FF" w14:textId="77777777">
        <w:tc>
          <w:tcPr>
            <w:tcW w:w="50" w:type="pct"/>
            <w:shd w:val="clear" w:color="auto" w:fill="auto"/>
          </w:tcPr>
          <w:p w14:paraId="1D0258FC" w14:textId="77777777" w:rsidR="004421F6" w:rsidRDefault="004421F6">
            <w:pPr>
              <w:rPr>
                <w:rFonts w:ascii="宋体"/>
              </w:rPr>
            </w:pPr>
          </w:p>
        </w:tc>
        <w:tc>
          <w:tcPr>
            <w:tcW w:w="4945" w:type="pct"/>
            <w:shd w:val="clear" w:color="auto" w:fill="auto"/>
          </w:tcPr>
          <w:p w14:paraId="1D0258FD" w14:textId="77777777" w:rsidR="004421F6" w:rsidRDefault="004421F6">
            <w:pPr>
              <w:rPr>
                <w:rFonts w:ascii="宋体"/>
              </w:rPr>
            </w:pPr>
          </w:p>
        </w:tc>
        <w:tc>
          <w:tcPr>
            <w:tcW w:w="5" w:type="pct"/>
            <w:shd w:val="clear" w:color="auto" w:fill="auto"/>
          </w:tcPr>
          <w:p w14:paraId="1D0258FE" w14:textId="77777777" w:rsidR="004421F6" w:rsidRDefault="004421F6">
            <w:pPr>
              <w:rPr>
                <w:rFonts w:ascii="宋体"/>
              </w:rPr>
            </w:pPr>
          </w:p>
        </w:tc>
      </w:tr>
      <w:tr w:rsidR="004421F6" w14:paraId="1D025901" w14:textId="77777777">
        <w:tc>
          <w:tcPr>
            <w:tcW w:w="0" w:type="auto"/>
            <w:gridSpan w:val="3"/>
            <w:shd w:val="clear" w:color="auto" w:fill="auto"/>
            <w:tcMar>
              <w:top w:w="40" w:type="dxa"/>
              <w:left w:w="20" w:type="dxa"/>
              <w:bottom w:w="40" w:type="dxa"/>
              <w:right w:w="20" w:type="dxa"/>
            </w:tcMar>
            <w:vAlign w:val="bottom"/>
          </w:tcPr>
          <w:p w14:paraId="1D025900" w14:textId="77777777" w:rsidR="004421F6" w:rsidRDefault="00F15622">
            <w:pPr>
              <w:textAlignment w:val="bottom"/>
            </w:pPr>
            <w:r>
              <w:rPr>
                <w:rFonts w:ascii="sans-serif" w:eastAsia="sans-serif" w:hAnsi="sans-serif" w:cs="sans-serif"/>
                <w:b/>
                <w:bCs/>
                <w:color w:val="E87722"/>
                <w:sz w:val="36"/>
                <w:szCs w:val="36"/>
              </w:rPr>
              <w:t>NOTE 6 — INCOME TAXES</w:t>
            </w:r>
          </w:p>
        </w:tc>
      </w:tr>
    </w:tbl>
    <w:p w14:paraId="1D025902" w14:textId="77777777" w:rsidR="004421F6" w:rsidRDefault="00F15622">
      <w:pPr>
        <w:spacing w:before="120" w:after="120"/>
      </w:pPr>
      <w:r>
        <w:rPr>
          <w:rFonts w:ascii="Arial" w:eastAsia="宋体" w:hAnsi="Arial" w:cs="Arial"/>
          <w:color w:val="000000"/>
          <w:sz w:val="17"/>
          <w:szCs w:val="17"/>
        </w:rPr>
        <w:t xml:space="preserve">The effective tax rate was 11.5% and 12.4% for the three months ended August 31, 2020 and 2019, respectively. The decrease in the Company's effective tax rate was attributable to discrete items including a more favorable impact from </w:t>
      </w:r>
      <w:r>
        <w:rPr>
          <w:rFonts w:ascii="Arial" w:eastAsia="宋体" w:hAnsi="Arial" w:cs="Arial"/>
          <w:color w:val="000000"/>
          <w:sz w:val="17"/>
          <w:szCs w:val="17"/>
        </w:rPr>
        <w:t xml:space="preserve">stock-based compensation, offset by a reserve related to </w:t>
      </w:r>
      <w:r>
        <w:rPr>
          <w:rFonts w:ascii="Arial" w:eastAsia="宋体" w:hAnsi="Arial" w:cs="Arial"/>
          <w:i/>
          <w:iCs/>
          <w:color w:val="000000"/>
          <w:sz w:val="17"/>
          <w:szCs w:val="17"/>
        </w:rPr>
        <w:t>Altera Corp. v. Commissioner</w:t>
      </w:r>
      <w:r>
        <w:rPr>
          <w:rFonts w:ascii="Arial" w:eastAsia="宋体" w:hAnsi="Arial" w:cs="Arial"/>
          <w:color w:val="000000"/>
          <w:sz w:val="17"/>
          <w:szCs w:val="17"/>
        </w:rPr>
        <w:t xml:space="preserve"> where the taxpayer was denied a hearing before the U.S. Supreme Court on June 22, 2020, thereby ratifying the Ninth Circuit Court's decision and requiring the inclusion of stock-based compensation in intercompany cost-sharing arrangements.</w:t>
      </w:r>
    </w:p>
    <w:p w14:paraId="1D025903" w14:textId="77777777" w:rsidR="004421F6" w:rsidRDefault="00F15622">
      <w:pPr>
        <w:spacing w:before="120" w:after="120"/>
      </w:pPr>
      <w:r>
        <w:rPr>
          <w:rFonts w:ascii="Arial" w:eastAsia="宋体" w:hAnsi="Arial" w:cs="Arial"/>
          <w:color w:val="000000"/>
          <w:sz w:val="17"/>
          <w:szCs w:val="17"/>
        </w:rPr>
        <w:t>As of August 31</w:t>
      </w:r>
      <w:r>
        <w:rPr>
          <w:rFonts w:ascii="Arial" w:eastAsia="宋体" w:hAnsi="Arial" w:cs="Arial"/>
          <w:color w:val="000000"/>
          <w:sz w:val="17"/>
          <w:szCs w:val="17"/>
        </w:rPr>
        <w:t xml:space="preserve">, 2020, total gross unrecognized tax benefits, excluding related interest and penalties, were $860 million, $584 million of which would affect the Company's effective tax rate if recognized in future periods. During the three months ended August 31, 2020, </w:t>
      </w:r>
      <w:r>
        <w:rPr>
          <w:rFonts w:ascii="Arial" w:eastAsia="宋体" w:hAnsi="Arial" w:cs="Arial"/>
          <w:color w:val="000000"/>
          <w:sz w:val="17"/>
          <w:szCs w:val="17"/>
        </w:rPr>
        <w:t xml:space="preserve">the Company recognized $77 million of gross unrecognized tax benefits related to </w:t>
      </w:r>
      <w:r>
        <w:rPr>
          <w:rFonts w:ascii="Arial" w:eastAsia="宋体" w:hAnsi="Arial" w:cs="Arial"/>
          <w:i/>
          <w:iCs/>
          <w:color w:val="000000"/>
          <w:sz w:val="17"/>
          <w:szCs w:val="17"/>
        </w:rPr>
        <w:t xml:space="preserve">Altera Corp. v. Commissioner </w:t>
      </w:r>
      <w:r>
        <w:rPr>
          <w:rFonts w:ascii="Arial" w:eastAsia="宋体" w:hAnsi="Arial" w:cs="Arial"/>
          <w:color w:val="000000"/>
          <w:sz w:val="17"/>
          <w:szCs w:val="17"/>
        </w:rPr>
        <w:t xml:space="preserve">discussed above, of which $71 million impacted the effective tax rate. The majority of the total gross unrecognized tax benefits are long-term in </w:t>
      </w:r>
      <w:r>
        <w:rPr>
          <w:rFonts w:ascii="Arial" w:eastAsia="宋体" w:hAnsi="Arial" w:cs="Arial"/>
          <w:color w:val="000000"/>
          <w:sz w:val="17"/>
          <w:szCs w:val="17"/>
        </w:rPr>
        <w:t>nature and included within Deferred income taxes and other liabilities on the Unaudited Condensed Consolidated Balance Sheets. As of May 31, 2020, total gross unrecognized tax benefits, excluding related interest and penalties, were $771 million. The liabi</w:t>
      </w:r>
      <w:r>
        <w:rPr>
          <w:rFonts w:ascii="Arial" w:eastAsia="宋体" w:hAnsi="Arial" w:cs="Arial"/>
          <w:color w:val="000000"/>
          <w:sz w:val="17"/>
          <w:szCs w:val="17"/>
        </w:rPr>
        <w:t>lity for payment of interest and penalties increased by $21 million during the three months ended August 31, 2020. As of August 31, 2020 and May 31, 2020, accrued interest and penalties related to uncertain tax positions were $179 million and $158 million,</w:t>
      </w:r>
      <w:r>
        <w:rPr>
          <w:rFonts w:ascii="Arial" w:eastAsia="宋体" w:hAnsi="Arial" w:cs="Arial"/>
          <w:color w:val="000000"/>
          <w:sz w:val="17"/>
          <w:szCs w:val="17"/>
        </w:rPr>
        <w:t xml:space="preserve"> respectively (excluding federal benefit).</w:t>
      </w:r>
    </w:p>
    <w:p w14:paraId="1D025904" w14:textId="77777777" w:rsidR="004421F6" w:rsidRDefault="00F15622">
      <w:pPr>
        <w:spacing w:before="120" w:after="120"/>
      </w:pPr>
      <w:r>
        <w:rPr>
          <w:rFonts w:ascii="Arial" w:eastAsia="宋体" w:hAnsi="Arial" w:cs="Arial"/>
          <w:color w:val="000000"/>
          <w:sz w:val="17"/>
          <w:szCs w:val="17"/>
        </w:rPr>
        <w:t xml:space="preserve">The Company is subject to taxation in the United States, as well as various state and foreign jurisdictions. The Company is currently under audit by the U.S. Internal Revenue Service ("IRS") for fiscal years 2017 </w:t>
      </w:r>
      <w:r>
        <w:rPr>
          <w:rFonts w:ascii="Arial" w:eastAsia="宋体" w:hAnsi="Arial" w:cs="Arial"/>
          <w:color w:val="000000"/>
          <w:sz w:val="17"/>
          <w:szCs w:val="17"/>
        </w:rPr>
        <w:t xml:space="preserve">through 2019. The Company has closed all U.S. federal income tax matters through fiscal 2016, with the exception of certain transfer pricing adjustments. </w:t>
      </w:r>
    </w:p>
    <w:p w14:paraId="1D025905" w14:textId="77777777" w:rsidR="004421F6" w:rsidRDefault="00F15622">
      <w:pPr>
        <w:spacing w:before="120" w:after="120"/>
        <w:jc w:val="right"/>
      </w:pPr>
      <w:r>
        <w:rPr>
          <w:rFonts w:ascii="Arial" w:eastAsia="宋体" w:hAnsi="Arial" w:cs="Arial"/>
          <w:color w:val="E87722"/>
          <w:sz w:val="17"/>
          <w:szCs w:val="17"/>
        </w:rPr>
        <w:t>9</w:t>
      </w:r>
    </w:p>
    <w:p w14:paraId="1D025906" w14:textId="77777777" w:rsidR="004421F6" w:rsidRDefault="00F15622">
      <w:r>
        <w:pict w14:anchorId="1D027284">
          <v:rect id="_x0000_i1035" style="width:415.3pt;height:1.5pt" o:hralign="center" o:hrstd="t" o:hr="t" fillcolor="#a0a0a0" stroked="f"/>
        </w:pict>
      </w:r>
    </w:p>
    <w:p w14:paraId="1D025907" w14:textId="77777777" w:rsidR="004421F6" w:rsidRDefault="004421F6"/>
    <w:p w14:paraId="1D025908" w14:textId="77777777" w:rsidR="004421F6" w:rsidRDefault="00F15622">
      <w:hyperlink r:id="rId80" w:anchor="i3e524f2e23844e81ba9d33a05ac3917c_7" w:history="1">
        <w:r>
          <w:rPr>
            <w:rStyle w:val="a5"/>
            <w:rFonts w:ascii="sans-serif" w:eastAsia="sans-serif" w:hAnsi="sans-serif" w:cs="sans-serif"/>
            <w:sz w:val="17"/>
            <w:szCs w:val="17"/>
          </w:rPr>
          <w:t>Table of Contents</w:t>
        </w:r>
      </w:hyperlink>
    </w:p>
    <w:p w14:paraId="1D025909" w14:textId="77777777" w:rsidR="004421F6" w:rsidRDefault="004421F6"/>
    <w:p w14:paraId="1D02590A" w14:textId="77777777" w:rsidR="004421F6" w:rsidRDefault="00F15622">
      <w:pPr>
        <w:spacing w:before="120" w:after="120"/>
      </w:pPr>
      <w:r>
        <w:rPr>
          <w:rFonts w:ascii="Arial" w:eastAsia="宋体" w:hAnsi="Arial" w:cs="Arial"/>
          <w:color w:val="000000"/>
          <w:sz w:val="17"/>
          <w:szCs w:val="17"/>
        </w:rPr>
        <w:t>Tax years after 2009 remain open in certain major foreign jurisdictions. Although the</w:t>
      </w:r>
      <w:r>
        <w:rPr>
          <w:rFonts w:ascii="Arial" w:eastAsia="宋体" w:hAnsi="Arial" w:cs="Arial"/>
          <w:color w:val="000000"/>
          <w:sz w:val="17"/>
          <w:szCs w:val="17"/>
        </w:rPr>
        <w:t xml:space="preserve"> timing of resolution of audits is not certain, the Company evaluates all domestic and foreign audit issues in the aggregate, along with the expiration of applicable statutes of limitations, and estimates that it is reasonably possible the total gross unre</w:t>
      </w:r>
      <w:r>
        <w:rPr>
          <w:rFonts w:ascii="Arial" w:eastAsia="宋体" w:hAnsi="Arial" w:cs="Arial"/>
          <w:color w:val="000000"/>
          <w:sz w:val="17"/>
          <w:szCs w:val="17"/>
        </w:rPr>
        <w:t>cognized tax benefits could decrease by up to $50 million within the next 12 months. In January 2019, the European Commission opened a formal investigation to examine whether the Netherlands has breached State Aid rules when granting certain tax rulings to</w:t>
      </w:r>
      <w:r>
        <w:rPr>
          <w:rFonts w:ascii="Arial" w:eastAsia="宋体" w:hAnsi="Arial" w:cs="Arial"/>
          <w:color w:val="000000"/>
          <w:sz w:val="17"/>
          <w:szCs w:val="17"/>
        </w:rPr>
        <w:t xml:space="preserve"> the Company. The Company believes the investigation is without merit. If this matter is adversely resolved, the Netherlands may be required to assess additional amounts with respect to current and prior periods, and the Company's Netherlands income taxes </w:t>
      </w:r>
      <w:r>
        <w:rPr>
          <w:rFonts w:ascii="Arial" w:eastAsia="宋体" w:hAnsi="Arial" w:cs="Arial"/>
          <w:color w:val="000000"/>
          <w:sz w:val="17"/>
          <w:szCs w:val="17"/>
        </w:rPr>
        <w:t>in the future could increase.</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421F6" w14:paraId="1D02590E" w14:textId="77777777">
        <w:tc>
          <w:tcPr>
            <w:tcW w:w="50" w:type="pct"/>
            <w:shd w:val="clear" w:color="auto" w:fill="auto"/>
          </w:tcPr>
          <w:p w14:paraId="1D02590B" w14:textId="77777777" w:rsidR="004421F6" w:rsidRDefault="004421F6">
            <w:pPr>
              <w:rPr>
                <w:rFonts w:ascii="宋体"/>
              </w:rPr>
            </w:pPr>
          </w:p>
        </w:tc>
        <w:tc>
          <w:tcPr>
            <w:tcW w:w="4945" w:type="pct"/>
            <w:shd w:val="clear" w:color="auto" w:fill="auto"/>
          </w:tcPr>
          <w:p w14:paraId="1D02590C" w14:textId="77777777" w:rsidR="004421F6" w:rsidRDefault="004421F6">
            <w:pPr>
              <w:rPr>
                <w:rFonts w:ascii="宋体"/>
              </w:rPr>
            </w:pPr>
          </w:p>
        </w:tc>
        <w:tc>
          <w:tcPr>
            <w:tcW w:w="5" w:type="pct"/>
            <w:shd w:val="clear" w:color="auto" w:fill="auto"/>
          </w:tcPr>
          <w:p w14:paraId="1D02590D" w14:textId="77777777" w:rsidR="004421F6" w:rsidRDefault="004421F6">
            <w:pPr>
              <w:rPr>
                <w:rFonts w:ascii="宋体"/>
              </w:rPr>
            </w:pPr>
          </w:p>
        </w:tc>
      </w:tr>
      <w:tr w:rsidR="004421F6" w14:paraId="1D025910" w14:textId="77777777">
        <w:tc>
          <w:tcPr>
            <w:tcW w:w="0" w:type="auto"/>
            <w:gridSpan w:val="3"/>
            <w:shd w:val="clear" w:color="auto" w:fill="auto"/>
            <w:tcMar>
              <w:top w:w="40" w:type="dxa"/>
              <w:left w:w="20" w:type="dxa"/>
              <w:bottom w:w="40" w:type="dxa"/>
              <w:right w:w="20" w:type="dxa"/>
            </w:tcMar>
            <w:vAlign w:val="bottom"/>
          </w:tcPr>
          <w:p w14:paraId="1D02590F" w14:textId="77777777" w:rsidR="004421F6" w:rsidRDefault="00F15622">
            <w:pPr>
              <w:textAlignment w:val="bottom"/>
            </w:pPr>
            <w:r>
              <w:rPr>
                <w:rFonts w:ascii="sans-serif" w:eastAsia="sans-serif" w:hAnsi="sans-serif" w:cs="sans-serif"/>
                <w:b/>
                <w:bCs/>
                <w:color w:val="E87722"/>
                <w:sz w:val="36"/>
                <w:szCs w:val="36"/>
              </w:rPr>
              <w:t>NOTE 7 — STOCK-BASED COMPENSATION</w:t>
            </w:r>
          </w:p>
        </w:tc>
      </w:tr>
    </w:tbl>
    <w:p w14:paraId="1D025911" w14:textId="77777777" w:rsidR="004421F6" w:rsidRDefault="00F15622">
      <w:pPr>
        <w:spacing w:before="180" w:after="120"/>
      </w:pPr>
      <w:r>
        <w:rPr>
          <w:rFonts w:ascii="sans-serif" w:eastAsia="sans-serif" w:hAnsi="sans-serif" w:cs="sans-serif"/>
          <w:b/>
          <w:bCs/>
          <w:color w:val="000000"/>
          <w:sz w:val="28"/>
          <w:szCs w:val="28"/>
        </w:rPr>
        <w:t>STOCK-BASED COMPENSATION</w:t>
      </w:r>
    </w:p>
    <w:p w14:paraId="1D025912" w14:textId="77777777" w:rsidR="004421F6" w:rsidRDefault="00F15622">
      <w:pPr>
        <w:spacing w:before="120" w:after="120"/>
      </w:pPr>
      <w:r>
        <w:rPr>
          <w:rFonts w:ascii="Arial" w:eastAsia="宋体" w:hAnsi="Arial" w:cs="Arial"/>
          <w:color w:val="000000"/>
          <w:sz w:val="17"/>
          <w:szCs w:val="17"/>
        </w:rPr>
        <w:t xml:space="preserve">The NIKE, Inc. Stock Incentive Plan (the “Stock Incentive Plan”) provides for the issuance of up to 798 million previously unissued shares of Class B Common Stock in connection with equity awards granted under the Stock Incentive Plan. The Stock Incentive </w:t>
      </w:r>
      <w:r>
        <w:rPr>
          <w:rFonts w:ascii="Arial" w:eastAsia="宋体" w:hAnsi="Arial" w:cs="Arial"/>
          <w:color w:val="000000"/>
          <w:sz w:val="17"/>
          <w:szCs w:val="17"/>
        </w:rPr>
        <w:t>Plan authorizes the grant of non-statutory stock options, incentive stock options, stock appreciation rights, restricted stock, restricted stock units and performance-based awards. In addition to the Stock Incentive Plan, the Company gives employees the ri</w:t>
      </w:r>
      <w:r>
        <w:rPr>
          <w:rFonts w:ascii="Arial" w:eastAsia="宋体" w:hAnsi="Arial" w:cs="Arial"/>
          <w:color w:val="000000"/>
          <w:sz w:val="17"/>
          <w:szCs w:val="17"/>
        </w:rPr>
        <w:t>ght to purchase shares at a discount from the market price under employee stock purchase plans (ESPPs). Refer to Note 11 — Common Stock and Stock-Based Compensation of the Annual Report on Form 10-K for the fiscal year ended May 31, 2020 for further inform</w:t>
      </w:r>
      <w:r>
        <w:rPr>
          <w:rFonts w:ascii="Arial" w:eastAsia="宋体" w:hAnsi="Arial" w:cs="Arial"/>
          <w:color w:val="000000"/>
          <w:sz w:val="17"/>
          <w:szCs w:val="17"/>
        </w:rPr>
        <w:t xml:space="preserve">ation. </w:t>
      </w:r>
    </w:p>
    <w:p w14:paraId="1D025913" w14:textId="77777777" w:rsidR="004421F6" w:rsidRDefault="00F15622">
      <w:pPr>
        <w:spacing w:before="120"/>
      </w:pPr>
      <w:r>
        <w:rPr>
          <w:rFonts w:ascii="Arial" w:eastAsia="宋体" w:hAnsi="Arial" w:cs="Arial"/>
          <w:color w:val="000000"/>
          <w:sz w:val="17"/>
          <w:szCs w:val="17"/>
        </w:rPr>
        <w:t>The following table summarizes the Company's total stock-based compensation expense recognized in Cost of sales or Operating overhead expense, as applicable: </w:t>
      </w:r>
    </w:p>
    <w:tbl>
      <w:tblPr>
        <w:tblW w:w="5000" w:type="pct"/>
        <w:tblCellMar>
          <w:top w:w="15" w:type="dxa"/>
          <w:left w:w="15" w:type="dxa"/>
          <w:bottom w:w="15" w:type="dxa"/>
          <w:right w:w="15" w:type="dxa"/>
        </w:tblCellMar>
        <w:tblLook w:val="04A0" w:firstRow="1" w:lastRow="0" w:firstColumn="1" w:lastColumn="0" w:noHBand="0" w:noVBand="1"/>
      </w:tblPr>
      <w:tblGrid>
        <w:gridCol w:w="40"/>
        <w:gridCol w:w="6026"/>
        <w:gridCol w:w="38"/>
        <w:gridCol w:w="130"/>
        <w:gridCol w:w="891"/>
        <w:gridCol w:w="41"/>
        <w:gridCol w:w="130"/>
        <w:gridCol w:w="891"/>
        <w:gridCol w:w="41"/>
        <w:gridCol w:w="36"/>
        <w:gridCol w:w="36"/>
        <w:gridCol w:w="36"/>
      </w:tblGrid>
      <w:tr w:rsidR="004421F6" w14:paraId="1D02591D" w14:textId="77777777">
        <w:trPr>
          <w:gridAfter w:val="3"/>
        </w:trPr>
        <w:tc>
          <w:tcPr>
            <w:tcW w:w="50" w:type="pct"/>
            <w:shd w:val="clear" w:color="auto" w:fill="auto"/>
          </w:tcPr>
          <w:p w14:paraId="1D025914" w14:textId="77777777" w:rsidR="004421F6" w:rsidRDefault="004421F6">
            <w:pPr>
              <w:rPr>
                <w:rFonts w:ascii="宋体"/>
              </w:rPr>
            </w:pPr>
          </w:p>
        </w:tc>
        <w:tc>
          <w:tcPr>
            <w:tcW w:w="3695" w:type="pct"/>
            <w:shd w:val="clear" w:color="auto" w:fill="auto"/>
          </w:tcPr>
          <w:p w14:paraId="1D025915" w14:textId="77777777" w:rsidR="004421F6" w:rsidRDefault="004421F6">
            <w:pPr>
              <w:rPr>
                <w:rFonts w:ascii="宋体"/>
              </w:rPr>
            </w:pPr>
          </w:p>
        </w:tc>
        <w:tc>
          <w:tcPr>
            <w:tcW w:w="5" w:type="pct"/>
            <w:shd w:val="clear" w:color="auto" w:fill="auto"/>
          </w:tcPr>
          <w:p w14:paraId="1D025916" w14:textId="77777777" w:rsidR="004421F6" w:rsidRDefault="004421F6">
            <w:pPr>
              <w:rPr>
                <w:rFonts w:ascii="宋体"/>
              </w:rPr>
            </w:pPr>
          </w:p>
        </w:tc>
        <w:tc>
          <w:tcPr>
            <w:tcW w:w="50" w:type="pct"/>
            <w:shd w:val="clear" w:color="auto" w:fill="auto"/>
          </w:tcPr>
          <w:p w14:paraId="1D025917" w14:textId="77777777" w:rsidR="004421F6" w:rsidRDefault="004421F6">
            <w:pPr>
              <w:rPr>
                <w:rFonts w:ascii="宋体"/>
              </w:rPr>
            </w:pPr>
          </w:p>
        </w:tc>
        <w:tc>
          <w:tcPr>
            <w:tcW w:w="570" w:type="pct"/>
            <w:shd w:val="clear" w:color="auto" w:fill="auto"/>
          </w:tcPr>
          <w:p w14:paraId="1D025918" w14:textId="77777777" w:rsidR="004421F6" w:rsidRDefault="004421F6">
            <w:pPr>
              <w:rPr>
                <w:rFonts w:ascii="宋体"/>
              </w:rPr>
            </w:pPr>
          </w:p>
        </w:tc>
        <w:tc>
          <w:tcPr>
            <w:tcW w:w="5" w:type="pct"/>
            <w:shd w:val="clear" w:color="auto" w:fill="auto"/>
          </w:tcPr>
          <w:p w14:paraId="1D025919" w14:textId="77777777" w:rsidR="004421F6" w:rsidRDefault="004421F6">
            <w:pPr>
              <w:rPr>
                <w:rFonts w:ascii="宋体"/>
              </w:rPr>
            </w:pPr>
          </w:p>
        </w:tc>
        <w:tc>
          <w:tcPr>
            <w:tcW w:w="50" w:type="pct"/>
            <w:shd w:val="clear" w:color="auto" w:fill="auto"/>
          </w:tcPr>
          <w:p w14:paraId="1D02591A" w14:textId="77777777" w:rsidR="004421F6" w:rsidRDefault="004421F6">
            <w:pPr>
              <w:rPr>
                <w:rFonts w:ascii="宋体"/>
              </w:rPr>
            </w:pPr>
          </w:p>
        </w:tc>
        <w:tc>
          <w:tcPr>
            <w:tcW w:w="570" w:type="pct"/>
            <w:shd w:val="clear" w:color="auto" w:fill="auto"/>
          </w:tcPr>
          <w:p w14:paraId="1D02591B" w14:textId="77777777" w:rsidR="004421F6" w:rsidRDefault="004421F6">
            <w:pPr>
              <w:rPr>
                <w:rFonts w:ascii="宋体"/>
              </w:rPr>
            </w:pPr>
          </w:p>
        </w:tc>
        <w:tc>
          <w:tcPr>
            <w:tcW w:w="5" w:type="pct"/>
            <w:shd w:val="clear" w:color="auto" w:fill="auto"/>
          </w:tcPr>
          <w:p w14:paraId="1D02591C" w14:textId="77777777" w:rsidR="004421F6" w:rsidRDefault="004421F6">
            <w:pPr>
              <w:rPr>
                <w:rFonts w:ascii="宋体"/>
              </w:rPr>
            </w:pPr>
          </w:p>
        </w:tc>
      </w:tr>
      <w:tr w:rsidR="004421F6" w14:paraId="1D025921" w14:textId="77777777">
        <w:tc>
          <w:tcPr>
            <w:tcW w:w="0" w:type="auto"/>
            <w:gridSpan w:val="3"/>
            <w:shd w:val="clear" w:color="auto" w:fill="auto"/>
            <w:tcMar>
              <w:top w:w="40" w:type="dxa"/>
              <w:left w:w="20" w:type="dxa"/>
              <w:bottom w:w="40" w:type="dxa"/>
              <w:right w:w="20" w:type="dxa"/>
            </w:tcMar>
            <w:vAlign w:val="bottom"/>
          </w:tcPr>
          <w:p w14:paraId="1D02591E" w14:textId="77777777" w:rsidR="004421F6" w:rsidRDefault="00F15622">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1D02591F"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5920" w14:textId="77777777" w:rsidR="004421F6" w:rsidRDefault="004421F6">
            <w:pPr>
              <w:rPr>
                <w:rFonts w:ascii="宋体"/>
                <w:vanish/>
              </w:rPr>
            </w:pPr>
          </w:p>
        </w:tc>
      </w:tr>
      <w:tr w:rsidR="004421F6" w14:paraId="1D025928" w14:textId="77777777">
        <w:tc>
          <w:tcPr>
            <w:tcW w:w="0" w:type="auto"/>
            <w:gridSpan w:val="3"/>
            <w:shd w:val="clear" w:color="auto" w:fill="auto"/>
            <w:tcMar>
              <w:top w:w="40" w:type="dxa"/>
              <w:left w:w="20" w:type="dxa"/>
              <w:bottom w:w="40" w:type="dxa"/>
              <w:right w:w="20" w:type="dxa"/>
            </w:tcMar>
            <w:vAlign w:val="bottom"/>
          </w:tcPr>
          <w:p w14:paraId="1D025922"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923"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924"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shd w:val="clear" w:color="auto" w:fill="auto"/>
          </w:tcPr>
          <w:p w14:paraId="1D025925" w14:textId="77777777" w:rsidR="004421F6" w:rsidRDefault="004421F6">
            <w:pPr>
              <w:rPr>
                <w:rFonts w:ascii="宋体"/>
              </w:rPr>
            </w:pPr>
          </w:p>
        </w:tc>
        <w:tc>
          <w:tcPr>
            <w:tcW w:w="0" w:type="auto"/>
            <w:shd w:val="clear" w:color="auto" w:fill="auto"/>
          </w:tcPr>
          <w:p w14:paraId="1D025926" w14:textId="77777777" w:rsidR="004421F6" w:rsidRDefault="004421F6">
            <w:pPr>
              <w:rPr>
                <w:rFonts w:ascii="宋体"/>
              </w:rPr>
            </w:pPr>
          </w:p>
        </w:tc>
        <w:tc>
          <w:tcPr>
            <w:tcW w:w="0" w:type="auto"/>
            <w:shd w:val="clear" w:color="auto" w:fill="auto"/>
          </w:tcPr>
          <w:p w14:paraId="1D025927" w14:textId="77777777" w:rsidR="004421F6" w:rsidRDefault="004421F6">
            <w:pPr>
              <w:rPr>
                <w:rFonts w:ascii="宋体"/>
              </w:rPr>
            </w:pPr>
          </w:p>
        </w:tc>
      </w:tr>
      <w:tr w:rsidR="004421F6" w14:paraId="1D02593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929" w14:textId="77777777" w:rsidR="004421F6" w:rsidRDefault="00F15622">
            <w:pPr>
              <w:textAlignment w:val="bottom"/>
            </w:pPr>
            <w:r>
              <w:rPr>
                <w:rFonts w:ascii="Arial" w:eastAsia="宋体" w:hAnsi="Arial" w:cs="Arial"/>
                <w:color w:val="000000"/>
                <w:sz w:val="17"/>
                <w:szCs w:val="17"/>
              </w:rPr>
              <w:t>Stock options</w:t>
            </w:r>
            <w:r>
              <w:rPr>
                <w:rFonts w:ascii="Arial" w:eastAsia="宋体" w:hAnsi="Arial" w:cs="Arial"/>
                <w:color w:val="000000"/>
                <w:sz w:val="9"/>
                <w:szCs w:val="9"/>
              </w:rPr>
              <w:t>(1)</w:t>
            </w:r>
          </w:p>
        </w:tc>
        <w:tc>
          <w:tcPr>
            <w:tcW w:w="0" w:type="auto"/>
            <w:tcBorders>
              <w:top w:val="single" w:sz="8" w:space="0" w:color="E87722"/>
            </w:tcBorders>
            <w:shd w:val="clear" w:color="auto" w:fill="FFF1E7"/>
            <w:tcMar>
              <w:top w:w="40" w:type="dxa"/>
              <w:left w:w="20" w:type="dxa"/>
              <w:bottom w:w="40" w:type="dxa"/>
            </w:tcMar>
            <w:vAlign w:val="bottom"/>
          </w:tcPr>
          <w:p w14:paraId="1D02592A"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592B" w14:textId="77777777" w:rsidR="004421F6" w:rsidRDefault="00F15622">
            <w:pPr>
              <w:jc w:val="right"/>
              <w:textAlignment w:val="bottom"/>
            </w:pPr>
            <w:r>
              <w:rPr>
                <w:rFonts w:ascii="Arial" w:eastAsia="宋体" w:hAnsi="Arial" w:cs="Arial"/>
                <w:color w:val="000000"/>
                <w:sz w:val="17"/>
                <w:szCs w:val="17"/>
              </w:rPr>
              <w:t>70 </w:t>
            </w:r>
          </w:p>
        </w:tc>
        <w:tc>
          <w:tcPr>
            <w:tcW w:w="0" w:type="auto"/>
            <w:tcBorders>
              <w:top w:val="single" w:sz="8" w:space="0" w:color="E87722"/>
            </w:tcBorders>
            <w:shd w:val="clear" w:color="auto" w:fill="FFF1E7"/>
            <w:tcMar>
              <w:top w:w="40" w:type="dxa"/>
              <w:bottom w:w="40" w:type="dxa"/>
              <w:right w:w="20" w:type="dxa"/>
            </w:tcMar>
            <w:vAlign w:val="bottom"/>
          </w:tcPr>
          <w:p w14:paraId="1D02592C"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92D"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92E" w14:textId="77777777" w:rsidR="004421F6" w:rsidRDefault="00F15622">
            <w:pPr>
              <w:jc w:val="right"/>
              <w:textAlignment w:val="bottom"/>
            </w:pPr>
            <w:r>
              <w:rPr>
                <w:rFonts w:ascii="Arial" w:eastAsia="宋体" w:hAnsi="Arial" w:cs="Arial"/>
                <w:color w:val="000000"/>
                <w:sz w:val="17"/>
                <w:szCs w:val="17"/>
              </w:rPr>
              <w:t>42 </w:t>
            </w:r>
          </w:p>
        </w:tc>
        <w:tc>
          <w:tcPr>
            <w:tcW w:w="0" w:type="auto"/>
            <w:tcBorders>
              <w:top w:val="single" w:sz="8" w:space="0" w:color="E87722"/>
            </w:tcBorders>
            <w:shd w:val="clear" w:color="auto" w:fill="auto"/>
            <w:tcMar>
              <w:top w:w="40" w:type="dxa"/>
              <w:bottom w:w="40" w:type="dxa"/>
              <w:right w:w="20" w:type="dxa"/>
            </w:tcMar>
            <w:vAlign w:val="bottom"/>
          </w:tcPr>
          <w:p w14:paraId="1D02592F" w14:textId="77777777" w:rsidR="004421F6" w:rsidRDefault="004421F6">
            <w:pPr>
              <w:jc w:val="right"/>
              <w:rPr>
                <w:rFonts w:ascii="宋体"/>
              </w:rPr>
            </w:pPr>
          </w:p>
        </w:tc>
        <w:tc>
          <w:tcPr>
            <w:tcW w:w="0" w:type="auto"/>
            <w:shd w:val="clear" w:color="auto" w:fill="auto"/>
          </w:tcPr>
          <w:p w14:paraId="1D025930" w14:textId="77777777" w:rsidR="004421F6" w:rsidRDefault="004421F6">
            <w:pPr>
              <w:rPr>
                <w:rFonts w:ascii="宋体"/>
              </w:rPr>
            </w:pPr>
          </w:p>
        </w:tc>
        <w:tc>
          <w:tcPr>
            <w:tcW w:w="0" w:type="auto"/>
            <w:shd w:val="clear" w:color="auto" w:fill="auto"/>
          </w:tcPr>
          <w:p w14:paraId="1D025931" w14:textId="77777777" w:rsidR="004421F6" w:rsidRDefault="004421F6">
            <w:pPr>
              <w:rPr>
                <w:rFonts w:ascii="宋体"/>
              </w:rPr>
            </w:pPr>
          </w:p>
        </w:tc>
        <w:tc>
          <w:tcPr>
            <w:tcW w:w="0" w:type="auto"/>
            <w:shd w:val="clear" w:color="auto" w:fill="auto"/>
          </w:tcPr>
          <w:p w14:paraId="1D025932" w14:textId="77777777" w:rsidR="004421F6" w:rsidRDefault="004421F6">
            <w:pPr>
              <w:rPr>
                <w:rFonts w:ascii="宋体"/>
              </w:rPr>
            </w:pPr>
          </w:p>
        </w:tc>
      </w:tr>
      <w:tr w:rsidR="004421F6" w14:paraId="1D02593C"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934" w14:textId="77777777" w:rsidR="004421F6" w:rsidRDefault="00F15622">
            <w:pPr>
              <w:textAlignment w:val="bottom"/>
            </w:pPr>
            <w:r>
              <w:rPr>
                <w:rFonts w:ascii="Arial" w:eastAsia="宋体" w:hAnsi="Arial" w:cs="Arial"/>
                <w:color w:val="000000"/>
                <w:sz w:val="17"/>
                <w:szCs w:val="17"/>
              </w:rPr>
              <w:t>ESPPs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935" w14:textId="77777777" w:rsidR="004421F6" w:rsidRDefault="00F15622">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FFF1E7"/>
            <w:tcMar>
              <w:top w:w="40" w:type="dxa"/>
              <w:bottom w:w="40" w:type="dxa"/>
              <w:right w:w="20" w:type="dxa"/>
            </w:tcMar>
            <w:vAlign w:val="bottom"/>
          </w:tcPr>
          <w:p w14:paraId="1D025936"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937" w14:textId="77777777" w:rsidR="004421F6" w:rsidRDefault="00F15622">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auto"/>
            <w:tcMar>
              <w:top w:w="40" w:type="dxa"/>
              <w:bottom w:w="40" w:type="dxa"/>
              <w:right w:w="20" w:type="dxa"/>
            </w:tcMar>
            <w:vAlign w:val="bottom"/>
          </w:tcPr>
          <w:p w14:paraId="1D025938" w14:textId="77777777" w:rsidR="004421F6" w:rsidRDefault="004421F6">
            <w:pPr>
              <w:jc w:val="right"/>
              <w:rPr>
                <w:rFonts w:ascii="宋体"/>
              </w:rPr>
            </w:pPr>
          </w:p>
        </w:tc>
        <w:tc>
          <w:tcPr>
            <w:tcW w:w="0" w:type="auto"/>
            <w:shd w:val="clear" w:color="auto" w:fill="auto"/>
          </w:tcPr>
          <w:p w14:paraId="1D025939" w14:textId="77777777" w:rsidR="004421F6" w:rsidRDefault="004421F6">
            <w:pPr>
              <w:rPr>
                <w:rFonts w:ascii="宋体"/>
              </w:rPr>
            </w:pPr>
          </w:p>
        </w:tc>
        <w:tc>
          <w:tcPr>
            <w:tcW w:w="0" w:type="auto"/>
            <w:shd w:val="clear" w:color="auto" w:fill="auto"/>
          </w:tcPr>
          <w:p w14:paraId="1D02593A" w14:textId="77777777" w:rsidR="004421F6" w:rsidRDefault="004421F6">
            <w:pPr>
              <w:rPr>
                <w:rFonts w:ascii="宋体"/>
              </w:rPr>
            </w:pPr>
          </w:p>
        </w:tc>
        <w:tc>
          <w:tcPr>
            <w:tcW w:w="0" w:type="auto"/>
            <w:shd w:val="clear" w:color="auto" w:fill="auto"/>
          </w:tcPr>
          <w:p w14:paraId="1D02593B" w14:textId="77777777" w:rsidR="004421F6" w:rsidRDefault="004421F6">
            <w:pPr>
              <w:rPr>
                <w:rFonts w:ascii="宋体"/>
              </w:rPr>
            </w:pPr>
          </w:p>
        </w:tc>
      </w:tr>
      <w:tr w:rsidR="004421F6" w14:paraId="1D02594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93D" w14:textId="77777777" w:rsidR="004421F6" w:rsidRDefault="00F15622">
            <w:pPr>
              <w:textAlignment w:val="bottom"/>
            </w:pPr>
            <w:r>
              <w:rPr>
                <w:rFonts w:ascii="Arial" w:eastAsia="宋体" w:hAnsi="Arial" w:cs="Arial"/>
                <w:color w:val="000000"/>
                <w:sz w:val="17"/>
                <w:szCs w:val="17"/>
              </w:rPr>
              <w:t>Restricted stock</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93E" w14:textId="77777777" w:rsidR="004421F6" w:rsidRDefault="00F15622">
            <w:pPr>
              <w:jc w:val="right"/>
              <w:textAlignment w:val="bottom"/>
            </w:pPr>
            <w:r>
              <w:rPr>
                <w:rFonts w:ascii="Arial" w:eastAsia="宋体" w:hAnsi="Arial" w:cs="Arial"/>
                <w:color w:val="000000"/>
                <w:sz w:val="17"/>
                <w:szCs w:val="17"/>
              </w:rPr>
              <w:t>48 </w:t>
            </w:r>
          </w:p>
        </w:tc>
        <w:tc>
          <w:tcPr>
            <w:tcW w:w="0" w:type="auto"/>
            <w:tcBorders>
              <w:top w:val="single" w:sz="8" w:space="0" w:color="808080"/>
            </w:tcBorders>
            <w:shd w:val="clear" w:color="auto" w:fill="FFF1E7"/>
            <w:tcMar>
              <w:top w:w="40" w:type="dxa"/>
              <w:bottom w:w="40" w:type="dxa"/>
              <w:right w:w="20" w:type="dxa"/>
            </w:tcMar>
            <w:vAlign w:val="bottom"/>
          </w:tcPr>
          <w:p w14:paraId="1D02593F"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940" w14:textId="77777777" w:rsidR="004421F6" w:rsidRDefault="00F15622">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bottom w:w="40" w:type="dxa"/>
              <w:right w:w="20" w:type="dxa"/>
            </w:tcMar>
            <w:vAlign w:val="bottom"/>
          </w:tcPr>
          <w:p w14:paraId="1D025941" w14:textId="77777777" w:rsidR="004421F6" w:rsidRDefault="004421F6">
            <w:pPr>
              <w:jc w:val="right"/>
              <w:rPr>
                <w:rFonts w:ascii="宋体"/>
              </w:rPr>
            </w:pPr>
          </w:p>
        </w:tc>
        <w:tc>
          <w:tcPr>
            <w:tcW w:w="0" w:type="auto"/>
            <w:shd w:val="clear" w:color="auto" w:fill="auto"/>
          </w:tcPr>
          <w:p w14:paraId="1D025942" w14:textId="77777777" w:rsidR="004421F6" w:rsidRDefault="004421F6">
            <w:pPr>
              <w:rPr>
                <w:rFonts w:ascii="宋体"/>
              </w:rPr>
            </w:pPr>
          </w:p>
        </w:tc>
        <w:tc>
          <w:tcPr>
            <w:tcW w:w="0" w:type="auto"/>
            <w:shd w:val="clear" w:color="auto" w:fill="auto"/>
          </w:tcPr>
          <w:p w14:paraId="1D025943" w14:textId="77777777" w:rsidR="004421F6" w:rsidRDefault="004421F6">
            <w:pPr>
              <w:rPr>
                <w:rFonts w:ascii="宋体"/>
              </w:rPr>
            </w:pPr>
          </w:p>
        </w:tc>
        <w:tc>
          <w:tcPr>
            <w:tcW w:w="0" w:type="auto"/>
            <w:shd w:val="clear" w:color="auto" w:fill="auto"/>
          </w:tcPr>
          <w:p w14:paraId="1D025944" w14:textId="77777777" w:rsidR="004421F6" w:rsidRDefault="004421F6">
            <w:pPr>
              <w:rPr>
                <w:rFonts w:ascii="宋体"/>
              </w:rPr>
            </w:pPr>
          </w:p>
        </w:tc>
      </w:tr>
      <w:tr w:rsidR="004421F6" w14:paraId="1D025950"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946" w14:textId="77777777" w:rsidR="004421F6" w:rsidRDefault="00F15622">
            <w:pPr>
              <w:textAlignment w:val="bottom"/>
            </w:pPr>
            <w:r>
              <w:rPr>
                <w:rFonts w:ascii="Arial" w:eastAsia="宋体" w:hAnsi="Arial" w:cs="Arial"/>
                <w:b/>
                <w:bCs/>
                <w:color w:val="000000"/>
                <w:sz w:val="17"/>
                <w:szCs w:val="17"/>
              </w:rPr>
              <w:t>TOTAL STOCK-BASED COMPENSATION EXPENSE</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947"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948" w14:textId="77777777" w:rsidR="004421F6" w:rsidRDefault="00F15622">
            <w:pPr>
              <w:jc w:val="right"/>
              <w:textAlignment w:val="bottom"/>
            </w:pPr>
            <w:r>
              <w:rPr>
                <w:rFonts w:ascii="Arial" w:eastAsia="宋体" w:hAnsi="Arial" w:cs="Arial"/>
                <w:b/>
                <w:bCs/>
                <w:color w:val="000000"/>
                <w:sz w:val="17"/>
                <w:szCs w:val="17"/>
              </w:rPr>
              <w:t>136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949"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94A"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94B" w14:textId="77777777" w:rsidR="004421F6" w:rsidRDefault="00F15622">
            <w:pPr>
              <w:jc w:val="right"/>
              <w:textAlignment w:val="bottom"/>
            </w:pPr>
            <w:r>
              <w:rPr>
                <w:rFonts w:ascii="Arial" w:eastAsia="宋体" w:hAnsi="Arial" w:cs="Arial"/>
                <w:b/>
                <w:bCs/>
                <w:color w:val="000000"/>
                <w:sz w:val="17"/>
                <w:szCs w:val="17"/>
              </w:rPr>
              <w:t>80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94C" w14:textId="77777777" w:rsidR="004421F6" w:rsidRDefault="004421F6">
            <w:pPr>
              <w:jc w:val="right"/>
              <w:rPr>
                <w:rFonts w:ascii="宋体"/>
              </w:rPr>
            </w:pPr>
          </w:p>
        </w:tc>
        <w:tc>
          <w:tcPr>
            <w:tcW w:w="0" w:type="auto"/>
            <w:shd w:val="clear" w:color="auto" w:fill="auto"/>
          </w:tcPr>
          <w:p w14:paraId="1D02594D" w14:textId="77777777" w:rsidR="004421F6" w:rsidRDefault="004421F6">
            <w:pPr>
              <w:rPr>
                <w:rFonts w:ascii="宋体"/>
              </w:rPr>
            </w:pPr>
          </w:p>
        </w:tc>
        <w:tc>
          <w:tcPr>
            <w:tcW w:w="0" w:type="auto"/>
            <w:shd w:val="clear" w:color="auto" w:fill="auto"/>
          </w:tcPr>
          <w:p w14:paraId="1D02594E" w14:textId="77777777" w:rsidR="004421F6" w:rsidRDefault="004421F6">
            <w:pPr>
              <w:rPr>
                <w:rFonts w:ascii="宋体"/>
              </w:rPr>
            </w:pPr>
          </w:p>
        </w:tc>
        <w:tc>
          <w:tcPr>
            <w:tcW w:w="0" w:type="auto"/>
            <w:shd w:val="clear" w:color="auto" w:fill="auto"/>
          </w:tcPr>
          <w:p w14:paraId="1D02594F" w14:textId="77777777" w:rsidR="004421F6" w:rsidRDefault="004421F6">
            <w:pPr>
              <w:rPr>
                <w:rFonts w:ascii="宋体"/>
              </w:rPr>
            </w:pPr>
          </w:p>
        </w:tc>
      </w:tr>
    </w:tbl>
    <w:p w14:paraId="1D025951" w14:textId="77777777" w:rsidR="004421F6" w:rsidRDefault="00F15622">
      <w:pPr>
        <w:spacing w:before="60" w:after="60"/>
        <w:ind w:hanging="360"/>
      </w:pPr>
      <w:r>
        <w:rPr>
          <w:rFonts w:ascii="Arial" w:eastAsia="宋体" w:hAnsi="Arial" w:cs="Arial"/>
          <w:i/>
          <w:iCs/>
          <w:color w:val="000000"/>
          <w:sz w:val="14"/>
          <w:szCs w:val="14"/>
        </w:rPr>
        <w:t xml:space="preserve">(1)Expense for stock options includes the expense associated with stock appreciation rights. </w:t>
      </w:r>
      <w:r>
        <w:rPr>
          <w:rFonts w:ascii="Arial" w:eastAsia="宋体" w:hAnsi="Arial" w:cs="Arial"/>
          <w:i/>
          <w:iCs/>
          <w:color w:val="000000"/>
          <w:sz w:val="14"/>
          <w:szCs w:val="14"/>
        </w:rPr>
        <w:t>Accelerated stock option expense is primarily recorded for employees meeting certain retirement eligibility requirements.</w:t>
      </w:r>
    </w:p>
    <w:p w14:paraId="1D025952" w14:textId="77777777" w:rsidR="004421F6" w:rsidRDefault="00F15622">
      <w:pPr>
        <w:spacing w:before="120" w:after="120"/>
      </w:pPr>
      <w:r>
        <w:rPr>
          <w:rFonts w:ascii="Arial" w:eastAsia="宋体" w:hAnsi="Arial" w:cs="Arial"/>
          <w:color w:val="000000"/>
          <w:sz w:val="17"/>
          <w:szCs w:val="17"/>
        </w:rPr>
        <w:t>The income tax benefit related to stock-based compensation expense was $81 million and $37 million for the three months ended August 3</w:t>
      </w:r>
      <w:r>
        <w:rPr>
          <w:rFonts w:ascii="Arial" w:eastAsia="宋体" w:hAnsi="Arial" w:cs="Arial"/>
          <w:color w:val="000000"/>
          <w:sz w:val="17"/>
          <w:szCs w:val="17"/>
        </w:rPr>
        <w:t>1, 2020 and 2019, respectively.</w:t>
      </w:r>
    </w:p>
    <w:p w14:paraId="1D025953" w14:textId="77777777" w:rsidR="004421F6" w:rsidRDefault="00F15622">
      <w:pPr>
        <w:spacing w:before="240" w:after="120"/>
      </w:pPr>
      <w:r>
        <w:rPr>
          <w:rFonts w:ascii="sans-serif" w:eastAsia="sans-serif" w:hAnsi="sans-serif" w:cs="sans-serif"/>
          <w:b/>
          <w:bCs/>
          <w:color w:val="000000"/>
          <w:sz w:val="28"/>
          <w:szCs w:val="28"/>
        </w:rPr>
        <w:t>STOCK OPTIONS</w:t>
      </w:r>
    </w:p>
    <w:p w14:paraId="1D025954" w14:textId="77777777" w:rsidR="004421F6" w:rsidRDefault="00F15622">
      <w:pPr>
        <w:spacing w:before="120"/>
      </w:pPr>
      <w:r>
        <w:rPr>
          <w:rFonts w:ascii="Arial" w:eastAsia="宋体" w:hAnsi="Arial" w:cs="Arial"/>
          <w:color w:val="000000"/>
          <w:sz w:val="17"/>
          <w:szCs w:val="17"/>
        </w:rPr>
        <w:t>The weighted average fair value per share of the options granted during the three months ended August 31, 2020 and 2019, computed as of the grant date using the Black-Scholes pricing model, was $22.55 and $18.3</w:t>
      </w:r>
      <w:r>
        <w:rPr>
          <w:rFonts w:ascii="Arial" w:eastAsia="宋体" w:hAnsi="Arial" w:cs="Arial"/>
          <w:color w:val="000000"/>
          <w:sz w:val="17"/>
          <w:szCs w:val="17"/>
        </w:rPr>
        <w:t>3, respectively. The weighted average assumptions used to estimate these fair values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995"/>
        <w:gridCol w:w="36"/>
        <w:gridCol w:w="38"/>
        <w:gridCol w:w="854"/>
        <w:gridCol w:w="188"/>
        <w:gridCol w:w="38"/>
        <w:gridCol w:w="855"/>
        <w:gridCol w:w="187"/>
        <w:gridCol w:w="36"/>
        <w:gridCol w:w="36"/>
        <w:gridCol w:w="36"/>
      </w:tblGrid>
      <w:tr w:rsidR="004421F6" w14:paraId="1D02595E" w14:textId="77777777">
        <w:trPr>
          <w:gridAfter w:val="3"/>
        </w:trPr>
        <w:tc>
          <w:tcPr>
            <w:tcW w:w="50" w:type="pct"/>
            <w:shd w:val="clear" w:color="auto" w:fill="auto"/>
          </w:tcPr>
          <w:p w14:paraId="1D025955" w14:textId="77777777" w:rsidR="004421F6" w:rsidRDefault="004421F6">
            <w:pPr>
              <w:rPr>
                <w:rFonts w:ascii="宋体"/>
              </w:rPr>
            </w:pPr>
          </w:p>
        </w:tc>
        <w:tc>
          <w:tcPr>
            <w:tcW w:w="3695" w:type="pct"/>
            <w:shd w:val="clear" w:color="auto" w:fill="auto"/>
          </w:tcPr>
          <w:p w14:paraId="1D025956" w14:textId="77777777" w:rsidR="004421F6" w:rsidRDefault="004421F6">
            <w:pPr>
              <w:rPr>
                <w:rFonts w:ascii="宋体"/>
              </w:rPr>
            </w:pPr>
          </w:p>
        </w:tc>
        <w:tc>
          <w:tcPr>
            <w:tcW w:w="5" w:type="pct"/>
            <w:shd w:val="clear" w:color="auto" w:fill="auto"/>
          </w:tcPr>
          <w:p w14:paraId="1D025957" w14:textId="77777777" w:rsidR="004421F6" w:rsidRDefault="004421F6">
            <w:pPr>
              <w:rPr>
                <w:rFonts w:ascii="宋体"/>
              </w:rPr>
            </w:pPr>
          </w:p>
        </w:tc>
        <w:tc>
          <w:tcPr>
            <w:tcW w:w="50" w:type="pct"/>
            <w:shd w:val="clear" w:color="auto" w:fill="auto"/>
          </w:tcPr>
          <w:p w14:paraId="1D025958" w14:textId="77777777" w:rsidR="004421F6" w:rsidRDefault="004421F6">
            <w:pPr>
              <w:rPr>
                <w:rFonts w:ascii="宋体"/>
              </w:rPr>
            </w:pPr>
          </w:p>
        </w:tc>
        <w:tc>
          <w:tcPr>
            <w:tcW w:w="570" w:type="pct"/>
            <w:shd w:val="clear" w:color="auto" w:fill="auto"/>
          </w:tcPr>
          <w:p w14:paraId="1D025959" w14:textId="77777777" w:rsidR="004421F6" w:rsidRDefault="004421F6">
            <w:pPr>
              <w:rPr>
                <w:rFonts w:ascii="宋体"/>
              </w:rPr>
            </w:pPr>
          </w:p>
        </w:tc>
        <w:tc>
          <w:tcPr>
            <w:tcW w:w="5" w:type="pct"/>
            <w:shd w:val="clear" w:color="auto" w:fill="auto"/>
          </w:tcPr>
          <w:p w14:paraId="1D02595A" w14:textId="77777777" w:rsidR="004421F6" w:rsidRDefault="004421F6">
            <w:pPr>
              <w:rPr>
                <w:rFonts w:ascii="宋体"/>
              </w:rPr>
            </w:pPr>
          </w:p>
        </w:tc>
        <w:tc>
          <w:tcPr>
            <w:tcW w:w="50" w:type="pct"/>
            <w:shd w:val="clear" w:color="auto" w:fill="auto"/>
          </w:tcPr>
          <w:p w14:paraId="1D02595B" w14:textId="77777777" w:rsidR="004421F6" w:rsidRDefault="004421F6">
            <w:pPr>
              <w:rPr>
                <w:rFonts w:ascii="宋体"/>
              </w:rPr>
            </w:pPr>
          </w:p>
        </w:tc>
        <w:tc>
          <w:tcPr>
            <w:tcW w:w="570" w:type="pct"/>
            <w:shd w:val="clear" w:color="auto" w:fill="auto"/>
          </w:tcPr>
          <w:p w14:paraId="1D02595C" w14:textId="77777777" w:rsidR="004421F6" w:rsidRDefault="004421F6">
            <w:pPr>
              <w:rPr>
                <w:rFonts w:ascii="宋体"/>
              </w:rPr>
            </w:pPr>
          </w:p>
        </w:tc>
        <w:tc>
          <w:tcPr>
            <w:tcW w:w="5" w:type="pct"/>
            <w:shd w:val="clear" w:color="auto" w:fill="auto"/>
          </w:tcPr>
          <w:p w14:paraId="1D02595D" w14:textId="77777777" w:rsidR="004421F6" w:rsidRDefault="004421F6">
            <w:pPr>
              <w:rPr>
                <w:rFonts w:ascii="宋体"/>
              </w:rPr>
            </w:pPr>
          </w:p>
        </w:tc>
      </w:tr>
      <w:tr w:rsidR="004421F6" w14:paraId="1D025962" w14:textId="77777777">
        <w:tc>
          <w:tcPr>
            <w:tcW w:w="0" w:type="auto"/>
            <w:gridSpan w:val="3"/>
            <w:shd w:val="clear" w:color="auto" w:fill="auto"/>
            <w:tcMar>
              <w:top w:w="40" w:type="dxa"/>
              <w:left w:w="20" w:type="dxa"/>
              <w:bottom w:w="40" w:type="dxa"/>
              <w:right w:w="20" w:type="dxa"/>
            </w:tcMar>
            <w:vAlign w:val="bottom"/>
          </w:tcPr>
          <w:p w14:paraId="1D02595F" w14:textId="77777777" w:rsidR="004421F6" w:rsidRDefault="00F15622">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1D025960"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5961" w14:textId="77777777" w:rsidR="004421F6" w:rsidRDefault="004421F6">
            <w:pPr>
              <w:rPr>
                <w:rFonts w:ascii="宋体"/>
                <w:vanish/>
              </w:rPr>
            </w:pPr>
          </w:p>
        </w:tc>
      </w:tr>
      <w:tr w:rsidR="004421F6" w14:paraId="1D025969" w14:textId="77777777">
        <w:tc>
          <w:tcPr>
            <w:tcW w:w="0" w:type="auto"/>
            <w:gridSpan w:val="3"/>
            <w:shd w:val="clear" w:color="auto" w:fill="auto"/>
            <w:tcMar>
              <w:left w:w="20" w:type="dxa"/>
              <w:right w:w="20" w:type="dxa"/>
            </w:tcMar>
            <w:vAlign w:val="bottom"/>
          </w:tcPr>
          <w:p w14:paraId="1D025963" w14:textId="77777777" w:rsidR="004421F6" w:rsidRDefault="004421F6">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964"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965"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shd w:val="clear" w:color="auto" w:fill="auto"/>
          </w:tcPr>
          <w:p w14:paraId="1D025966" w14:textId="77777777" w:rsidR="004421F6" w:rsidRDefault="004421F6">
            <w:pPr>
              <w:rPr>
                <w:rFonts w:ascii="宋体"/>
              </w:rPr>
            </w:pPr>
          </w:p>
        </w:tc>
        <w:tc>
          <w:tcPr>
            <w:tcW w:w="0" w:type="auto"/>
            <w:shd w:val="clear" w:color="auto" w:fill="auto"/>
          </w:tcPr>
          <w:p w14:paraId="1D025967" w14:textId="77777777" w:rsidR="004421F6" w:rsidRDefault="004421F6">
            <w:pPr>
              <w:rPr>
                <w:rFonts w:ascii="宋体"/>
              </w:rPr>
            </w:pPr>
          </w:p>
        </w:tc>
        <w:tc>
          <w:tcPr>
            <w:tcW w:w="0" w:type="auto"/>
            <w:shd w:val="clear" w:color="auto" w:fill="auto"/>
          </w:tcPr>
          <w:p w14:paraId="1D025968" w14:textId="77777777" w:rsidR="004421F6" w:rsidRDefault="004421F6">
            <w:pPr>
              <w:rPr>
                <w:rFonts w:ascii="宋体"/>
              </w:rPr>
            </w:pPr>
          </w:p>
        </w:tc>
      </w:tr>
      <w:tr w:rsidR="004421F6" w14:paraId="1D02597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96A" w14:textId="77777777" w:rsidR="004421F6" w:rsidRDefault="00F15622">
            <w:pPr>
              <w:textAlignment w:val="bottom"/>
            </w:pPr>
            <w:r>
              <w:rPr>
                <w:rFonts w:ascii="Arial" w:eastAsia="宋体" w:hAnsi="Arial" w:cs="Arial"/>
                <w:color w:val="000000"/>
                <w:sz w:val="17"/>
                <w:szCs w:val="17"/>
              </w:rPr>
              <w:t>Dividend yield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96B" w14:textId="77777777" w:rsidR="004421F6" w:rsidRDefault="00F15622">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FFF1E7"/>
            <w:tcMar>
              <w:top w:w="40" w:type="dxa"/>
              <w:bottom w:w="40" w:type="dxa"/>
              <w:right w:w="20" w:type="dxa"/>
            </w:tcMar>
            <w:vAlign w:val="bottom"/>
          </w:tcPr>
          <w:p w14:paraId="1D02596C"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96D" w14:textId="77777777" w:rsidR="004421F6" w:rsidRDefault="00F15622">
            <w:pPr>
              <w:jc w:val="right"/>
              <w:textAlignment w:val="bottom"/>
            </w:pPr>
            <w:r>
              <w:rPr>
                <w:rFonts w:ascii="Arial" w:eastAsia="宋体" w:hAnsi="Arial" w:cs="Arial"/>
                <w:color w:val="000000"/>
                <w:sz w:val="17"/>
                <w:szCs w:val="17"/>
              </w:rPr>
              <w:t>1.1 </w:t>
            </w:r>
          </w:p>
        </w:tc>
        <w:tc>
          <w:tcPr>
            <w:tcW w:w="0" w:type="auto"/>
            <w:tcBorders>
              <w:top w:val="single" w:sz="8" w:space="0" w:color="E87722"/>
            </w:tcBorders>
            <w:shd w:val="clear" w:color="auto" w:fill="auto"/>
            <w:tcMar>
              <w:top w:w="40" w:type="dxa"/>
              <w:bottom w:w="40" w:type="dxa"/>
              <w:right w:w="20" w:type="dxa"/>
            </w:tcMar>
            <w:vAlign w:val="bottom"/>
          </w:tcPr>
          <w:p w14:paraId="1D02596E"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596F" w14:textId="77777777" w:rsidR="004421F6" w:rsidRDefault="004421F6">
            <w:pPr>
              <w:rPr>
                <w:rFonts w:ascii="宋体"/>
              </w:rPr>
            </w:pPr>
          </w:p>
        </w:tc>
        <w:tc>
          <w:tcPr>
            <w:tcW w:w="0" w:type="auto"/>
            <w:shd w:val="clear" w:color="auto" w:fill="auto"/>
          </w:tcPr>
          <w:p w14:paraId="1D025970" w14:textId="77777777" w:rsidR="004421F6" w:rsidRDefault="004421F6">
            <w:pPr>
              <w:rPr>
                <w:rFonts w:ascii="宋体"/>
              </w:rPr>
            </w:pPr>
          </w:p>
        </w:tc>
        <w:tc>
          <w:tcPr>
            <w:tcW w:w="0" w:type="auto"/>
            <w:shd w:val="clear" w:color="auto" w:fill="auto"/>
          </w:tcPr>
          <w:p w14:paraId="1D025971" w14:textId="77777777" w:rsidR="004421F6" w:rsidRDefault="004421F6">
            <w:pPr>
              <w:rPr>
                <w:rFonts w:ascii="宋体"/>
              </w:rPr>
            </w:pPr>
          </w:p>
        </w:tc>
      </w:tr>
      <w:tr w:rsidR="004421F6" w14:paraId="1D02597B"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973" w14:textId="77777777" w:rsidR="004421F6" w:rsidRDefault="00F15622">
            <w:pPr>
              <w:textAlignment w:val="bottom"/>
            </w:pPr>
            <w:r>
              <w:rPr>
                <w:rFonts w:ascii="Arial" w:eastAsia="宋体" w:hAnsi="Arial" w:cs="Arial"/>
                <w:color w:val="000000"/>
                <w:sz w:val="17"/>
                <w:szCs w:val="17"/>
              </w:rPr>
              <w:t>Expected volatility</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974" w14:textId="77777777" w:rsidR="004421F6" w:rsidRDefault="00F15622">
            <w:pPr>
              <w:jc w:val="right"/>
              <w:textAlignment w:val="bottom"/>
            </w:pPr>
            <w:r>
              <w:rPr>
                <w:rFonts w:ascii="Arial" w:eastAsia="宋体" w:hAnsi="Arial" w:cs="Arial"/>
                <w:color w:val="000000"/>
                <w:sz w:val="17"/>
                <w:szCs w:val="17"/>
              </w:rPr>
              <w:t>27.2 </w:t>
            </w:r>
          </w:p>
        </w:tc>
        <w:tc>
          <w:tcPr>
            <w:tcW w:w="0" w:type="auto"/>
            <w:tcBorders>
              <w:top w:val="single" w:sz="8" w:space="0" w:color="808080"/>
            </w:tcBorders>
            <w:shd w:val="clear" w:color="auto" w:fill="FFF1E7"/>
            <w:tcMar>
              <w:top w:w="40" w:type="dxa"/>
              <w:bottom w:w="40" w:type="dxa"/>
              <w:right w:w="20" w:type="dxa"/>
            </w:tcMar>
            <w:vAlign w:val="bottom"/>
          </w:tcPr>
          <w:p w14:paraId="1D025975"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976" w14:textId="77777777" w:rsidR="004421F6" w:rsidRDefault="00F15622">
            <w:pPr>
              <w:jc w:val="right"/>
              <w:textAlignment w:val="bottom"/>
            </w:pPr>
            <w:r>
              <w:rPr>
                <w:rFonts w:ascii="Arial" w:eastAsia="宋体" w:hAnsi="Arial" w:cs="Arial"/>
                <w:color w:val="000000"/>
                <w:sz w:val="17"/>
                <w:szCs w:val="17"/>
              </w:rPr>
              <w:t>22.9 </w:t>
            </w:r>
          </w:p>
        </w:tc>
        <w:tc>
          <w:tcPr>
            <w:tcW w:w="0" w:type="auto"/>
            <w:tcBorders>
              <w:top w:val="single" w:sz="8" w:space="0" w:color="808080"/>
            </w:tcBorders>
            <w:shd w:val="clear" w:color="auto" w:fill="auto"/>
            <w:tcMar>
              <w:top w:w="40" w:type="dxa"/>
              <w:bottom w:w="40" w:type="dxa"/>
              <w:right w:w="20" w:type="dxa"/>
            </w:tcMar>
            <w:vAlign w:val="bottom"/>
          </w:tcPr>
          <w:p w14:paraId="1D025977"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5978" w14:textId="77777777" w:rsidR="004421F6" w:rsidRDefault="004421F6">
            <w:pPr>
              <w:rPr>
                <w:rFonts w:ascii="宋体"/>
              </w:rPr>
            </w:pPr>
          </w:p>
        </w:tc>
        <w:tc>
          <w:tcPr>
            <w:tcW w:w="0" w:type="auto"/>
            <w:shd w:val="clear" w:color="auto" w:fill="auto"/>
          </w:tcPr>
          <w:p w14:paraId="1D025979" w14:textId="77777777" w:rsidR="004421F6" w:rsidRDefault="004421F6">
            <w:pPr>
              <w:rPr>
                <w:rFonts w:ascii="宋体"/>
              </w:rPr>
            </w:pPr>
          </w:p>
        </w:tc>
        <w:tc>
          <w:tcPr>
            <w:tcW w:w="0" w:type="auto"/>
            <w:shd w:val="clear" w:color="auto" w:fill="auto"/>
          </w:tcPr>
          <w:p w14:paraId="1D02597A" w14:textId="77777777" w:rsidR="004421F6" w:rsidRDefault="004421F6">
            <w:pPr>
              <w:rPr>
                <w:rFonts w:ascii="宋体"/>
              </w:rPr>
            </w:pPr>
          </w:p>
        </w:tc>
      </w:tr>
      <w:tr w:rsidR="004421F6" w14:paraId="1D025982"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97C" w14:textId="77777777" w:rsidR="004421F6" w:rsidRDefault="00F15622">
            <w:pPr>
              <w:textAlignment w:val="bottom"/>
            </w:pPr>
            <w:r>
              <w:rPr>
                <w:rFonts w:ascii="Arial" w:eastAsia="宋体" w:hAnsi="Arial" w:cs="Arial"/>
                <w:color w:val="000000"/>
                <w:sz w:val="17"/>
                <w:szCs w:val="17"/>
              </w:rPr>
              <w:t xml:space="preserve">Weighted </w:t>
            </w:r>
            <w:r>
              <w:rPr>
                <w:rFonts w:ascii="Arial" w:eastAsia="宋体" w:hAnsi="Arial" w:cs="Arial"/>
                <w:color w:val="000000"/>
                <w:sz w:val="17"/>
                <w:szCs w:val="17"/>
              </w:rPr>
              <w:t>average expected life (in years)</w:t>
            </w:r>
          </w:p>
        </w:tc>
        <w:tc>
          <w:tcPr>
            <w:tcW w:w="0" w:type="auto"/>
            <w:gridSpan w:val="3"/>
            <w:tcBorders>
              <w:top w:val="single" w:sz="8" w:space="0" w:color="808080"/>
            </w:tcBorders>
            <w:shd w:val="clear" w:color="auto" w:fill="FFF1E7"/>
            <w:tcMar>
              <w:top w:w="40" w:type="dxa"/>
              <w:left w:w="20" w:type="dxa"/>
              <w:bottom w:w="40" w:type="dxa"/>
              <w:right w:w="20" w:type="dxa"/>
            </w:tcMar>
            <w:vAlign w:val="bottom"/>
          </w:tcPr>
          <w:p w14:paraId="1D02597D" w14:textId="77777777" w:rsidR="004421F6" w:rsidRDefault="00F15622">
            <w:pPr>
              <w:jc w:val="right"/>
              <w:textAlignment w:val="bottom"/>
            </w:pPr>
            <w:r>
              <w:rPr>
                <w:rFonts w:ascii="Arial" w:eastAsia="宋体" w:hAnsi="Arial" w:cs="Arial"/>
                <w:color w:val="000000"/>
                <w:sz w:val="17"/>
                <w:szCs w:val="17"/>
              </w:rPr>
              <w:t>6.0</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97E" w14:textId="77777777" w:rsidR="004421F6" w:rsidRDefault="00F15622">
            <w:pPr>
              <w:jc w:val="right"/>
              <w:textAlignment w:val="bottom"/>
            </w:pPr>
            <w:r>
              <w:rPr>
                <w:rFonts w:ascii="Arial" w:eastAsia="宋体" w:hAnsi="Arial" w:cs="Arial"/>
                <w:color w:val="000000"/>
                <w:sz w:val="17"/>
                <w:szCs w:val="17"/>
              </w:rPr>
              <w:t>6.0</w:t>
            </w:r>
          </w:p>
        </w:tc>
        <w:tc>
          <w:tcPr>
            <w:tcW w:w="0" w:type="auto"/>
            <w:shd w:val="clear" w:color="auto" w:fill="auto"/>
          </w:tcPr>
          <w:p w14:paraId="1D02597F" w14:textId="77777777" w:rsidR="004421F6" w:rsidRDefault="004421F6">
            <w:pPr>
              <w:rPr>
                <w:rFonts w:ascii="宋体"/>
              </w:rPr>
            </w:pPr>
          </w:p>
        </w:tc>
        <w:tc>
          <w:tcPr>
            <w:tcW w:w="0" w:type="auto"/>
            <w:shd w:val="clear" w:color="auto" w:fill="auto"/>
          </w:tcPr>
          <w:p w14:paraId="1D025980" w14:textId="77777777" w:rsidR="004421F6" w:rsidRDefault="004421F6">
            <w:pPr>
              <w:rPr>
                <w:rFonts w:ascii="宋体"/>
              </w:rPr>
            </w:pPr>
          </w:p>
        </w:tc>
        <w:tc>
          <w:tcPr>
            <w:tcW w:w="0" w:type="auto"/>
            <w:shd w:val="clear" w:color="auto" w:fill="auto"/>
          </w:tcPr>
          <w:p w14:paraId="1D025981" w14:textId="77777777" w:rsidR="004421F6" w:rsidRDefault="004421F6">
            <w:pPr>
              <w:rPr>
                <w:rFonts w:ascii="宋体"/>
              </w:rPr>
            </w:pPr>
          </w:p>
        </w:tc>
      </w:tr>
      <w:tr w:rsidR="004421F6" w14:paraId="1D02598B"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1D025983" w14:textId="77777777" w:rsidR="004421F6" w:rsidRDefault="00F15622">
            <w:pPr>
              <w:textAlignment w:val="bottom"/>
            </w:pPr>
            <w:r>
              <w:rPr>
                <w:rFonts w:ascii="Arial" w:eastAsia="宋体" w:hAnsi="Arial" w:cs="Arial"/>
                <w:color w:val="000000"/>
                <w:sz w:val="17"/>
                <w:szCs w:val="17"/>
              </w:rPr>
              <w:t>Risk-free interest rate</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1D025984" w14:textId="77777777" w:rsidR="004421F6" w:rsidRDefault="00F15622">
            <w:pPr>
              <w:jc w:val="right"/>
              <w:textAlignment w:val="bottom"/>
            </w:pPr>
            <w:r>
              <w:rPr>
                <w:rFonts w:ascii="Arial" w:eastAsia="宋体" w:hAnsi="Arial" w:cs="Arial"/>
                <w:color w:val="000000"/>
                <w:sz w:val="17"/>
                <w:szCs w:val="17"/>
              </w:rPr>
              <w:t>0.3 </w:t>
            </w:r>
          </w:p>
        </w:tc>
        <w:tc>
          <w:tcPr>
            <w:tcW w:w="0" w:type="auto"/>
            <w:tcBorders>
              <w:top w:val="single" w:sz="8" w:space="0" w:color="808080"/>
              <w:bottom w:val="single" w:sz="8" w:space="0" w:color="E87722"/>
            </w:tcBorders>
            <w:shd w:val="clear" w:color="auto" w:fill="FFF1E7"/>
            <w:tcMar>
              <w:top w:w="40" w:type="dxa"/>
              <w:bottom w:w="40" w:type="dxa"/>
              <w:right w:w="20" w:type="dxa"/>
            </w:tcMar>
            <w:vAlign w:val="bottom"/>
          </w:tcPr>
          <w:p w14:paraId="1D025985"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1D025986" w14:textId="77777777" w:rsidR="004421F6" w:rsidRDefault="00F15622">
            <w:pPr>
              <w:jc w:val="right"/>
              <w:textAlignment w:val="bottom"/>
            </w:pPr>
            <w:r>
              <w:rPr>
                <w:rFonts w:ascii="Arial" w:eastAsia="宋体" w:hAnsi="Arial" w:cs="Arial"/>
                <w:color w:val="000000"/>
                <w:sz w:val="17"/>
                <w:szCs w:val="17"/>
              </w:rPr>
              <w:t>1.7 </w:t>
            </w:r>
          </w:p>
        </w:tc>
        <w:tc>
          <w:tcPr>
            <w:tcW w:w="0" w:type="auto"/>
            <w:tcBorders>
              <w:top w:val="single" w:sz="8" w:space="0" w:color="808080"/>
              <w:bottom w:val="single" w:sz="8" w:space="0" w:color="E87722"/>
            </w:tcBorders>
            <w:shd w:val="clear" w:color="auto" w:fill="auto"/>
            <w:tcMar>
              <w:top w:w="40" w:type="dxa"/>
              <w:bottom w:w="40" w:type="dxa"/>
              <w:right w:w="20" w:type="dxa"/>
            </w:tcMar>
            <w:vAlign w:val="bottom"/>
          </w:tcPr>
          <w:p w14:paraId="1D025987"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5988" w14:textId="77777777" w:rsidR="004421F6" w:rsidRDefault="004421F6">
            <w:pPr>
              <w:rPr>
                <w:rFonts w:ascii="宋体"/>
              </w:rPr>
            </w:pPr>
          </w:p>
        </w:tc>
        <w:tc>
          <w:tcPr>
            <w:tcW w:w="0" w:type="auto"/>
            <w:shd w:val="clear" w:color="auto" w:fill="auto"/>
          </w:tcPr>
          <w:p w14:paraId="1D025989" w14:textId="77777777" w:rsidR="004421F6" w:rsidRDefault="004421F6">
            <w:pPr>
              <w:rPr>
                <w:rFonts w:ascii="宋体"/>
              </w:rPr>
            </w:pPr>
          </w:p>
        </w:tc>
        <w:tc>
          <w:tcPr>
            <w:tcW w:w="0" w:type="auto"/>
            <w:shd w:val="clear" w:color="auto" w:fill="auto"/>
          </w:tcPr>
          <w:p w14:paraId="1D02598A" w14:textId="77777777" w:rsidR="004421F6" w:rsidRDefault="004421F6">
            <w:pPr>
              <w:rPr>
                <w:rFonts w:ascii="宋体"/>
              </w:rPr>
            </w:pPr>
          </w:p>
        </w:tc>
      </w:tr>
    </w:tbl>
    <w:p w14:paraId="1D02598C" w14:textId="77777777" w:rsidR="004421F6" w:rsidRDefault="00F15622">
      <w:pPr>
        <w:spacing w:before="120" w:after="120"/>
      </w:pPr>
      <w:r>
        <w:rPr>
          <w:rFonts w:ascii="Arial" w:eastAsia="宋体" w:hAnsi="Arial" w:cs="Arial"/>
          <w:color w:val="000000"/>
          <w:sz w:val="17"/>
          <w:szCs w:val="17"/>
        </w:rPr>
        <w:t xml:space="preserve">Expected volatilities are based on the historical volatility of the Company's common stock, the implied volatility in market traded options on the Company's common </w:t>
      </w:r>
      <w:r>
        <w:rPr>
          <w:rFonts w:ascii="Arial" w:eastAsia="宋体" w:hAnsi="Arial" w:cs="Arial"/>
          <w:color w:val="000000"/>
          <w:sz w:val="17"/>
          <w:szCs w:val="17"/>
        </w:rPr>
        <w:t>stock with a term greater than one year, as well as other factors. The weighted average expected life of options is based on an analysis of historical and expected future exercise patterns. The interest rate is based on the U.S. Treasury (constant maturity</w:t>
      </w:r>
      <w:r>
        <w:rPr>
          <w:rFonts w:ascii="Arial" w:eastAsia="宋体" w:hAnsi="Arial" w:cs="Arial"/>
          <w:color w:val="000000"/>
          <w:sz w:val="17"/>
          <w:szCs w:val="17"/>
        </w:rPr>
        <w:t>) risk-free rate in effect at the date of grant for periods corresponding with the expected term of the options.</w:t>
      </w:r>
    </w:p>
    <w:p w14:paraId="1D02598D" w14:textId="77777777" w:rsidR="004421F6" w:rsidRDefault="00F15622">
      <w:pPr>
        <w:spacing w:before="120" w:after="120"/>
      </w:pPr>
      <w:r>
        <w:rPr>
          <w:rFonts w:ascii="Arial" w:eastAsia="宋体" w:hAnsi="Arial" w:cs="Arial"/>
          <w:color w:val="000000"/>
          <w:sz w:val="17"/>
          <w:szCs w:val="17"/>
        </w:rPr>
        <w:t xml:space="preserve">As of August 31, 2020, the Company had $378 million of unrecognized compensation costs from stock options, net of estimated forfeitures, to be </w:t>
      </w:r>
      <w:r>
        <w:rPr>
          <w:rFonts w:ascii="Arial" w:eastAsia="宋体" w:hAnsi="Arial" w:cs="Arial"/>
          <w:color w:val="000000"/>
          <w:sz w:val="17"/>
          <w:szCs w:val="17"/>
        </w:rPr>
        <w:t>recognized in Cost of sales or Operating overhead expense, as applicable, over a weighted average remaining period of 2.4 years.</w:t>
      </w:r>
    </w:p>
    <w:p w14:paraId="1D02598E" w14:textId="77777777" w:rsidR="004421F6" w:rsidRDefault="00F15622">
      <w:pPr>
        <w:spacing w:before="120" w:after="120"/>
      </w:pPr>
      <w:r>
        <w:rPr>
          <w:rFonts w:ascii="Arial" w:eastAsia="宋体" w:hAnsi="Arial" w:cs="Arial"/>
          <w:color w:val="E87722"/>
          <w:sz w:val="17"/>
          <w:szCs w:val="17"/>
        </w:rPr>
        <w:t>10</w:t>
      </w:r>
      <w:r>
        <w:rPr>
          <w:rFonts w:ascii="sans-serif" w:eastAsia="sans-serif" w:hAnsi="sans-serif" w:cs="sans-serif"/>
          <w:color w:val="000000"/>
          <w:sz w:val="17"/>
          <w:szCs w:val="17"/>
        </w:rPr>
        <w:t xml:space="preserve"> </w:t>
      </w:r>
    </w:p>
    <w:p w14:paraId="1D02598F" w14:textId="77777777" w:rsidR="004421F6" w:rsidRDefault="00F15622">
      <w:r>
        <w:pict w14:anchorId="1D027285">
          <v:rect id="_x0000_i1036" style="width:415.3pt;height:1.5pt" o:hralign="center" o:hrstd="t" o:hr="t" fillcolor="#a0a0a0" stroked="f"/>
        </w:pict>
      </w:r>
    </w:p>
    <w:p w14:paraId="1D025990" w14:textId="77777777" w:rsidR="004421F6" w:rsidRDefault="004421F6"/>
    <w:p w14:paraId="1D025991" w14:textId="77777777" w:rsidR="004421F6" w:rsidRDefault="00F15622">
      <w:hyperlink r:id="rId81" w:anchor="i3e524f2e23844e81ba9d33a05ac3917c_7" w:history="1">
        <w:r>
          <w:rPr>
            <w:rStyle w:val="a5"/>
            <w:rFonts w:ascii="sans-serif" w:eastAsia="sans-serif" w:hAnsi="sans-serif" w:cs="sans-serif"/>
            <w:sz w:val="17"/>
            <w:szCs w:val="17"/>
          </w:rPr>
          <w:t>Table of Contents</w:t>
        </w:r>
      </w:hyperlink>
    </w:p>
    <w:p w14:paraId="1D025992" w14:textId="77777777" w:rsidR="004421F6" w:rsidRDefault="004421F6"/>
    <w:p w14:paraId="1D025993" w14:textId="77777777" w:rsidR="004421F6" w:rsidRDefault="00F15622">
      <w:pPr>
        <w:spacing w:before="240" w:after="120"/>
      </w:pPr>
      <w:r>
        <w:rPr>
          <w:rFonts w:ascii="sans-serif" w:eastAsia="sans-serif" w:hAnsi="sans-serif" w:cs="sans-serif"/>
          <w:b/>
          <w:bCs/>
          <w:color w:val="000000"/>
          <w:sz w:val="28"/>
          <w:szCs w:val="28"/>
        </w:rPr>
        <w:t>RESTRICTED STOCK AND RESTRICTED STOCK UNITS</w:t>
      </w:r>
    </w:p>
    <w:p w14:paraId="1D025994" w14:textId="77777777" w:rsidR="004421F6" w:rsidRDefault="00F15622">
      <w:pPr>
        <w:spacing w:before="120" w:after="120"/>
      </w:pPr>
      <w:r>
        <w:rPr>
          <w:rFonts w:ascii="Arial" w:eastAsia="宋体" w:hAnsi="Arial" w:cs="Arial"/>
          <w:color w:val="000000"/>
          <w:sz w:val="17"/>
          <w:szCs w:val="17"/>
        </w:rPr>
        <w:t xml:space="preserve">The weighted average fair value per share of restricted stock and restricted stock units granted for the three months ended August 31, 2020 and 2019, </w:t>
      </w:r>
      <w:r>
        <w:rPr>
          <w:rFonts w:ascii="Arial" w:eastAsia="宋体" w:hAnsi="Arial" w:cs="Arial"/>
          <w:color w:val="000000"/>
          <w:sz w:val="17"/>
          <w:szCs w:val="17"/>
        </w:rPr>
        <w:t>computed as of the grant date, was $98.47 and $84.19, respectively. As of August 31, 2020, the Company had $394 million of unrecognized compensation costs from restricted stock and restricted stock units, net of estimated forfeitures, to be recognized in C</w:t>
      </w:r>
      <w:r>
        <w:rPr>
          <w:rFonts w:ascii="Arial" w:eastAsia="宋体" w:hAnsi="Arial" w:cs="Arial"/>
          <w:color w:val="000000"/>
          <w:sz w:val="17"/>
          <w:szCs w:val="17"/>
        </w:rPr>
        <w:t>ost of sales or Operating overhead expense, as applicable, over a weighted average remaining period of 2.7 years.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421F6" w14:paraId="1D025998" w14:textId="77777777">
        <w:tc>
          <w:tcPr>
            <w:tcW w:w="50" w:type="pct"/>
            <w:shd w:val="clear" w:color="auto" w:fill="auto"/>
          </w:tcPr>
          <w:p w14:paraId="1D025995" w14:textId="77777777" w:rsidR="004421F6" w:rsidRDefault="004421F6">
            <w:pPr>
              <w:rPr>
                <w:rFonts w:ascii="宋体"/>
              </w:rPr>
            </w:pPr>
          </w:p>
        </w:tc>
        <w:tc>
          <w:tcPr>
            <w:tcW w:w="4945" w:type="pct"/>
            <w:shd w:val="clear" w:color="auto" w:fill="auto"/>
          </w:tcPr>
          <w:p w14:paraId="1D025996" w14:textId="77777777" w:rsidR="004421F6" w:rsidRDefault="004421F6">
            <w:pPr>
              <w:rPr>
                <w:rFonts w:ascii="宋体"/>
              </w:rPr>
            </w:pPr>
          </w:p>
        </w:tc>
        <w:tc>
          <w:tcPr>
            <w:tcW w:w="5" w:type="pct"/>
            <w:shd w:val="clear" w:color="auto" w:fill="auto"/>
          </w:tcPr>
          <w:p w14:paraId="1D025997" w14:textId="77777777" w:rsidR="004421F6" w:rsidRDefault="004421F6">
            <w:pPr>
              <w:rPr>
                <w:rFonts w:ascii="宋体"/>
              </w:rPr>
            </w:pPr>
          </w:p>
        </w:tc>
      </w:tr>
      <w:tr w:rsidR="004421F6" w14:paraId="1D02599A" w14:textId="77777777">
        <w:tc>
          <w:tcPr>
            <w:tcW w:w="0" w:type="auto"/>
            <w:gridSpan w:val="3"/>
            <w:shd w:val="clear" w:color="auto" w:fill="auto"/>
            <w:tcMar>
              <w:top w:w="40" w:type="dxa"/>
              <w:left w:w="20" w:type="dxa"/>
              <w:bottom w:w="40" w:type="dxa"/>
              <w:right w:w="20" w:type="dxa"/>
            </w:tcMar>
            <w:vAlign w:val="bottom"/>
          </w:tcPr>
          <w:p w14:paraId="1D025999" w14:textId="77777777" w:rsidR="004421F6" w:rsidRDefault="00F15622">
            <w:pPr>
              <w:textAlignment w:val="bottom"/>
            </w:pPr>
            <w:r>
              <w:rPr>
                <w:rFonts w:ascii="sans-serif" w:eastAsia="sans-serif" w:hAnsi="sans-serif" w:cs="sans-serif"/>
                <w:b/>
                <w:bCs/>
                <w:color w:val="E87722"/>
                <w:sz w:val="36"/>
                <w:szCs w:val="36"/>
              </w:rPr>
              <w:t>NOTE 8 — EARNINGS PER SHARE</w:t>
            </w:r>
          </w:p>
        </w:tc>
      </w:tr>
    </w:tbl>
    <w:p w14:paraId="1D02599B" w14:textId="77777777" w:rsidR="004421F6" w:rsidRDefault="00F15622">
      <w:pPr>
        <w:spacing w:before="120"/>
      </w:pPr>
      <w:r>
        <w:rPr>
          <w:rFonts w:ascii="Arial" w:eastAsia="宋体" w:hAnsi="Arial" w:cs="Arial"/>
          <w:color w:val="000000"/>
          <w:sz w:val="17"/>
          <w:szCs w:val="17"/>
        </w:rPr>
        <w:t xml:space="preserve">The following is a reconciliation from basic earnings per common share to diluted earnings per common </w:t>
      </w:r>
      <w:r>
        <w:rPr>
          <w:rFonts w:ascii="Arial" w:eastAsia="宋体" w:hAnsi="Arial" w:cs="Arial"/>
          <w:color w:val="000000"/>
          <w:sz w:val="17"/>
          <w:szCs w:val="17"/>
        </w:rPr>
        <w:t>share. The computations of diluted earnings per common share excluded options, including shares under ESPPs, and restricted stock to purchase an additional 2.1 million and 19.1 million shares of common stock outstanding for the three months ended August 31</w:t>
      </w:r>
      <w:r>
        <w:rPr>
          <w:rFonts w:ascii="Arial" w:eastAsia="宋体" w:hAnsi="Arial" w:cs="Arial"/>
          <w:color w:val="000000"/>
          <w:sz w:val="17"/>
          <w:szCs w:val="17"/>
        </w:rPr>
        <w:t>, 2020 and 2019, respectively, because the options were anti-dilutive.</w:t>
      </w:r>
    </w:p>
    <w:tbl>
      <w:tblPr>
        <w:tblW w:w="5000" w:type="pct"/>
        <w:tblCellMar>
          <w:top w:w="15" w:type="dxa"/>
          <w:left w:w="15" w:type="dxa"/>
          <w:bottom w:w="15" w:type="dxa"/>
          <w:right w:w="15" w:type="dxa"/>
        </w:tblCellMar>
        <w:tblLook w:val="04A0" w:firstRow="1" w:lastRow="0" w:firstColumn="1" w:lastColumn="0" w:noHBand="0" w:noVBand="1"/>
      </w:tblPr>
      <w:tblGrid>
        <w:gridCol w:w="40"/>
        <w:gridCol w:w="5721"/>
        <w:gridCol w:w="39"/>
        <w:gridCol w:w="131"/>
        <w:gridCol w:w="1042"/>
        <w:gridCol w:w="41"/>
        <w:gridCol w:w="131"/>
        <w:gridCol w:w="1042"/>
        <w:gridCol w:w="41"/>
        <w:gridCol w:w="36"/>
        <w:gridCol w:w="36"/>
        <w:gridCol w:w="36"/>
      </w:tblGrid>
      <w:tr w:rsidR="004421F6" w14:paraId="1D0259A5" w14:textId="77777777">
        <w:trPr>
          <w:gridAfter w:val="3"/>
        </w:trPr>
        <w:tc>
          <w:tcPr>
            <w:tcW w:w="50" w:type="pct"/>
            <w:shd w:val="clear" w:color="auto" w:fill="auto"/>
          </w:tcPr>
          <w:p w14:paraId="1D02599C" w14:textId="77777777" w:rsidR="004421F6" w:rsidRDefault="004421F6">
            <w:pPr>
              <w:rPr>
                <w:rFonts w:ascii="宋体"/>
              </w:rPr>
            </w:pPr>
          </w:p>
        </w:tc>
        <w:tc>
          <w:tcPr>
            <w:tcW w:w="3509" w:type="pct"/>
            <w:shd w:val="clear" w:color="auto" w:fill="auto"/>
          </w:tcPr>
          <w:p w14:paraId="1D02599D" w14:textId="77777777" w:rsidR="004421F6" w:rsidRDefault="004421F6">
            <w:pPr>
              <w:rPr>
                <w:rFonts w:ascii="宋体"/>
              </w:rPr>
            </w:pPr>
          </w:p>
        </w:tc>
        <w:tc>
          <w:tcPr>
            <w:tcW w:w="5" w:type="pct"/>
            <w:shd w:val="clear" w:color="auto" w:fill="auto"/>
          </w:tcPr>
          <w:p w14:paraId="1D02599E" w14:textId="77777777" w:rsidR="004421F6" w:rsidRDefault="004421F6">
            <w:pPr>
              <w:rPr>
                <w:rFonts w:ascii="宋体"/>
              </w:rPr>
            </w:pPr>
          </w:p>
        </w:tc>
        <w:tc>
          <w:tcPr>
            <w:tcW w:w="50" w:type="pct"/>
            <w:shd w:val="clear" w:color="auto" w:fill="auto"/>
          </w:tcPr>
          <w:p w14:paraId="1D02599F" w14:textId="77777777" w:rsidR="004421F6" w:rsidRDefault="004421F6">
            <w:pPr>
              <w:rPr>
                <w:rFonts w:ascii="宋体"/>
              </w:rPr>
            </w:pPr>
          </w:p>
        </w:tc>
        <w:tc>
          <w:tcPr>
            <w:tcW w:w="662" w:type="pct"/>
            <w:shd w:val="clear" w:color="auto" w:fill="auto"/>
          </w:tcPr>
          <w:p w14:paraId="1D0259A0" w14:textId="77777777" w:rsidR="004421F6" w:rsidRDefault="004421F6">
            <w:pPr>
              <w:rPr>
                <w:rFonts w:ascii="宋体"/>
              </w:rPr>
            </w:pPr>
          </w:p>
        </w:tc>
        <w:tc>
          <w:tcPr>
            <w:tcW w:w="5" w:type="pct"/>
            <w:shd w:val="clear" w:color="auto" w:fill="auto"/>
          </w:tcPr>
          <w:p w14:paraId="1D0259A1" w14:textId="77777777" w:rsidR="004421F6" w:rsidRDefault="004421F6">
            <w:pPr>
              <w:rPr>
                <w:rFonts w:ascii="宋体"/>
              </w:rPr>
            </w:pPr>
          </w:p>
        </w:tc>
        <w:tc>
          <w:tcPr>
            <w:tcW w:w="50" w:type="pct"/>
            <w:shd w:val="clear" w:color="auto" w:fill="auto"/>
          </w:tcPr>
          <w:p w14:paraId="1D0259A2" w14:textId="77777777" w:rsidR="004421F6" w:rsidRDefault="004421F6">
            <w:pPr>
              <w:rPr>
                <w:rFonts w:ascii="宋体"/>
              </w:rPr>
            </w:pPr>
          </w:p>
        </w:tc>
        <w:tc>
          <w:tcPr>
            <w:tcW w:w="662" w:type="pct"/>
            <w:shd w:val="clear" w:color="auto" w:fill="auto"/>
          </w:tcPr>
          <w:p w14:paraId="1D0259A3" w14:textId="77777777" w:rsidR="004421F6" w:rsidRDefault="004421F6">
            <w:pPr>
              <w:rPr>
                <w:rFonts w:ascii="宋体"/>
              </w:rPr>
            </w:pPr>
          </w:p>
        </w:tc>
        <w:tc>
          <w:tcPr>
            <w:tcW w:w="5" w:type="pct"/>
            <w:shd w:val="clear" w:color="auto" w:fill="auto"/>
          </w:tcPr>
          <w:p w14:paraId="1D0259A4" w14:textId="77777777" w:rsidR="004421F6" w:rsidRDefault="004421F6">
            <w:pPr>
              <w:rPr>
                <w:rFonts w:ascii="宋体"/>
              </w:rPr>
            </w:pPr>
          </w:p>
        </w:tc>
      </w:tr>
      <w:tr w:rsidR="004421F6" w14:paraId="1D0259A9" w14:textId="77777777">
        <w:tc>
          <w:tcPr>
            <w:tcW w:w="0" w:type="auto"/>
            <w:gridSpan w:val="3"/>
            <w:shd w:val="clear" w:color="auto" w:fill="auto"/>
            <w:tcMar>
              <w:top w:w="40" w:type="dxa"/>
              <w:left w:w="20" w:type="dxa"/>
              <w:bottom w:w="40" w:type="dxa"/>
              <w:right w:w="20" w:type="dxa"/>
            </w:tcMar>
            <w:vAlign w:val="bottom"/>
          </w:tcPr>
          <w:p w14:paraId="1D0259A6" w14:textId="77777777" w:rsidR="004421F6" w:rsidRDefault="00F15622">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1D0259A7"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59A8" w14:textId="77777777" w:rsidR="004421F6" w:rsidRDefault="004421F6">
            <w:pPr>
              <w:rPr>
                <w:rFonts w:ascii="宋体"/>
                <w:vanish/>
              </w:rPr>
            </w:pPr>
          </w:p>
        </w:tc>
      </w:tr>
      <w:tr w:rsidR="004421F6" w14:paraId="1D0259B0" w14:textId="77777777">
        <w:tc>
          <w:tcPr>
            <w:tcW w:w="0" w:type="auto"/>
            <w:gridSpan w:val="3"/>
            <w:shd w:val="clear" w:color="auto" w:fill="auto"/>
            <w:tcMar>
              <w:top w:w="40" w:type="dxa"/>
              <w:left w:w="20" w:type="dxa"/>
              <w:bottom w:w="40" w:type="dxa"/>
              <w:right w:w="20" w:type="dxa"/>
            </w:tcMar>
            <w:vAlign w:val="bottom"/>
          </w:tcPr>
          <w:p w14:paraId="1D0259AA" w14:textId="77777777" w:rsidR="004421F6" w:rsidRDefault="00F15622">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9AB"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9AC"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shd w:val="clear" w:color="auto" w:fill="auto"/>
          </w:tcPr>
          <w:p w14:paraId="1D0259AD" w14:textId="77777777" w:rsidR="004421F6" w:rsidRDefault="004421F6">
            <w:pPr>
              <w:rPr>
                <w:rFonts w:ascii="宋体"/>
              </w:rPr>
            </w:pPr>
          </w:p>
        </w:tc>
        <w:tc>
          <w:tcPr>
            <w:tcW w:w="0" w:type="auto"/>
            <w:shd w:val="clear" w:color="auto" w:fill="auto"/>
          </w:tcPr>
          <w:p w14:paraId="1D0259AE" w14:textId="77777777" w:rsidR="004421F6" w:rsidRDefault="004421F6">
            <w:pPr>
              <w:rPr>
                <w:rFonts w:ascii="宋体"/>
              </w:rPr>
            </w:pPr>
          </w:p>
        </w:tc>
        <w:tc>
          <w:tcPr>
            <w:tcW w:w="0" w:type="auto"/>
            <w:shd w:val="clear" w:color="auto" w:fill="auto"/>
          </w:tcPr>
          <w:p w14:paraId="1D0259AF" w14:textId="77777777" w:rsidR="004421F6" w:rsidRDefault="004421F6">
            <w:pPr>
              <w:rPr>
                <w:rFonts w:ascii="宋体"/>
              </w:rPr>
            </w:pPr>
          </w:p>
        </w:tc>
      </w:tr>
      <w:tr w:rsidR="004421F6" w14:paraId="1D0259B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9B1" w14:textId="77777777" w:rsidR="004421F6" w:rsidRDefault="00F15622">
            <w:pPr>
              <w:textAlignment w:val="bottom"/>
            </w:pPr>
            <w:r>
              <w:rPr>
                <w:rFonts w:ascii="Arial" w:eastAsia="宋体" w:hAnsi="Arial" w:cs="Arial"/>
                <w:color w:val="000000"/>
                <w:sz w:val="17"/>
                <w:szCs w:val="17"/>
              </w:rPr>
              <w:t>Net income available to common stockholders</w:t>
            </w:r>
          </w:p>
        </w:tc>
        <w:tc>
          <w:tcPr>
            <w:tcW w:w="0" w:type="auto"/>
            <w:tcBorders>
              <w:top w:val="single" w:sz="8" w:space="0" w:color="E87722"/>
            </w:tcBorders>
            <w:shd w:val="clear" w:color="auto" w:fill="FFF1E7"/>
            <w:tcMar>
              <w:top w:w="40" w:type="dxa"/>
              <w:left w:w="20" w:type="dxa"/>
              <w:bottom w:w="40" w:type="dxa"/>
            </w:tcMar>
            <w:vAlign w:val="bottom"/>
          </w:tcPr>
          <w:p w14:paraId="1D0259B2"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59B3" w14:textId="77777777" w:rsidR="004421F6" w:rsidRDefault="00F15622">
            <w:pPr>
              <w:jc w:val="right"/>
              <w:textAlignment w:val="bottom"/>
            </w:pPr>
            <w:r>
              <w:rPr>
                <w:rFonts w:ascii="Arial" w:eastAsia="宋体" w:hAnsi="Arial" w:cs="Arial"/>
                <w:color w:val="000000"/>
                <w:sz w:val="17"/>
                <w:szCs w:val="17"/>
              </w:rPr>
              <w:t>1,518 </w:t>
            </w:r>
          </w:p>
        </w:tc>
        <w:tc>
          <w:tcPr>
            <w:tcW w:w="0" w:type="auto"/>
            <w:tcBorders>
              <w:top w:val="single" w:sz="8" w:space="0" w:color="E87722"/>
            </w:tcBorders>
            <w:shd w:val="clear" w:color="auto" w:fill="FFF1E7"/>
            <w:tcMar>
              <w:top w:w="40" w:type="dxa"/>
              <w:bottom w:w="40" w:type="dxa"/>
              <w:right w:w="20" w:type="dxa"/>
            </w:tcMar>
            <w:vAlign w:val="bottom"/>
          </w:tcPr>
          <w:p w14:paraId="1D0259B4"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9B5"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9B6" w14:textId="77777777" w:rsidR="004421F6" w:rsidRDefault="00F15622">
            <w:pPr>
              <w:jc w:val="right"/>
              <w:textAlignment w:val="bottom"/>
            </w:pPr>
            <w:r>
              <w:rPr>
                <w:rFonts w:ascii="Arial" w:eastAsia="宋体" w:hAnsi="Arial" w:cs="Arial"/>
                <w:color w:val="000000"/>
                <w:sz w:val="17"/>
                <w:szCs w:val="17"/>
              </w:rPr>
              <w:t>1,367 </w:t>
            </w:r>
          </w:p>
        </w:tc>
        <w:tc>
          <w:tcPr>
            <w:tcW w:w="0" w:type="auto"/>
            <w:tcBorders>
              <w:top w:val="single" w:sz="8" w:space="0" w:color="E87722"/>
            </w:tcBorders>
            <w:shd w:val="clear" w:color="auto" w:fill="auto"/>
            <w:tcMar>
              <w:top w:w="40" w:type="dxa"/>
              <w:bottom w:w="40" w:type="dxa"/>
              <w:right w:w="20" w:type="dxa"/>
            </w:tcMar>
            <w:vAlign w:val="bottom"/>
          </w:tcPr>
          <w:p w14:paraId="1D0259B7" w14:textId="77777777" w:rsidR="004421F6" w:rsidRDefault="004421F6">
            <w:pPr>
              <w:jc w:val="right"/>
              <w:rPr>
                <w:rFonts w:ascii="宋体"/>
              </w:rPr>
            </w:pPr>
          </w:p>
        </w:tc>
        <w:tc>
          <w:tcPr>
            <w:tcW w:w="0" w:type="auto"/>
            <w:shd w:val="clear" w:color="auto" w:fill="auto"/>
          </w:tcPr>
          <w:p w14:paraId="1D0259B8" w14:textId="77777777" w:rsidR="004421F6" w:rsidRDefault="004421F6">
            <w:pPr>
              <w:rPr>
                <w:rFonts w:ascii="宋体"/>
              </w:rPr>
            </w:pPr>
          </w:p>
        </w:tc>
        <w:tc>
          <w:tcPr>
            <w:tcW w:w="0" w:type="auto"/>
            <w:shd w:val="clear" w:color="auto" w:fill="auto"/>
          </w:tcPr>
          <w:p w14:paraId="1D0259B9" w14:textId="77777777" w:rsidR="004421F6" w:rsidRDefault="004421F6">
            <w:pPr>
              <w:rPr>
                <w:rFonts w:ascii="宋体"/>
              </w:rPr>
            </w:pPr>
          </w:p>
        </w:tc>
        <w:tc>
          <w:tcPr>
            <w:tcW w:w="0" w:type="auto"/>
            <w:shd w:val="clear" w:color="auto" w:fill="auto"/>
          </w:tcPr>
          <w:p w14:paraId="1D0259BA" w14:textId="77777777" w:rsidR="004421F6" w:rsidRDefault="004421F6">
            <w:pPr>
              <w:rPr>
                <w:rFonts w:ascii="宋体"/>
              </w:rPr>
            </w:pPr>
          </w:p>
        </w:tc>
      </w:tr>
      <w:tr w:rsidR="004421F6" w14:paraId="1D0259C2"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9BC" w14:textId="77777777" w:rsidR="004421F6" w:rsidRDefault="00F15622">
            <w:pPr>
              <w:textAlignment w:val="bottom"/>
            </w:pPr>
            <w:r>
              <w:rPr>
                <w:rFonts w:ascii="Arial" w:eastAsia="宋体" w:hAnsi="Arial" w:cs="Arial"/>
                <w:color w:val="000000"/>
                <w:sz w:val="17"/>
                <w:szCs w:val="17"/>
              </w:rPr>
              <w:t>Determination of shares:</w:t>
            </w:r>
          </w:p>
        </w:tc>
        <w:tc>
          <w:tcPr>
            <w:tcW w:w="0" w:type="auto"/>
            <w:gridSpan w:val="3"/>
            <w:tcBorders>
              <w:top w:val="single" w:sz="8" w:space="0" w:color="808080"/>
            </w:tcBorders>
            <w:shd w:val="clear" w:color="auto" w:fill="FFF1E7"/>
            <w:tcMar>
              <w:left w:w="20" w:type="dxa"/>
              <w:right w:w="20" w:type="dxa"/>
            </w:tcMar>
            <w:vAlign w:val="bottom"/>
          </w:tcPr>
          <w:p w14:paraId="1D0259BD"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9BE" w14:textId="77777777" w:rsidR="004421F6" w:rsidRDefault="004421F6">
            <w:pPr>
              <w:rPr>
                <w:rFonts w:ascii="宋体"/>
              </w:rPr>
            </w:pPr>
          </w:p>
        </w:tc>
        <w:tc>
          <w:tcPr>
            <w:tcW w:w="0" w:type="auto"/>
            <w:shd w:val="clear" w:color="auto" w:fill="auto"/>
          </w:tcPr>
          <w:p w14:paraId="1D0259BF" w14:textId="77777777" w:rsidR="004421F6" w:rsidRDefault="004421F6">
            <w:pPr>
              <w:rPr>
                <w:rFonts w:ascii="宋体"/>
              </w:rPr>
            </w:pPr>
          </w:p>
        </w:tc>
        <w:tc>
          <w:tcPr>
            <w:tcW w:w="0" w:type="auto"/>
            <w:shd w:val="clear" w:color="auto" w:fill="auto"/>
          </w:tcPr>
          <w:p w14:paraId="1D0259C0" w14:textId="77777777" w:rsidR="004421F6" w:rsidRDefault="004421F6">
            <w:pPr>
              <w:rPr>
                <w:rFonts w:ascii="宋体"/>
              </w:rPr>
            </w:pPr>
          </w:p>
        </w:tc>
        <w:tc>
          <w:tcPr>
            <w:tcW w:w="0" w:type="auto"/>
            <w:shd w:val="clear" w:color="auto" w:fill="auto"/>
          </w:tcPr>
          <w:p w14:paraId="1D0259C1" w14:textId="77777777" w:rsidR="004421F6" w:rsidRDefault="004421F6">
            <w:pPr>
              <w:rPr>
                <w:rFonts w:ascii="宋体"/>
              </w:rPr>
            </w:pPr>
          </w:p>
        </w:tc>
      </w:tr>
      <w:tr w:rsidR="004421F6" w14:paraId="1D0259CB"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9C3" w14:textId="77777777" w:rsidR="004421F6" w:rsidRDefault="00F15622">
            <w:pPr>
              <w:textAlignment w:val="bottom"/>
            </w:pPr>
            <w:r>
              <w:rPr>
                <w:rFonts w:ascii="Arial" w:eastAsia="宋体" w:hAnsi="Arial" w:cs="Arial"/>
                <w:color w:val="000000"/>
                <w:sz w:val="17"/>
                <w:szCs w:val="17"/>
              </w:rPr>
              <w:t>Weighted average common shares outstanding</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9C4" w14:textId="77777777" w:rsidR="004421F6" w:rsidRDefault="00F15622">
            <w:pPr>
              <w:jc w:val="right"/>
              <w:textAlignment w:val="bottom"/>
            </w:pPr>
            <w:r>
              <w:rPr>
                <w:rFonts w:ascii="Arial" w:eastAsia="宋体" w:hAnsi="Arial" w:cs="Arial"/>
                <w:color w:val="000000"/>
                <w:sz w:val="17"/>
                <w:szCs w:val="17"/>
              </w:rPr>
              <w:t>1,561.8 </w:t>
            </w:r>
          </w:p>
        </w:tc>
        <w:tc>
          <w:tcPr>
            <w:tcW w:w="0" w:type="auto"/>
            <w:tcBorders>
              <w:top w:val="single" w:sz="8" w:space="0" w:color="808080"/>
            </w:tcBorders>
            <w:shd w:val="clear" w:color="auto" w:fill="FFF1E7"/>
            <w:tcMar>
              <w:top w:w="40" w:type="dxa"/>
              <w:bottom w:w="40" w:type="dxa"/>
              <w:right w:w="20" w:type="dxa"/>
            </w:tcMar>
            <w:vAlign w:val="bottom"/>
          </w:tcPr>
          <w:p w14:paraId="1D0259C5"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9C6" w14:textId="77777777" w:rsidR="004421F6" w:rsidRDefault="00F15622">
            <w:pPr>
              <w:jc w:val="right"/>
              <w:textAlignment w:val="bottom"/>
            </w:pPr>
            <w:r>
              <w:rPr>
                <w:rFonts w:ascii="Arial" w:eastAsia="宋体" w:hAnsi="Arial" w:cs="Arial"/>
                <w:color w:val="000000"/>
                <w:sz w:val="17"/>
                <w:szCs w:val="17"/>
              </w:rPr>
              <w:t>1,562.4 </w:t>
            </w:r>
          </w:p>
        </w:tc>
        <w:tc>
          <w:tcPr>
            <w:tcW w:w="0" w:type="auto"/>
            <w:tcBorders>
              <w:top w:val="single" w:sz="8" w:space="0" w:color="808080"/>
            </w:tcBorders>
            <w:shd w:val="clear" w:color="auto" w:fill="auto"/>
            <w:tcMar>
              <w:top w:w="40" w:type="dxa"/>
              <w:bottom w:w="40" w:type="dxa"/>
              <w:right w:w="20" w:type="dxa"/>
            </w:tcMar>
            <w:vAlign w:val="bottom"/>
          </w:tcPr>
          <w:p w14:paraId="1D0259C7" w14:textId="77777777" w:rsidR="004421F6" w:rsidRDefault="004421F6">
            <w:pPr>
              <w:jc w:val="right"/>
              <w:rPr>
                <w:rFonts w:ascii="宋体"/>
              </w:rPr>
            </w:pPr>
          </w:p>
        </w:tc>
        <w:tc>
          <w:tcPr>
            <w:tcW w:w="0" w:type="auto"/>
            <w:shd w:val="clear" w:color="auto" w:fill="auto"/>
          </w:tcPr>
          <w:p w14:paraId="1D0259C8" w14:textId="77777777" w:rsidR="004421F6" w:rsidRDefault="004421F6">
            <w:pPr>
              <w:rPr>
                <w:rFonts w:ascii="宋体"/>
              </w:rPr>
            </w:pPr>
          </w:p>
        </w:tc>
        <w:tc>
          <w:tcPr>
            <w:tcW w:w="0" w:type="auto"/>
            <w:shd w:val="clear" w:color="auto" w:fill="auto"/>
          </w:tcPr>
          <w:p w14:paraId="1D0259C9" w14:textId="77777777" w:rsidR="004421F6" w:rsidRDefault="004421F6">
            <w:pPr>
              <w:rPr>
                <w:rFonts w:ascii="宋体"/>
              </w:rPr>
            </w:pPr>
          </w:p>
        </w:tc>
        <w:tc>
          <w:tcPr>
            <w:tcW w:w="0" w:type="auto"/>
            <w:shd w:val="clear" w:color="auto" w:fill="auto"/>
          </w:tcPr>
          <w:p w14:paraId="1D0259CA" w14:textId="77777777" w:rsidR="004421F6" w:rsidRDefault="004421F6">
            <w:pPr>
              <w:rPr>
                <w:rFonts w:ascii="宋体"/>
              </w:rPr>
            </w:pPr>
          </w:p>
        </w:tc>
      </w:tr>
      <w:tr w:rsidR="004421F6" w14:paraId="1D0259D4"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9CC" w14:textId="77777777" w:rsidR="004421F6" w:rsidRDefault="00F15622">
            <w:pPr>
              <w:textAlignment w:val="bottom"/>
            </w:pPr>
            <w:r>
              <w:rPr>
                <w:rFonts w:ascii="Arial" w:eastAsia="宋体" w:hAnsi="Arial" w:cs="Arial"/>
                <w:color w:val="000000"/>
                <w:sz w:val="17"/>
                <w:szCs w:val="17"/>
              </w:rPr>
              <w:t>Assumed conversion of dilutive stock options and awards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9CD" w14:textId="77777777" w:rsidR="004421F6" w:rsidRDefault="00F15622">
            <w:pPr>
              <w:jc w:val="right"/>
              <w:textAlignment w:val="bottom"/>
            </w:pPr>
            <w:r>
              <w:rPr>
                <w:rFonts w:ascii="Arial" w:eastAsia="宋体" w:hAnsi="Arial" w:cs="Arial"/>
                <w:color w:val="000000"/>
                <w:sz w:val="17"/>
                <w:szCs w:val="17"/>
              </w:rPr>
              <w:t>31.5 </w:t>
            </w:r>
          </w:p>
        </w:tc>
        <w:tc>
          <w:tcPr>
            <w:tcW w:w="0" w:type="auto"/>
            <w:tcBorders>
              <w:top w:val="single" w:sz="8" w:space="0" w:color="808080"/>
            </w:tcBorders>
            <w:shd w:val="clear" w:color="auto" w:fill="FFF1E7"/>
            <w:tcMar>
              <w:top w:w="40" w:type="dxa"/>
              <w:bottom w:w="40" w:type="dxa"/>
              <w:right w:w="20" w:type="dxa"/>
            </w:tcMar>
            <w:vAlign w:val="bottom"/>
          </w:tcPr>
          <w:p w14:paraId="1D0259CE"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9CF" w14:textId="77777777" w:rsidR="004421F6" w:rsidRDefault="00F15622">
            <w:pPr>
              <w:jc w:val="right"/>
              <w:textAlignment w:val="bottom"/>
            </w:pPr>
            <w:r>
              <w:rPr>
                <w:rFonts w:ascii="Arial" w:eastAsia="宋体" w:hAnsi="Arial" w:cs="Arial"/>
                <w:color w:val="000000"/>
                <w:sz w:val="17"/>
                <w:szCs w:val="17"/>
              </w:rPr>
              <w:t>35.1 </w:t>
            </w:r>
          </w:p>
        </w:tc>
        <w:tc>
          <w:tcPr>
            <w:tcW w:w="0" w:type="auto"/>
            <w:tcBorders>
              <w:top w:val="single" w:sz="8" w:space="0" w:color="808080"/>
            </w:tcBorders>
            <w:shd w:val="clear" w:color="auto" w:fill="auto"/>
            <w:tcMar>
              <w:top w:w="40" w:type="dxa"/>
              <w:bottom w:w="40" w:type="dxa"/>
              <w:right w:w="20" w:type="dxa"/>
            </w:tcMar>
            <w:vAlign w:val="bottom"/>
          </w:tcPr>
          <w:p w14:paraId="1D0259D0" w14:textId="77777777" w:rsidR="004421F6" w:rsidRDefault="004421F6">
            <w:pPr>
              <w:jc w:val="right"/>
              <w:rPr>
                <w:rFonts w:ascii="宋体"/>
              </w:rPr>
            </w:pPr>
          </w:p>
        </w:tc>
        <w:tc>
          <w:tcPr>
            <w:tcW w:w="0" w:type="auto"/>
            <w:shd w:val="clear" w:color="auto" w:fill="auto"/>
          </w:tcPr>
          <w:p w14:paraId="1D0259D1" w14:textId="77777777" w:rsidR="004421F6" w:rsidRDefault="004421F6">
            <w:pPr>
              <w:rPr>
                <w:rFonts w:ascii="宋体"/>
              </w:rPr>
            </w:pPr>
          </w:p>
        </w:tc>
        <w:tc>
          <w:tcPr>
            <w:tcW w:w="0" w:type="auto"/>
            <w:shd w:val="clear" w:color="auto" w:fill="auto"/>
          </w:tcPr>
          <w:p w14:paraId="1D0259D2" w14:textId="77777777" w:rsidR="004421F6" w:rsidRDefault="004421F6">
            <w:pPr>
              <w:rPr>
                <w:rFonts w:ascii="宋体"/>
              </w:rPr>
            </w:pPr>
          </w:p>
        </w:tc>
        <w:tc>
          <w:tcPr>
            <w:tcW w:w="0" w:type="auto"/>
            <w:shd w:val="clear" w:color="auto" w:fill="auto"/>
          </w:tcPr>
          <w:p w14:paraId="1D0259D3" w14:textId="77777777" w:rsidR="004421F6" w:rsidRDefault="004421F6">
            <w:pPr>
              <w:rPr>
                <w:rFonts w:ascii="宋体"/>
              </w:rPr>
            </w:pPr>
          </w:p>
        </w:tc>
      </w:tr>
      <w:tr w:rsidR="004421F6" w14:paraId="1D0259D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9D5" w14:textId="77777777" w:rsidR="004421F6" w:rsidRDefault="00F15622">
            <w:pPr>
              <w:textAlignment w:val="bottom"/>
            </w:pPr>
            <w:r>
              <w:rPr>
                <w:rFonts w:ascii="Arial" w:eastAsia="宋体" w:hAnsi="Arial" w:cs="Arial"/>
                <w:b/>
                <w:bCs/>
                <w:color w:val="000000"/>
                <w:sz w:val="17"/>
                <w:szCs w:val="17"/>
              </w:rPr>
              <w:t>DILUTED WEIGHTED AVERAGE COMMON SHARES OUTSTANDING</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9D6" w14:textId="77777777" w:rsidR="004421F6" w:rsidRDefault="00F15622">
            <w:pPr>
              <w:jc w:val="right"/>
              <w:textAlignment w:val="bottom"/>
            </w:pPr>
            <w:r>
              <w:rPr>
                <w:rFonts w:ascii="Arial" w:eastAsia="宋体" w:hAnsi="Arial" w:cs="Arial"/>
                <w:b/>
                <w:bCs/>
                <w:color w:val="000000"/>
                <w:sz w:val="17"/>
                <w:szCs w:val="17"/>
              </w:rPr>
              <w:t>1,593.3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59D7"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9D8" w14:textId="77777777" w:rsidR="004421F6" w:rsidRDefault="00F15622">
            <w:pPr>
              <w:jc w:val="right"/>
              <w:textAlignment w:val="bottom"/>
            </w:pPr>
            <w:r>
              <w:rPr>
                <w:rFonts w:ascii="Arial" w:eastAsia="宋体" w:hAnsi="Arial" w:cs="Arial"/>
                <w:b/>
                <w:bCs/>
                <w:color w:val="000000"/>
                <w:sz w:val="17"/>
                <w:szCs w:val="17"/>
              </w:rPr>
              <w:t>1,597.5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9D9" w14:textId="77777777" w:rsidR="004421F6" w:rsidRDefault="004421F6">
            <w:pPr>
              <w:jc w:val="right"/>
              <w:rPr>
                <w:rFonts w:ascii="宋体"/>
              </w:rPr>
            </w:pPr>
          </w:p>
        </w:tc>
        <w:tc>
          <w:tcPr>
            <w:tcW w:w="0" w:type="auto"/>
            <w:shd w:val="clear" w:color="auto" w:fill="auto"/>
          </w:tcPr>
          <w:p w14:paraId="1D0259DA" w14:textId="77777777" w:rsidR="004421F6" w:rsidRDefault="004421F6">
            <w:pPr>
              <w:rPr>
                <w:rFonts w:ascii="宋体"/>
              </w:rPr>
            </w:pPr>
          </w:p>
        </w:tc>
        <w:tc>
          <w:tcPr>
            <w:tcW w:w="0" w:type="auto"/>
            <w:shd w:val="clear" w:color="auto" w:fill="auto"/>
          </w:tcPr>
          <w:p w14:paraId="1D0259DB" w14:textId="77777777" w:rsidR="004421F6" w:rsidRDefault="004421F6">
            <w:pPr>
              <w:rPr>
                <w:rFonts w:ascii="宋体"/>
              </w:rPr>
            </w:pPr>
          </w:p>
        </w:tc>
        <w:tc>
          <w:tcPr>
            <w:tcW w:w="0" w:type="auto"/>
            <w:shd w:val="clear" w:color="auto" w:fill="auto"/>
          </w:tcPr>
          <w:p w14:paraId="1D0259DC" w14:textId="77777777" w:rsidR="004421F6" w:rsidRDefault="004421F6">
            <w:pPr>
              <w:rPr>
                <w:rFonts w:ascii="宋体"/>
              </w:rPr>
            </w:pPr>
          </w:p>
        </w:tc>
      </w:tr>
      <w:tr w:rsidR="004421F6" w14:paraId="1D0259E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9DE" w14:textId="77777777" w:rsidR="004421F6" w:rsidRDefault="00F15622">
            <w:pPr>
              <w:textAlignment w:val="bottom"/>
            </w:pPr>
            <w:r>
              <w:rPr>
                <w:rFonts w:ascii="Arial" w:eastAsia="宋体" w:hAnsi="Arial" w:cs="Arial"/>
                <w:color w:val="000000"/>
                <w:sz w:val="17"/>
                <w:szCs w:val="17"/>
              </w:rPr>
              <w:t>Earnings per common share:</w:t>
            </w:r>
          </w:p>
        </w:tc>
        <w:tc>
          <w:tcPr>
            <w:tcW w:w="0" w:type="auto"/>
            <w:gridSpan w:val="3"/>
            <w:tcBorders>
              <w:top w:val="single" w:sz="8" w:space="0" w:color="E87722"/>
            </w:tcBorders>
            <w:shd w:val="clear" w:color="auto" w:fill="FFF1E7"/>
            <w:tcMar>
              <w:left w:w="20" w:type="dxa"/>
              <w:right w:w="20" w:type="dxa"/>
            </w:tcMar>
            <w:vAlign w:val="bottom"/>
          </w:tcPr>
          <w:p w14:paraId="1D0259DF"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9E0" w14:textId="77777777" w:rsidR="004421F6" w:rsidRDefault="004421F6">
            <w:pPr>
              <w:rPr>
                <w:rFonts w:ascii="宋体"/>
              </w:rPr>
            </w:pPr>
          </w:p>
        </w:tc>
        <w:tc>
          <w:tcPr>
            <w:tcW w:w="0" w:type="auto"/>
            <w:shd w:val="clear" w:color="auto" w:fill="auto"/>
          </w:tcPr>
          <w:p w14:paraId="1D0259E1" w14:textId="77777777" w:rsidR="004421F6" w:rsidRDefault="004421F6">
            <w:pPr>
              <w:rPr>
                <w:rFonts w:ascii="宋体"/>
              </w:rPr>
            </w:pPr>
          </w:p>
        </w:tc>
        <w:tc>
          <w:tcPr>
            <w:tcW w:w="0" w:type="auto"/>
            <w:shd w:val="clear" w:color="auto" w:fill="auto"/>
          </w:tcPr>
          <w:p w14:paraId="1D0259E2" w14:textId="77777777" w:rsidR="004421F6" w:rsidRDefault="004421F6">
            <w:pPr>
              <w:rPr>
                <w:rFonts w:ascii="宋体"/>
              </w:rPr>
            </w:pPr>
          </w:p>
        </w:tc>
        <w:tc>
          <w:tcPr>
            <w:tcW w:w="0" w:type="auto"/>
            <w:shd w:val="clear" w:color="auto" w:fill="auto"/>
          </w:tcPr>
          <w:p w14:paraId="1D0259E3" w14:textId="77777777" w:rsidR="004421F6" w:rsidRDefault="004421F6">
            <w:pPr>
              <w:rPr>
                <w:rFonts w:ascii="宋体"/>
              </w:rPr>
            </w:pPr>
          </w:p>
        </w:tc>
      </w:tr>
      <w:tr w:rsidR="004421F6" w14:paraId="1D0259EF"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9E5" w14:textId="77777777" w:rsidR="004421F6" w:rsidRDefault="00F15622">
            <w:pPr>
              <w:textAlignment w:val="bottom"/>
            </w:pPr>
            <w:r>
              <w:rPr>
                <w:rFonts w:ascii="Arial" w:eastAsia="宋体" w:hAnsi="Arial" w:cs="Arial"/>
                <w:color w:val="000000"/>
                <w:sz w:val="17"/>
                <w:szCs w:val="17"/>
              </w:rPr>
              <w:t>Basic</w:t>
            </w:r>
          </w:p>
        </w:tc>
        <w:tc>
          <w:tcPr>
            <w:tcW w:w="0" w:type="auto"/>
            <w:tcBorders>
              <w:top w:val="single" w:sz="8" w:space="0" w:color="808080"/>
            </w:tcBorders>
            <w:shd w:val="clear" w:color="auto" w:fill="FFF1E7"/>
            <w:tcMar>
              <w:top w:w="40" w:type="dxa"/>
              <w:left w:w="20" w:type="dxa"/>
              <w:bottom w:w="40" w:type="dxa"/>
            </w:tcMar>
            <w:vAlign w:val="bottom"/>
          </w:tcPr>
          <w:p w14:paraId="1D0259E6"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59E7" w14:textId="77777777" w:rsidR="004421F6" w:rsidRDefault="00F15622">
            <w:pPr>
              <w:jc w:val="right"/>
              <w:textAlignment w:val="bottom"/>
            </w:pPr>
            <w:r>
              <w:rPr>
                <w:rFonts w:ascii="Arial" w:eastAsia="宋体" w:hAnsi="Arial" w:cs="Arial"/>
                <w:color w:val="000000"/>
                <w:sz w:val="17"/>
                <w:szCs w:val="17"/>
              </w:rPr>
              <w:t>0.97 </w:t>
            </w:r>
          </w:p>
        </w:tc>
        <w:tc>
          <w:tcPr>
            <w:tcW w:w="0" w:type="auto"/>
            <w:tcBorders>
              <w:top w:val="single" w:sz="8" w:space="0" w:color="808080"/>
            </w:tcBorders>
            <w:shd w:val="clear" w:color="auto" w:fill="FFF1E7"/>
            <w:tcMar>
              <w:top w:w="40" w:type="dxa"/>
              <w:bottom w:w="40" w:type="dxa"/>
              <w:right w:w="20" w:type="dxa"/>
            </w:tcMar>
            <w:vAlign w:val="bottom"/>
          </w:tcPr>
          <w:p w14:paraId="1D0259E8"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59E9"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59EA" w14:textId="77777777" w:rsidR="004421F6" w:rsidRDefault="00F15622">
            <w:pPr>
              <w:jc w:val="right"/>
              <w:textAlignment w:val="bottom"/>
            </w:pPr>
            <w:r>
              <w:rPr>
                <w:rFonts w:ascii="Arial" w:eastAsia="宋体" w:hAnsi="Arial" w:cs="Arial"/>
                <w:color w:val="000000"/>
                <w:sz w:val="17"/>
                <w:szCs w:val="17"/>
              </w:rPr>
              <w:t>0.87 </w:t>
            </w:r>
          </w:p>
        </w:tc>
        <w:tc>
          <w:tcPr>
            <w:tcW w:w="0" w:type="auto"/>
            <w:tcBorders>
              <w:top w:val="single" w:sz="8" w:space="0" w:color="808080"/>
            </w:tcBorders>
            <w:shd w:val="clear" w:color="auto" w:fill="auto"/>
            <w:tcMar>
              <w:top w:w="40" w:type="dxa"/>
              <w:bottom w:w="40" w:type="dxa"/>
              <w:right w:w="20" w:type="dxa"/>
            </w:tcMar>
            <w:vAlign w:val="bottom"/>
          </w:tcPr>
          <w:p w14:paraId="1D0259EB" w14:textId="77777777" w:rsidR="004421F6" w:rsidRDefault="004421F6">
            <w:pPr>
              <w:jc w:val="right"/>
              <w:rPr>
                <w:rFonts w:ascii="宋体"/>
              </w:rPr>
            </w:pPr>
          </w:p>
        </w:tc>
        <w:tc>
          <w:tcPr>
            <w:tcW w:w="0" w:type="auto"/>
            <w:shd w:val="clear" w:color="auto" w:fill="auto"/>
          </w:tcPr>
          <w:p w14:paraId="1D0259EC" w14:textId="77777777" w:rsidR="004421F6" w:rsidRDefault="004421F6">
            <w:pPr>
              <w:rPr>
                <w:rFonts w:ascii="宋体"/>
              </w:rPr>
            </w:pPr>
          </w:p>
        </w:tc>
        <w:tc>
          <w:tcPr>
            <w:tcW w:w="0" w:type="auto"/>
            <w:shd w:val="clear" w:color="auto" w:fill="auto"/>
          </w:tcPr>
          <w:p w14:paraId="1D0259ED" w14:textId="77777777" w:rsidR="004421F6" w:rsidRDefault="004421F6">
            <w:pPr>
              <w:rPr>
                <w:rFonts w:ascii="宋体"/>
              </w:rPr>
            </w:pPr>
          </w:p>
        </w:tc>
        <w:tc>
          <w:tcPr>
            <w:tcW w:w="0" w:type="auto"/>
            <w:shd w:val="clear" w:color="auto" w:fill="auto"/>
          </w:tcPr>
          <w:p w14:paraId="1D0259EE" w14:textId="77777777" w:rsidR="004421F6" w:rsidRDefault="004421F6">
            <w:pPr>
              <w:rPr>
                <w:rFonts w:ascii="宋体"/>
              </w:rPr>
            </w:pPr>
          </w:p>
        </w:tc>
      </w:tr>
      <w:tr w:rsidR="004421F6" w14:paraId="1D0259FA" w14:textId="77777777">
        <w:tc>
          <w:tcPr>
            <w:tcW w:w="0" w:type="auto"/>
            <w:gridSpan w:val="3"/>
            <w:tcBorders>
              <w:top w:val="single" w:sz="8" w:space="0" w:color="808080"/>
              <w:bottom w:val="single" w:sz="8" w:space="0" w:color="E87722"/>
            </w:tcBorders>
            <w:shd w:val="clear" w:color="auto" w:fill="auto"/>
            <w:tcMar>
              <w:top w:w="40" w:type="dxa"/>
              <w:left w:w="135" w:type="dxa"/>
              <w:bottom w:w="40" w:type="dxa"/>
              <w:right w:w="20" w:type="dxa"/>
            </w:tcMar>
            <w:vAlign w:val="bottom"/>
          </w:tcPr>
          <w:p w14:paraId="1D0259F0" w14:textId="77777777" w:rsidR="004421F6" w:rsidRDefault="00F15622">
            <w:pPr>
              <w:textAlignment w:val="bottom"/>
            </w:pPr>
            <w:r>
              <w:rPr>
                <w:rFonts w:ascii="Arial" w:eastAsia="宋体" w:hAnsi="Arial" w:cs="Arial"/>
                <w:color w:val="000000"/>
                <w:sz w:val="17"/>
                <w:szCs w:val="17"/>
              </w:rPr>
              <w:t>Diluted</w:t>
            </w:r>
          </w:p>
        </w:tc>
        <w:tc>
          <w:tcPr>
            <w:tcW w:w="0" w:type="auto"/>
            <w:tcBorders>
              <w:top w:val="single" w:sz="8" w:space="0" w:color="808080"/>
              <w:bottom w:val="single" w:sz="8" w:space="0" w:color="E87722"/>
            </w:tcBorders>
            <w:shd w:val="clear" w:color="auto" w:fill="FFF1E7"/>
            <w:tcMar>
              <w:top w:w="40" w:type="dxa"/>
              <w:left w:w="20" w:type="dxa"/>
              <w:bottom w:w="40" w:type="dxa"/>
            </w:tcMar>
            <w:vAlign w:val="bottom"/>
          </w:tcPr>
          <w:p w14:paraId="1D0259F1"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FFF1E7"/>
            <w:tcMar>
              <w:top w:w="40" w:type="dxa"/>
              <w:bottom w:w="40" w:type="dxa"/>
              <w:right w:w="0" w:type="dxa"/>
            </w:tcMar>
            <w:vAlign w:val="bottom"/>
          </w:tcPr>
          <w:p w14:paraId="1D0259F2" w14:textId="77777777" w:rsidR="004421F6" w:rsidRDefault="00F15622">
            <w:pPr>
              <w:jc w:val="right"/>
              <w:textAlignment w:val="bottom"/>
            </w:pPr>
            <w:r>
              <w:rPr>
                <w:rFonts w:ascii="Arial" w:eastAsia="宋体" w:hAnsi="Arial" w:cs="Arial"/>
                <w:color w:val="000000"/>
                <w:sz w:val="17"/>
                <w:szCs w:val="17"/>
              </w:rPr>
              <w:t>0.95 </w:t>
            </w:r>
          </w:p>
        </w:tc>
        <w:tc>
          <w:tcPr>
            <w:tcW w:w="0" w:type="auto"/>
            <w:tcBorders>
              <w:top w:val="single" w:sz="8" w:space="0" w:color="808080"/>
              <w:bottom w:val="single" w:sz="8" w:space="0" w:color="E87722"/>
            </w:tcBorders>
            <w:shd w:val="clear" w:color="auto" w:fill="FFF1E7"/>
            <w:tcMar>
              <w:top w:w="40" w:type="dxa"/>
              <w:bottom w:w="40" w:type="dxa"/>
              <w:right w:w="20" w:type="dxa"/>
            </w:tcMar>
            <w:vAlign w:val="bottom"/>
          </w:tcPr>
          <w:p w14:paraId="1D0259F3" w14:textId="77777777" w:rsidR="004421F6" w:rsidRDefault="004421F6">
            <w:pPr>
              <w:jc w:val="right"/>
              <w:rPr>
                <w:rFonts w:ascii="宋体"/>
              </w:rPr>
            </w:pPr>
          </w:p>
        </w:tc>
        <w:tc>
          <w:tcPr>
            <w:tcW w:w="0" w:type="auto"/>
            <w:tcBorders>
              <w:top w:val="single" w:sz="8" w:space="0" w:color="808080"/>
              <w:bottom w:val="single" w:sz="8" w:space="0" w:color="E87722"/>
            </w:tcBorders>
            <w:shd w:val="clear" w:color="auto" w:fill="auto"/>
            <w:tcMar>
              <w:top w:w="40" w:type="dxa"/>
              <w:left w:w="20" w:type="dxa"/>
              <w:bottom w:w="40" w:type="dxa"/>
            </w:tcMar>
            <w:vAlign w:val="bottom"/>
          </w:tcPr>
          <w:p w14:paraId="1D0259F4"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auto"/>
            <w:tcMar>
              <w:top w:w="40" w:type="dxa"/>
              <w:bottom w:w="40" w:type="dxa"/>
              <w:right w:w="0" w:type="dxa"/>
            </w:tcMar>
            <w:vAlign w:val="bottom"/>
          </w:tcPr>
          <w:p w14:paraId="1D0259F5" w14:textId="77777777" w:rsidR="004421F6" w:rsidRDefault="00F15622">
            <w:pPr>
              <w:jc w:val="right"/>
              <w:textAlignment w:val="bottom"/>
            </w:pPr>
            <w:r>
              <w:rPr>
                <w:rFonts w:ascii="Arial" w:eastAsia="宋体" w:hAnsi="Arial" w:cs="Arial"/>
                <w:color w:val="000000"/>
                <w:sz w:val="17"/>
                <w:szCs w:val="17"/>
              </w:rPr>
              <w:t>0.86 </w:t>
            </w:r>
          </w:p>
        </w:tc>
        <w:tc>
          <w:tcPr>
            <w:tcW w:w="0" w:type="auto"/>
            <w:tcBorders>
              <w:top w:val="single" w:sz="8" w:space="0" w:color="808080"/>
              <w:bottom w:val="single" w:sz="8" w:space="0" w:color="E87722"/>
            </w:tcBorders>
            <w:shd w:val="clear" w:color="auto" w:fill="auto"/>
            <w:tcMar>
              <w:top w:w="40" w:type="dxa"/>
              <w:bottom w:w="40" w:type="dxa"/>
              <w:right w:w="20" w:type="dxa"/>
            </w:tcMar>
            <w:vAlign w:val="bottom"/>
          </w:tcPr>
          <w:p w14:paraId="1D0259F6" w14:textId="77777777" w:rsidR="004421F6" w:rsidRDefault="004421F6">
            <w:pPr>
              <w:jc w:val="right"/>
              <w:rPr>
                <w:rFonts w:ascii="宋体"/>
              </w:rPr>
            </w:pPr>
          </w:p>
        </w:tc>
        <w:tc>
          <w:tcPr>
            <w:tcW w:w="0" w:type="auto"/>
            <w:shd w:val="clear" w:color="auto" w:fill="auto"/>
          </w:tcPr>
          <w:p w14:paraId="1D0259F7" w14:textId="77777777" w:rsidR="004421F6" w:rsidRDefault="004421F6">
            <w:pPr>
              <w:rPr>
                <w:rFonts w:ascii="宋体"/>
              </w:rPr>
            </w:pPr>
          </w:p>
        </w:tc>
        <w:tc>
          <w:tcPr>
            <w:tcW w:w="0" w:type="auto"/>
            <w:shd w:val="clear" w:color="auto" w:fill="auto"/>
          </w:tcPr>
          <w:p w14:paraId="1D0259F8" w14:textId="77777777" w:rsidR="004421F6" w:rsidRDefault="004421F6">
            <w:pPr>
              <w:rPr>
                <w:rFonts w:ascii="宋体"/>
              </w:rPr>
            </w:pPr>
          </w:p>
        </w:tc>
        <w:tc>
          <w:tcPr>
            <w:tcW w:w="0" w:type="auto"/>
            <w:shd w:val="clear" w:color="auto" w:fill="auto"/>
          </w:tcPr>
          <w:p w14:paraId="1D0259F9" w14:textId="77777777" w:rsidR="004421F6" w:rsidRDefault="004421F6">
            <w:pPr>
              <w:rPr>
                <w:rFonts w:ascii="宋体"/>
              </w:rPr>
            </w:pPr>
          </w:p>
        </w:tc>
      </w:tr>
    </w:tbl>
    <w:p w14:paraId="1D0259FB" w14:textId="77777777" w:rsidR="004421F6" w:rsidRDefault="004421F6">
      <w:pPr>
        <w:spacing w:before="120" w:after="120"/>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421F6" w14:paraId="1D0259FF" w14:textId="77777777">
        <w:tc>
          <w:tcPr>
            <w:tcW w:w="50" w:type="pct"/>
            <w:shd w:val="clear" w:color="auto" w:fill="auto"/>
          </w:tcPr>
          <w:p w14:paraId="1D0259FC" w14:textId="77777777" w:rsidR="004421F6" w:rsidRDefault="004421F6">
            <w:pPr>
              <w:rPr>
                <w:rFonts w:ascii="宋体"/>
              </w:rPr>
            </w:pPr>
          </w:p>
        </w:tc>
        <w:tc>
          <w:tcPr>
            <w:tcW w:w="4945" w:type="pct"/>
            <w:shd w:val="clear" w:color="auto" w:fill="auto"/>
          </w:tcPr>
          <w:p w14:paraId="1D0259FD" w14:textId="77777777" w:rsidR="004421F6" w:rsidRDefault="004421F6">
            <w:pPr>
              <w:rPr>
                <w:rFonts w:ascii="宋体"/>
              </w:rPr>
            </w:pPr>
          </w:p>
        </w:tc>
        <w:tc>
          <w:tcPr>
            <w:tcW w:w="5" w:type="pct"/>
            <w:shd w:val="clear" w:color="auto" w:fill="auto"/>
          </w:tcPr>
          <w:p w14:paraId="1D0259FE" w14:textId="77777777" w:rsidR="004421F6" w:rsidRDefault="004421F6">
            <w:pPr>
              <w:rPr>
                <w:rFonts w:ascii="宋体"/>
              </w:rPr>
            </w:pPr>
          </w:p>
        </w:tc>
      </w:tr>
      <w:tr w:rsidR="004421F6" w14:paraId="1D025A01" w14:textId="77777777">
        <w:tc>
          <w:tcPr>
            <w:tcW w:w="0" w:type="auto"/>
            <w:gridSpan w:val="3"/>
            <w:shd w:val="clear" w:color="auto" w:fill="auto"/>
            <w:tcMar>
              <w:top w:w="40" w:type="dxa"/>
              <w:left w:w="20" w:type="dxa"/>
              <w:bottom w:w="40" w:type="dxa"/>
              <w:right w:w="20" w:type="dxa"/>
            </w:tcMar>
            <w:vAlign w:val="bottom"/>
          </w:tcPr>
          <w:p w14:paraId="1D025A00" w14:textId="77777777" w:rsidR="004421F6" w:rsidRDefault="00F15622">
            <w:pPr>
              <w:textAlignment w:val="bottom"/>
            </w:pPr>
            <w:r>
              <w:rPr>
                <w:rFonts w:ascii="sans-serif" w:eastAsia="sans-serif" w:hAnsi="sans-serif" w:cs="sans-serif"/>
                <w:b/>
                <w:bCs/>
                <w:color w:val="E87722"/>
                <w:sz w:val="36"/>
                <w:szCs w:val="36"/>
              </w:rPr>
              <w:t>NOTE 9 — RISK MANAGEMENT AND DERIVATIVES</w:t>
            </w:r>
          </w:p>
        </w:tc>
      </w:tr>
    </w:tbl>
    <w:p w14:paraId="1D025A02" w14:textId="77777777" w:rsidR="004421F6" w:rsidRDefault="00F15622">
      <w:pPr>
        <w:spacing w:before="120" w:after="120"/>
      </w:pPr>
      <w:r>
        <w:rPr>
          <w:rFonts w:ascii="Arial" w:eastAsia="宋体" w:hAnsi="Arial" w:cs="Arial"/>
          <w:color w:val="000000"/>
          <w:sz w:val="17"/>
          <w:szCs w:val="17"/>
        </w:rPr>
        <w:t xml:space="preserve">The Company is exposed to global market risks, including the effect of changes in foreign currency exchange rates </w:t>
      </w:r>
      <w:r>
        <w:rPr>
          <w:rFonts w:ascii="Arial" w:eastAsia="宋体" w:hAnsi="Arial" w:cs="Arial"/>
          <w:color w:val="000000"/>
          <w:sz w:val="17"/>
          <w:szCs w:val="17"/>
        </w:rPr>
        <w:t xml:space="preserve">and interest rates, and uses derivatives to manage financial exposures that occur in the normal course of business. As of and for the three months ended August 31, 2020, there have been no material changes to the Company's hedging program or strategy from </w:t>
      </w:r>
      <w:r>
        <w:rPr>
          <w:rFonts w:ascii="Arial" w:eastAsia="宋体" w:hAnsi="Arial" w:cs="Arial"/>
          <w:color w:val="000000"/>
          <w:sz w:val="17"/>
          <w:szCs w:val="17"/>
        </w:rPr>
        <w:t>what was disclosed within the Annual Report on Form 10-K. For additional information about the Company's derivatives and hedging policies refer to Note 1 — Summary of Significant Accounting Policies and Note 14 — Risk Management and Derivatives of the Annu</w:t>
      </w:r>
      <w:r>
        <w:rPr>
          <w:rFonts w:ascii="Arial" w:eastAsia="宋体" w:hAnsi="Arial" w:cs="Arial"/>
          <w:color w:val="000000"/>
          <w:sz w:val="17"/>
          <w:szCs w:val="17"/>
        </w:rPr>
        <w:t>al Report on Form 10-K for the fiscal year ended May 31, 2020.</w:t>
      </w:r>
    </w:p>
    <w:p w14:paraId="1D025A03" w14:textId="77777777" w:rsidR="004421F6" w:rsidRDefault="00F15622">
      <w:pPr>
        <w:spacing w:before="120" w:after="120"/>
      </w:pPr>
      <w:r>
        <w:rPr>
          <w:rFonts w:ascii="Arial" w:eastAsia="宋体" w:hAnsi="Arial" w:cs="Arial"/>
          <w:color w:val="000000"/>
          <w:sz w:val="17"/>
          <w:szCs w:val="17"/>
        </w:rPr>
        <w:t>The majority of derivatives outstanding as of August 31, 2020 are designated as foreign currency cash flow hedges, primarily for Euro/U.S. Dollar, Japanese Yen/U.S. Dollar, Chinese Yuan/U.S. Do</w:t>
      </w:r>
      <w:r>
        <w:rPr>
          <w:rFonts w:ascii="Arial" w:eastAsia="宋体" w:hAnsi="Arial" w:cs="Arial"/>
          <w:color w:val="000000"/>
          <w:sz w:val="17"/>
          <w:szCs w:val="17"/>
        </w:rPr>
        <w:t>llar, and British Pound/Euro, currency pairs. All derivatives are recognized on the Unaudited Condensed Consolidated Balance Sheets at fair value and classified based on the instrument's maturity date.</w:t>
      </w:r>
    </w:p>
    <w:p w14:paraId="1D025A04" w14:textId="77777777" w:rsidR="004421F6" w:rsidRDefault="00F15622">
      <w:pPr>
        <w:spacing w:before="120" w:after="120"/>
        <w:jc w:val="right"/>
      </w:pPr>
      <w:r>
        <w:rPr>
          <w:rFonts w:ascii="Arial" w:eastAsia="宋体" w:hAnsi="Arial" w:cs="Arial"/>
          <w:color w:val="E87722"/>
          <w:sz w:val="17"/>
          <w:szCs w:val="17"/>
        </w:rPr>
        <w:t>11</w:t>
      </w:r>
    </w:p>
    <w:p w14:paraId="1D025A05" w14:textId="77777777" w:rsidR="004421F6" w:rsidRDefault="00F15622">
      <w:r>
        <w:pict w14:anchorId="1D027286">
          <v:rect id="_x0000_i1037" style="width:415.3pt;height:1.5pt" o:hralign="center" o:hrstd="t" o:hr="t" fillcolor="#a0a0a0" stroked="f"/>
        </w:pict>
      </w:r>
    </w:p>
    <w:p w14:paraId="1D025A06" w14:textId="77777777" w:rsidR="004421F6" w:rsidRDefault="004421F6"/>
    <w:p w14:paraId="1D025A07" w14:textId="77777777" w:rsidR="004421F6" w:rsidRDefault="00F15622">
      <w:hyperlink r:id="rId82" w:anchor="i3e524f2e23844e81ba9d33a05ac3917c_7" w:history="1">
        <w:r>
          <w:rPr>
            <w:rStyle w:val="a5"/>
            <w:rFonts w:ascii="sans-serif" w:eastAsia="sans-serif" w:hAnsi="sans-serif" w:cs="sans-serif"/>
            <w:sz w:val="17"/>
            <w:szCs w:val="17"/>
          </w:rPr>
          <w:t>Table of Contents</w:t>
        </w:r>
      </w:hyperlink>
    </w:p>
    <w:p w14:paraId="1D025A08" w14:textId="77777777" w:rsidR="004421F6" w:rsidRDefault="004421F6"/>
    <w:p w14:paraId="1D025A09" w14:textId="77777777" w:rsidR="004421F6" w:rsidRDefault="00F15622">
      <w:pPr>
        <w:spacing w:before="120"/>
      </w:pPr>
      <w:r>
        <w:rPr>
          <w:rFonts w:ascii="Arial" w:eastAsia="宋体" w:hAnsi="Arial" w:cs="Arial"/>
          <w:color w:val="000000"/>
          <w:sz w:val="17"/>
          <w:szCs w:val="17"/>
        </w:rPr>
        <w:t xml:space="preserve">The following tables present the fair values of derivative instruments included within the Unaudited Condensed Consolidated Balance Sheets as of August 31, 2020 and May 31, 2020: </w:t>
      </w:r>
    </w:p>
    <w:tbl>
      <w:tblPr>
        <w:tblW w:w="4992" w:type="pct"/>
        <w:tblCellMar>
          <w:top w:w="15" w:type="dxa"/>
          <w:left w:w="15" w:type="dxa"/>
          <w:bottom w:w="15" w:type="dxa"/>
          <w:right w:w="15" w:type="dxa"/>
        </w:tblCellMar>
        <w:tblLook w:val="04A0" w:firstRow="1" w:lastRow="0" w:firstColumn="1" w:lastColumn="0" w:noHBand="0" w:noVBand="1"/>
      </w:tblPr>
      <w:tblGrid>
        <w:gridCol w:w="39"/>
        <w:gridCol w:w="2788"/>
        <w:gridCol w:w="36"/>
        <w:gridCol w:w="39"/>
        <w:gridCol w:w="2477"/>
        <w:gridCol w:w="37"/>
        <w:gridCol w:w="131"/>
        <w:gridCol w:w="788"/>
        <w:gridCol w:w="41"/>
        <w:gridCol w:w="51"/>
        <w:gridCol w:w="284"/>
        <w:gridCol w:w="50"/>
        <w:gridCol w:w="130"/>
        <w:gridCol w:w="790"/>
        <w:gridCol w:w="41"/>
        <w:gridCol w:w="129"/>
        <w:gridCol w:w="128"/>
        <w:gridCol w:w="128"/>
        <w:gridCol w:w="36"/>
        <w:gridCol w:w="36"/>
        <w:gridCol w:w="36"/>
        <w:gridCol w:w="36"/>
        <w:gridCol w:w="36"/>
        <w:gridCol w:w="36"/>
      </w:tblGrid>
      <w:tr w:rsidR="004421F6" w14:paraId="1D025A19" w14:textId="77777777">
        <w:trPr>
          <w:gridAfter w:val="9"/>
        </w:trPr>
        <w:tc>
          <w:tcPr>
            <w:tcW w:w="50" w:type="pct"/>
            <w:shd w:val="clear" w:color="auto" w:fill="auto"/>
          </w:tcPr>
          <w:p w14:paraId="1D025A0A" w14:textId="77777777" w:rsidR="004421F6" w:rsidRDefault="004421F6">
            <w:pPr>
              <w:rPr>
                <w:rFonts w:ascii="宋体"/>
              </w:rPr>
            </w:pPr>
          </w:p>
        </w:tc>
        <w:tc>
          <w:tcPr>
            <w:tcW w:w="1900" w:type="pct"/>
            <w:shd w:val="clear" w:color="auto" w:fill="auto"/>
          </w:tcPr>
          <w:p w14:paraId="1D025A0B" w14:textId="77777777" w:rsidR="004421F6" w:rsidRDefault="004421F6">
            <w:pPr>
              <w:rPr>
                <w:rFonts w:ascii="宋体"/>
              </w:rPr>
            </w:pPr>
          </w:p>
        </w:tc>
        <w:tc>
          <w:tcPr>
            <w:tcW w:w="5" w:type="pct"/>
            <w:shd w:val="clear" w:color="auto" w:fill="auto"/>
          </w:tcPr>
          <w:p w14:paraId="1D025A0C" w14:textId="77777777" w:rsidR="004421F6" w:rsidRDefault="004421F6">
            <w:pPr>
              <w:rPr>
                <w:rFonts w:ascii="宋体"/>
              </w:rPr>
            </w:pPr>
          </w:p>
        </w:tc>
        <w:tc>
          <w:tcPr>
            <w:tcW w:w="50" w:type="pct"/>
            <w:shd w:val="clear" w:color="auto" w:fill="auto"/>
          </w:tcPr>
          <w:p w14:paraId="1D025A0D" w14:textId="77777777" w:rsidR="004421F6" w:rsidRDefault="004421F6">
            <w:pPr>
              <w:rPr>
                <w:rFonts w:ascii="宋体"/>
              </w:rPr>
            </w:pPr>
          </w:p>
        </w:tc>
        <w:tc>
          <w:tcPr>
            <w:tcW w:w="1699" w:type="pct"/>
            <w:shd w:val="clear" w:color="auto" w:fill="auto"/>
          </w:tcPr>
          <w:p w14:paraId="1D025A0E" w14:textId="77777777" w:rsidR="004421F6" w:rsidRDefault="004421F6">
            <w:pPr>
              <w:rPr>
                <w:rFonts w:ascii="宋体"/>
              </w:rPr>
            </w:pPr>
          </w:p>
        </w:tc>
        <w:tc>
          <w:tcPr>
            <w:tcW w:w="5" w:type="pct"/>
            <w:shd w:val="clear" w:color="auto" w:fill="auto"/>
          </w:tcPr>
          <w:p w14:paraId="1D025A0F" w14:textId="77777777" w:rsidR="004421F6" w:rsidRDefault="004421F6">
            <w:pPr>
              <w:rPr>
                <w:rFonts w:ascii="宋体"/>
              </w:rPr>
            </w:pPr>
          </w:p>
        </w:tc>
        <w:tc>
          <w:tcPr>
            <w:tcW w:w="50" w:type="pct"/>
            <w:shd w:val="clear" w:color="auto" w:fill="auto"/>
          </w:tcPr>
          <w:p w14:paraId="1D025A10" w14:textId="77777777" w:rsidR="004421F6" w:rsidRDefault="004421F6">
            <w:pPr>
              <w:rPr>
                <w:rFonts w:ascii="宋体"/>
              </w:rPr>
            </w:pPr>
          </w:p>
        </w:tc>
        <w:tc>
          <w:tcPr>
            <w:tcW w:w="570" w:type="pct"/>
            <w:shd w:val="clear" w:color="auto" w:fill="auto"/>
          </w:tcPr>
          <w:p w14:paraId="1D025A11" w14:textId="77777777" w:rsidR="004421F6" w:rsidRDefault="004421F6">
            <w:pPr>
              <w:rPr>
                <w:rFonts w:ascii="宋体"/>
              </w:rPr>
            </w:pPr>
          </w:p>
        </w:tc>
        <w:tc>
          <w:tcPr>
            <w:tcW w:w="5" w:type="pct"/>
            <w:shd w:val="clear" w:color="auto" w:fill="auto"/>
          </w:tcPr>
          <w:p w14:paraId="1D025A12" w14:textId="77777777" w:rsidR="004421F6" w:rsidRDefault="004421F6">
            <w:pPr>
              <w:rPr>
                <w:rFonts w:ascii="宋体"/>
              </w:rPr>
            </w:pPr>
          </w:p>
        </w:tc>
        <w:tc>
          <w:tcPr>
            <w:tcW w:w="5" w:type="pct"/>
            <w:shd w:val="clear" w:color="auto" w:fill="auto"/>
          </w:tcPr>
          <w:p w14:paraId="1D025A13" w14:textId="77777777" w:rsidR="004421F6" w:rsidRDefault="004421F6">
            <w:pPr>
              <w:rPr>
                <w:rFonts w:ascii="宋体"/>
              </w:rPr>
            </w:pPr>
          </w:p>
        </w:tc>
        <w:tc>
          <w:tcPr>
            <w:tcW w:w="28" w:type="pct"/>
            <w:shd w:val="clear" w:color="auto" w:fill="auto"/>
          </w:tcPr>
          <w:p w14:paraId="1D025A14" w14:textId="77777777" w:rsidR="004421F6" w:rsidRDefault="004421F6">
            <w:pPr>
              <w:rPr>
                <w:rFonts w:ascii="宋体"/>
              </w:rPr>
            </w:pPr>
          </w:p>
        </w:tc>
        <w:tc>
          <w:tcPr>
            <w:tcW w:w="5" w:type="pct"/>
            <w:shd w:val="clear" w:color="auto" w:fill="auto"/>
          </w:tcPr>
          <w:p w14:paraId="1D025A15" w14:textId="77777777" w:rsidR="004421F6" w:rsidRDefault="004421F6">
            <w:pPr>
              <w:rPr>
                <w:rFonts w:ascii="宋体"/>
              </w:rPr>
            </w:pPr>
          </w:p>
        </w:tc>
        <w:tc>
          <w:tcPr>
            <w:tcW w:w="50" w:type="pct"/>
            <w:shd w:val="clear" w:color="auto" w:fill="auto"/>
          </w:tcPr>
          <w:p w14:paraId="1D025A16" w14:textId="77777777" w:rsidR="004421F6" w:rsidRDefault="004421F6">
            <w:pPr>
              <w:rPr>
                <w:rFonts w:ascii="宋体"/>
              </w:rPr>
            </w:pPr>
          </w:p>
        </w:tc>
        <w:tc>
          <w:tcPr>
            <w:tcW w:w="571" w:type="pct"/>
            <w:shd w:val="clear" w:color="auto" w:fill="auto"/>
          </w:tcPr>
          <w:p w14:paraId="1D025A17" w14:textId="77777777" w:rsidR="004421F6" w:rsidRDefault="004421F6">
            <w:pPr>
              <w:rPr>
                <w:rFonts w:ascii="宋体"/>
              </w:rPr>
            </w:pPr>
          </w:p>
        </w:tc>
        <w:tc>
          <w:tcPr>
            <w:tcW w:w="5" w:type="pct"/>
            <w:shd w:val="clear" w:color="auto" w:fill="auto"/>
          </w:tcPr>
          <w:p w14:paraId="1D025A18" w14:textId="77777777" w:rsidR="004421F6" w:rsidRDefault="004421F6">
            <w:pPr>
              <w:rPr>
                <w:rFonts w:ascii="宋体"/>
              </w:rPr>
            </w:pPr>
          </w:p>
        </w:tc>
      </w:tr>
      <w:tr w:rsidR="004421F6" w14:paraId="1D025A1F" w14:textId="77777777">
        <w:tc>
          <w:tcPr>
            <w:tcW w:w="0" w:type="auto"/>
            <w:gridSpan w:val="3"/>
            <w:shd w:val="clear" w:color="auto" w:fill="auto"/>
            <w:tcMar>
              <w:top w:w="40" w:type="dxa"/>
              <w:left w:w="20" w:type="dxa"/>
              <w:bottom w:w="40" w:type="dxa"/>
              <w:right w:w="20" w:type="dxa"/>
            </w:tcMar>
            <w:vAlign w:val="bottom"/>
          </w:tcPr>
          <w:p w14:paraId="1D025A1A" w14:textId="77777777" w:rsidR="004421F6" w:rsidRDefault="00F15622">
            <w:pPr>
              <w:textAlignment w:val="bottom"/>
            </w:pPr>
            <w:r>
              <w:rPr>
                <w:rFonts w:ascii="Arial" w:eastAsia="宋体" w:hAnsi="Arial" w:cs="Arial"/>
                <w:color w:val="000000"/>
                <w:sz w:val="17"/>
                <w:szCs w:val="17"/>
              </w:rPr>
              <w:t> </w:t>
            </w:r>
          </w:p>
        </w:tc>
        <w:tc>
          <w:tcPr>
            <w:tcW w:w="0" w:type="auto"/>
            <w:gridSpan w:val="12"/>
            <w:shd w:val="clear" w:color="auto" w:fill="auto"/>
            <w:tcMar>
              <w:top w:w="40" w:type="dxa"/>
              <w:left w:w="20" w:type="dxa"/>
              <w:bottom w:w="40" w:type="dxa"/>
              <w:right w:w="20" w:type="dxa"/>
            </w:tcMar>
            <w:vAlign w:val="bottom"/>
          </w:tcPr>
          <w:p w14:paraId="1D025A1B" w14:textId="77777777" w:rsidR="004421F6" w:rsidRDefault="00F15622">
            <w:pPr>
              <w:jc w:val="center"/>
              <w:textAlignment w:val="bottom"/>
            </w:pPr>
            <w:r>
              <w:rPr>
                <w:rFonts w:ascii="sans-serif" w:eastAsia="sans-serif" w:hAnsi="sans-serif" w:cs="sans-serif"/>
                <w:b/>
                <w:bCs/>
                <w:color w:val="000000"/>
                <w:sz w:val="17"/>
                <w:szCs w:val="17"/>
              </w:rPr>
              <w:t>DERIVATIVE ASSETS</w:t>
            </w:r>
          </w:p>
        </w:tc>
        <w:tc>
          <w:tcPr>
            <w:tcW w:w="0" w:type="auto"/>
            <w:gridSpan w:val="3"/>
            <w:shd w:val="clear" w:color="auto" w:fill="auto"/>
          </w:tcPr>
          <w:p w14:paraId="1D025A1C" w14:textId="77777777" w:rsidR="004421F6" w:rsidRDefault="004421F6">
            <w:pPr>
              <w:rPr>
                <w:rFonts w:ascii="宋体"/>
                <w:vanish/>
              </w:rPr>
            </w:pPr>
          </w:p>
        </w:tc>
        <w:tc>
          <w:tcPr>
            <w:tcW w:w="0" w:type="auto"/>
            <w:gridSpan w:val="3"/>
            <w:shd w:val="clear" w:color="auto" w:fill="auto"/>
          </w:tcPr>
          <w:p w14:paraId="1D025A1D" w14:textId="77777777" w:rsidR="004421F6" w:rsidRDefault="004421F6">
            <w:pPr>
              <w:rPr>
                <w:rFonts w:ascii="宋体"/>
                <w:vanish/>
              </w:rPr>
            </w:pPr>
          </w:p>
        </w:tc>
        <w:tc>
          <w:tcPr>
            <w:tcW w:w="0" w:type="auto"/>
            <w:gridSpan w:val="3"/>
            <w:shd w:val="clear" w:color="auto" w:fill="auto"/>
          </w:tcPr>
          <w:p w14:paraId="1D025A1E" w14:textId="77777777" w:rsidR="004421F6" w:rsidRDefault="004421F6">
            <w:pPr>
              <w:rPr>
                <w:rFonts w:ascii="宋体"/>
                <w:vanish/>
              </w:rPr>
            </w:pPr>
          </w:p>
        </w:tc>
      </w:tr>
      <w:tr w:rsidR="004421F6" w14:paraId="1D025A2E" w14:textId="77777777">
        <w:tc>
          <w:tcPr>
            <w:tcW w:w="0" w:type="auto"/>
            <w:gridSpan w:val="3"/>
            <w:shd w:val="clear" w:color="auto" w:fill="auto"/>
            <w:tcMar>
              <w:left w:w="20" w:type="dxa"/>
              <w:right w:w="20" w:type="dxa"/>
            </w:tcMar>
            <w:vAlign w:val="bottom"/>
          </w:tcPr>
          <w:p w14:paraId="1D025A20" w14:textId="77777777" w:rsidR="004421F6" w:rsidRDefault="004421F6">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1D025A21" w14:textId="77777777" w:rsidR="004421F6" w:rsidRDefault="00F15622">
            <w:pPr>
              <w:jc w:val="right"/>
              <w:textAlignment w:val="bottom"/>
            </w:pPr>
            <w:r>
              <w:rPr>
                <w:rFonts w:ascii="sans-serif" w:eastAsia="sans-serif" w:hAnsi="sans-serif" w:cs="sans-serif"/>
                <w:b/>
                <w:bCs/>
                <w:color w:val="000000"/>
                <w:sz w:val="17"/>
                <w:szCs w:val="17"/>
              </w:rPr>
              <w:t>BALANCE SHEET LOCATION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A22" w14:textId="77777777" w:rsidR="004421F6" w:rsidRDefault="00F15622">
            <w:pPr>
              <w:jc w:val="center"/>
              <w:textAlignment w:val="bottom"/>
            </w:pPr>
            <w:r>
              <w:rPr>
                <w:rFonts w:ascii="sans-serif" w:eastAsia="sans-serif" w:hAnsi="sans-serif" w:cs="sans-serif"/>
                <w:b/>
                <w:bCs/>
                <w:color w:val="000000"/>
                <w:sz w:val="17"/>
                <w:szCs w:val="17"/>
              </w:rPr>
              <w:t xml:space="preserve">AUGUST </w:t>
            </w:r>
            <w:r>
              <w:rPr>
                <w:rFonts w:ascii="sans-serif" w:eastAsia="sans-serif" w:hAnsi="sans-serif" w:cs="sans-serif"/>
                <w:b/>
                <w:bCs/>
                <w:color w:val="000000"/>
                <w:sz w:val="17"/>
                <w:szCs w:val="17"/>
              </w:rPr>
              <w:t>31,</w:t>
            </w:r>
          </w:p>
        </w:tc>
        <w:tc>
          <w:tcPr>
            <w:tcW w:w="0" w:type="auto"/>
            <w:gridSpan w:val="3"/>
            <w:tcBorders>
              <w:top w:val="single" w:sz="8" w:space="0" w:color="E87722"/>
            </w:tcBorders>
            <w:shd w:val="clear" w:color="auto" w:fill="auto"/>
            <w:tcMar>
              <w:left w:w="20" w:type="dxa"/>
              <w:right w:w="20" w:type="dxa"/>
            </w:tcMar>
            <w:vAlign w:val="bottom"/>
          </w:tcPr>
          <w:p w14:paraId="1D025A23" w14:textId="77777777" w:rsidR="004421F6" w:rsidRDefault="004421F6">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A24" w14:textId="77777777" w:rsidR="004421F6" w:rsidRDefault="00F15622">
            <w:pPr>
              <w:jc w:val="center"/>
              <w:textAlignment w:val="bottom"/>
            </w:pPr>
            <w:r>
              <w:rPr>
                <w:rFonts w:ascii="sans-serif" w:eastAsia="sans-serif" w:hAnsi="sans-serif" w:cs="sans-serif"/>
                <w:b/>
                <w:bCs/>
                <w:color w:val="000000"/>
                <w:sz w:val="17"/>
                <w:szCs w:val="17"/>
              </w:rPr>
              <w:t>MAY 31,</w:t>
            </w:r>
          </w:p>
        </w:tc>
        <w:tc>
          <w:tcPr>
            <w:tcW w:w="0" w:type="auto"/>
            <w:shd w:val="clear" w:color="auto" w:fill="auto"/>
          </w:tcPr>
          <w:p w14:paraId="1D025A25" w14:textId="77777777" w:rsidR="004421F6" w:rsidRDefault="004421F6">
            <w:pPr>
              <w:rPr>
                <w:rFonts w:ascii="宋体"/>
              </w:rPr>
            </w:pPr>
          </w:p>
        </w:tc>
        <w:tc>
          <w:tcPr>
            <w:tcW w:w="0" w:type="auto"/>
            <w:shd w:val="clear" w:color="auto" w:fill="auto"/>
          </w:tcPr>
          <w:p w14:paraId="1D025A26" w14:textId="77777777" w:rsidR="004421F6" w:rsidRDefault="004421F6">
            <w:pPr>
              <w:rPr>
                <w:rFonts w:ascii="宋体"/>
              </w:rPr>
            </w:pPr>
          </w:p>
        </w:tc>
        <w:tc>
          <w:tcPr>
            <w:tcW w:w="0" w:type="auto"/>
            <w:shd w:val="clear" w:color="auto" w:fill="auto"/>
          </w:tcPr>
          <w:p w14:paraId="1D025A27" w14:textId="77777777" w:rsidR="004421F6" w:rsidRDefault="004421F6">
            <w:pPr>
              <w:rPr>
                <w:rFonts w:ascii="宋体"/>
              </w:rPr>
            </w:pPr>
          </w:p>
        </w:tc>
        <w:tc>
          <w:tcPr>
            <w:tcW w:w="0" w:type="auto"/>
            <w:shd w:val="clear" w:color="auto" w:fill="auto"/>
          </w:tcPr>
          <w:p w14:paraId="1D025A28" w14:textId="77777777" w:rsidR="004421F6" w:rsidRDefault="004421F6">
            <w:pPr>
              <w:rPr>
                <w:rFonts w:ascii="宋体"/>
              </w:rPr>
            </w:pPr>
          </w:p>
        </w:tc>
        <w:tc>
          <w:tcPr>
            <w:tcW w:w="0" w:type="auto"/>
            <w:shd w:val="clear" w:color="auto" w:fill="auto"/>
          </w:tcPr>
          <w:p w14:paraId="1D025A29" w14:textId="77777777" w:rsidR="004421F6" w:rsidRDefault="004421F6">
            <w:pPr>
              <w:rPr>
                <w:rFonts w:ascii="宋体"/>
              </w:rPr>
            </w:pPr>
          </w:p>
        </w:tc>
        <w:tc>
          <w:tcPr>
            <w:tcW w:w="0" w:type="auto"/>
            <w:shd w:val="clear" w:color="auto" w:fill="auto"/>
          </w:tcPr>
          <w:p w14:paraId="1D025A2A" w14:textId="77777777" w:rsidR="004421F6" w:rsidRDefault="004421F6">
            <w:pPr>
              <w:rPr>
                <w:rFonts w:ascii="宋体"/>
              </w:rPr>
            </w:pPr>
          </w:p>
        </w:tc>
        <w:tc>
          <w:tcPr>
            <w:tcW w:w="0" w:type="auto"/>
            <w:shd w:val="clear" w:color="auto" w:fill="auto"/>
          </w:tcPr>
          <w:p w14:paraId="1D025A2B" w14:textId="77777777" w:rsidR="004421F6" w:rsidRDefault="004421F6">
            <w:pPr>
              <w:rPr>
                <w:rFonts w:ascii="宋体"/>
              </w:rPr>
            </w:pPr>
          </w:p>
        </w:tc>
        <w:tc>
          <w:tcPr>
            <w:tcW w:w="0" w:type="auto"/>
            <w:shd w:val="clear" w:color="auto" w:fill="auto"/>
          </w:tcPr>
          <w:p w14:paraId="1D025A2C" w14:textId="77777777" w:rsidR="004421F6" w:rsidRDefault="004421F6">
            <w:pPr>
              <w:rPr>
                <w:rFonts w:ascii="宋体"/>
              </w:rPr>
            </w:pPr>
          </w:p>
        </w:tc>
        <w:tc>
          <w:tcPr>
            <w:tcW w:w="0" w:type="auto"/>
            <w:shd w:val="clear" w:color="auto" w:fill="auto"/>
          </w:tcPr>
          <w:p w14:paraId="1D025A2D" w14:textId="77777777" w:rsidR="004421F6" w:rsidRDefault="004421F6">
            <w:pPr>
              <w:rPr>
                <w:rFonts w:ascii="宋体"/>
              </w:rPr>
            </w:pPr>
          </w:p>
        </w:tc>
      </w:tr>
      <w:tr w:rsidR="004421F6" w14:paraId="1D025A3B" w14:textId="77777777">
        <w:tc>
          <w:tcPr>
            <w:tcW w:w="0" w:type="auto"/>
            <w:gridSpan w:val="3"/>
            <w:shd w:val="clear" w:color="auto" w:fill="auto"/>
            <w:tcMar>
              <w:top w:w="40" w:type="dxa"/>
              <w:left w:w="20" w:type="dxa"/>
              <w:bottom w:w="40" w:type="dxa"/>
              <w:right w:w="20" w:type="dxa"/>
            </w:tcMar>
            <w:vAlign w:val="bottom"/>
          </w:tcPr>
          <w:p w14:paraId="1D025A2F"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1D025A30" w14:textId="77777777" w:rsidR="004421F6" w:rsidRDefault="004421F6">
            <w:pPr>
              <w:jc w:val="right"/>
              <w:rPr>
                <w:rFonts w:ascii="宋体"/>
              </w:rPr>
            </w:pPr>
          </w:p>
        </w:tc>
        <w:tc>
          <w:tcPr>
            <w:tcW w:w="0" w:type="auto"/>
            <w:gridSpan w:val="3"/>
            <w:shd w:val="clear" w:color="auto" w:fill="auto"/>
          </w:tcPr>
          <w:p w14:paraId="1D025A31" w14:textId="77777777" w:rsidR="004421F6" w:rsidRDefault="004421F6">
            <w:pPr>
              <w:rPr>
                <w:rFonts w:ascii="宋体"/>
                <w:vanish/>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A32"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left w:w="20" w:type="dxa"/>
              <w:right w:w="20" w:type="dxa"/>
            </w:tcMar>
            <w:vAlign w:val="bottom"/>
          </w:tcPr>
          <w:p w14:paraId="1D025A33" w14:textId="77777777" w:rsidR="004421F6" w:rsidRDefault="004421F6">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A34"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shd w:val="clear" w:color="auto" w:fill="auto"/>
          </w:tcPr>
          <w:p w14:paraId="1D025A35" w14:textId="77777777" w:rsidR="004421F6" w:rsidRDefault="004421F6">
            <w:pPr>
              <w:rPr>
                <w:rFonts w:ascii="宋体"/>
              </w:rPr>
            </w:pPr>
          </w:p>
        </w:tc>
        <w:tc>
          <w:tcPr>
            <w:tcW w:w="0" w:type="auto"/>
            <w:shd w:val="clear" w:color="auto" w:fill="auto"/>
          </w:tcPr>
          <w:p w14:paraId="1D025A36" w14:textId="77777777" w:rsidR="004421F6" w:rsidRDefault="004421F6">
            <w:pPr>
              <w:rPr>
                <w:rFonts w:ascii="宋体"/>
              </w:rPr>
            </w:pPr>
          </w:p>
        </w:tc>
        <w:tc>
          <w:tcPr>
            <w:tcW w:w="0" w:type="auto"/>
            <w:shd w:val="clear" w:color="auto" w:fill="auto"/>
          </w:tcPr>
          <w:p w14:paraId="1D025A37" w14:textId="77777777" w:rsidR="004421F6" w:rsidRDefault="004421F6">
            <w:pPr>
              <w:rPr>
                <w:rFonts w:ascii="宋体"/>
              </w:rPr>
            </w:pPr>
          </w:p>
        </w:tc>
        <w:tc>
          <w:tcPr>
            <w:tcW w:w="0" w:type="auto"/>
            <w:shd w:val="clear" w:color="auto" w:fill="auto"/>
          </w:tcPr>
          <w:p w14:paraId="1D025A38" w14:textId="77777777" w:rsidR="004421F6" w:rsidRDefault="004421F6">
            <w:pPr>
              <w:rPr>
                <w:rFonts w:ascii="宋体"/>
              </w:rPr>
            </w:pPr>
          </w:p>
        </w:tc>
        <w:tc>
          <w:tcPr>
            <w:tcW w:w="0" w:type="auto"/>
            <w:shd w:val="clear" w:color="auto" w:fill="auto"/>
          </w:tcPr>
          <w:p w14:paraId="1D025A39" w14:textId="77777777" w:rsidR="004421F6" w:rsidRDefault="004421F6">
            <w:pPr>
              <w:rPr>
                <w:rFonts w:ascii="宋体"/>
              </w:rPr>
            </w:pPr>
          </w:p>
        </w:tc>
        <w:tc>
          <w:tcPr>
            <w:tcW w:w="0" w:type="auto"/>
            <w:shd w:val="clear" w:color="auto" w:fill="auto"/>
          </w:tcPr>
          <w:p w14:paraId="1D025A3A" w14:textId="77777777" w:rsidR="004421F6" w:rsidRDefault="004421F6">
            <w:pPr>
              <w:rPr>
                <w:rFonts w:ascii="宋体"/>
              </w:rPr>
            </w:pPr>
          </w:p>
        </w:tc>
      </w:tr>
      <w:tr w:rsidR="004421F6" w14:paraId="1D025A4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A3C" w14:textId="77777777" w:rsidR="004421F6" w:rsidRDefault="00F15622">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left w:w="20" w:type="dxa"/>
              <w:right w:w="20" w:type="dxa"/>
            </w:tcMar>
            <w:vAlign w:val="bottom"/>
          </w:tcPr>
          <w:p w14:paraId="1D025A3D"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A3E"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A3F"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A40" w14:textId="77777777" w:rsidR="004421F6" w:rsidRDefault="004421F6">
            <w:pPr>
              <w:rPr>
                <w:rFonts w:ascii="宋体"/>
              </w:rPr>
            </w:pPr>
          </w:p>
        </w:tc>
        <w:tc>
          <w:tcPr>
            <w:tcW w:w="0" w:type="auto"/>
            <w:shd w:val="clear" w:color="auto" w:fill="auto"/>
          </w:tcPr>
          <w:p w14:paraId="1D025A41" w14:textId="77777777" w:rsidR="004421F6" w:rsidRDefault="004421F6">
            <w:pPr>
              <w:rPr>
                <w:rFonts w:ascii="宋体"/>
              </w:rPr>
            </w:pPr>
          </w:p>
        </w:tc>
        <w:tc>
          <w:tcPr>
            <w:tcW w:w="0" w:type="auto"/>
            <w:shd w:val="clear" w:color="auto" w:fill="auto"/>
          </w:tcPr>
          <w:p w14:paraId="1D025A42" w14:textId="77777777" w:rsidR="004421F6" w:rsidRDefault="004421F6">
            <w:pPr>
              <w:rPr>
                <w:rFonts w:ascii="宋体"/>
              </w:rPr>
            </w:pPr>
          </w:p>
        </w:tc>
        <w:tc>
          <w:tcPr>
            <w:tcW w:w="0" w:type="auto"/>
            <w:shd w:val="clear" w:color="auto" w:fill="auto"/>
          </w:tcPr>
          <w:p w14:paraId="1D025A43" w14:textId="77777777" w:rsidR="004421F6" w:rsidRDefault="004421F6">
            <w:pPr>
              <w:rPr>
                <w:rFonts w:ascii="宋体"/>
              </w:rPr>
            </w:pPr>
          </w:p>
        </w:tc>
        <w:tc>
          <w:tcPr>
            <w:tcW w:w="0" w:type="auto"/>
            <w:shd w:val="clear" w:color="auto" w:fill="auto"/>
          </w:tcPr>
          <w:p w14:paraId="1D025A44" w14:textId="77777777" w:rsidR="004421F6" w:rsidRDefault="004421F6">
            <w:pPr>
              <w:rPr>
                <w:rFonts w:ascii="宋体"/>
              </w:rPr>
            </w:pPr>
          </w:p>
        </w:tc>
        <w:tc>
          <w:tcPr>
            <w:tcW w:w="0" w:type="auto"/>
            <w:shd w:val="clear" w:color="auto" w:fill="auto"/>
          </w:tcPr>
          <w:p w14:paraId="1D025A45" w14:textId="77777777" w:rsidR="004421F6" w:rsidRDefault="004421F6">
            <w:pPr>
              <w:rPr>
                <w:rFonts w:ascii="宋体"/>
              </w:rPr>
            </w:pPr>
          </w:p>
        </w:tc>
        <w:tc>
          <w:tcPr>
            <w:tcW w:w="0" w:type="auto"/>
            <w:shd w:val="clear" w:color="auto" w:fill="auto"/>
          </w:tcPr>
          <w:p w14:paraId="1D025A46" w14:textId="77777777" w:rsidR="004421F6" w:rsidRDefault="004421F6">
            <w:pPr>
              <w:rPr>
                <w:rFonts w:ascii="宋体"/>
              </w:rPr>
            </w:pPr>
          </w:p>
        </w:tc>
        <w:tc>
          <w:tcPr>
            <w:tcW w:w="0" w:type="auto"/>
            <w:shd w:val="clear" w:color="auto" w:fill="auto"/>
          </w:tcPr>
          <w:p w14:paraId="1D025A47" w14:textId="77777777" w:rsidR="004421F6" w:rsidRDefault="004421F6">
            <w:pPr>
              <w:rPr>
                <w:rFonts w:ascii="宋体"/>
              </w:rPr>
            </w:pPr>
          </w:p>
        </w:tc>
        <w:tc>
          <w:tcPr>
            <w:tcW w:w="0" w:type="auto"/>
            <w:shd w:val="clear" w:color="auto" w:fill="auto"/>
          </w:tcPr>
          <w:p w14:paraId="1D025A48" w14:textId="77777777" w:rsidR="004421F6" w:rsidRDefault="004421F6">
            <w:pPr>
              <w:rPr>
                <w:rFonts w:ascii="宋体"/>
              </w:rPr>
            </w:pPr>
          </w:p>
        </w:tc>
        <w:tc>
          <w:tcPr>
            <w:tcW w:w="0" w:type="auto"/>
            <w:shd w:val="clear" w:color="auto" w:fill="auto"/>
          </w:tcPr>
          <w:p w14:paraId="1D025A49" w14:textId="77777777" w:rsidR="004421F6" w:rsidRDefault="004421F6">
            <w:pPr>
              <w:rPr>
                <w:rFonts w:ascii="宋体"/>
              </w:rPr>
            </w:pPr>
          </w:p>
        </w:tc>
      </w:tr>
      <w:tr w:rsidR="004421F6" w14:paraId="1D025A5D"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A4B" w14:textId="77777777" w:rsidR="004421F6" w:rsidRDefault="00F15622">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A4C" w14:textId="77777777" w:rsidR="004421F6" w:rsidRDefault="00F15622">
            <w:pPr>
              <w:jc w:val="right"/>
              <w:textAlignment w:val="bottom"/>
            </w:pPr>
            <w:r>
              <w:rPr>
                <w:rFonts w:ascii="Arial" w:eastAsia="宋体" w:hAnsi="Arial" w:cs="Arial"/>
                <w:color w:val="000000"/>
                <w:sz w:val="17"/>
                <w:szCs w:val="17"/>
              </w:rPr>
              <w:t>Prepaid expenses and other current assets</w:t>
            </w:r>
          </w:p>
        </w:tc>
        <w:tc>
          <w:tcPr>
            <w:tcW w:w="0" w:type="auto"/>
            <w:tcBorders>
              <w:top w:val="single" w:sz="8" w:space="0" w:color="808080"/>
            </w:tcBorders>
            <w:shd w:val="clear" w:color="auto" w:fill="FFF1E7"/>
            <w:tcMar>
              <w:top w:w="40" w:type="dxa"/>
              <w:left w:w="20" w:type="dxa"/>
              <w:bottom w:w="40" w:type="dxa"/>
            </w:tcMar>
            <w:vAlign w:val="bottom"/>
          </w:tcPr>
          <w:p w14:paraId="1D025A4D"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5A4E" w14:textId="77777777" w:rsidR="004421F6" w:rsidRDefault="00F15622">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FFF1E7"/>
            <w:tcMar>
              <w:top w:w="40" w:type="dxa"/>
              <w:bottom w:w="40" w:type="dxa"/>
              <w:right w:w="20" w:type="dxa"/>
            </w:tcMar>
            <w:vAlign w:val="bottom"/>
          </w:tcPr>
          <w:p w14:paraId="1D025A4F"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A50" w14:textId="77777777" w:rsidR="004421F6" w:rsidRDefault="004421F6">
            <w:pPr>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5A51"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5A52" w14:textId="77777777" w:rsidR="004421F6" w:rsidRDefault="00F15622">
            <w:pPr>
              <w:jc w:val="right"/>
              <w:textAlignment w:val="bottom"/>
            </w:pPr>
            <w:r>
              <w:rPr>
                <w:rFonts w:ascii="Arial" w:eastAsia="宋体" w:hAnsi="Arial" w:cs="Arial"/>
                <w:color w:val="000000"/>
                <w:sz w:val="17"/>
                <w:szCs w:val="17"/>
              </w:rPr>
              <w:t>43 </w:t>
            </w:r>
          </w:p>
        </w:tc>
        <w:tc>
          <w:tcPr>
            <w:tcW w:w="0" w:type="auto"/>
            <w:tcBorders>
              <w:top w:val="single" w:sz="8" w:space="0" w:color="808080"/>
            </w:tcBorders>
            <w:shd w:val="clear" w:color="auto" w:fill="auto"/>
            <w:tcMar>
              <w:top w:w="40" w:type="dxa"/>
              <w:bottom w:w="40" w:type="dxa"/>
              <w:right w:w="20" w:type="dxa"/>
            </w:tcMar>
            <w:vAlign w:val="bottom"/>
          </w:tcPr>
          <w:p w14:paraId="1D025A53" w14:textId="77777777" w:rsidR="004421F6" w:rsidRDefault="004421F6">
            <w:pPr>
              <w:jc w:val="right"/>
              <w:rPr>
                <w:rFonts w:ascii="宋体"/>
              </w:rPr>
            </w:pPr>
          </w:p>
        </w:tc>
        <w:tc>
          <w:tcPr>
            <w:tcW w:w="0" w:type="auto"/>
            <w:shd w:val="clear" w:color="auto" w:fill="auto"/>
          </w:tcPr>
          <w:p w14:paraId="1D025A54" w14:textId="77777777" w:rsidR="004421F6" w:rsidRDefault="004421F6">
            <w:pPr>
              <w:rPr>
                <w:rFonts w:ascii="宋体"/>
              </w:rPr>
            </w:pPr>
          </w:p>
        </w:tc>
        <w:tc>
          <w:tcPr>
            <w:tcW w:w="0" w:type="auto"/>
            <w:shd w:val="clear" w:color="auto" w:fill="auto"/>
          </w:tcPr>
          <w:p w14:paraId="1D025A55" w14:textId="77777777" w:rsidR="004421F6" w:rsidRDefault="004421F6">
            <w:pPr>
              <w:rPr>
                <w:rFonts w:ascii="宋体"/>
              </w:rPr>
            </w:pPr>
          </w:p>
        </w:tc>
        <w:tc>
          <w:tcPr>
            <w:tcW w:w="0" w:type="auto"/>
            <w:shd w:val="clear" w:color="auto" w:fill="auto"/>
          </w:tcPr>
          <w:p w14:paraId="1D025A56" w14:textId="77777777" w:rsidR="004421F6" w:rsidRDefault="004421F6">
            <w:pPr>
              <w:rPr>
                <w:rFonts w:ascii="宋体"/>
              </w:rPr>
            </w:pPr>
          </w:p>
        </w:tc>
        <w:tc>
          <w:tcPr>
            <w:tcW w:w="0" w:type="auto"/>
            <w:shd w:val="clear" w:color="auto" w:fill="auto"/>
          </w:tcPr>
          <w:p w14:paraId="1D025A57" w14:textId="77777777" w:rsidR="004421F6" w:rsidRDefault="004421F6">
            <w:pPr>
              <w:rPr>
                <w:rFonts w:ascii="宋体"/>
              </w:rPr>
            </w:pPr>
          </w:p>
        </w:tc>
        <w:tc>
          <w:tcPr>
            <w:tcW w:w="0" w:type="auto"/>
            <w:shd w:val="clear" w:color="auto" w:fill="auto"/>
          </w:tcPr>
          <w:p w14:paraId="1D025A58" w14:textId="77777777" w:rsidR="004421F6" w:rsidRDefault="004421F6">
            <w:pPr>
              <w:rPr>
                <w:rFonts w:ascii="宋体"/>
              </w:rPr>
            </w:pPr>
          </w:p>
        </w:tc>
        <w:tc>
          <w:tcPr>
            <w:tcW w:w="0" w:type="auto"/>
            <w:shd w:val="clear" w:color="auto" w:fill="auto"/>
          </w:tcPr>
          <w:p w14:paraId="1D025A59" w14:textId="77777777" w:rsidR="004421F6" w:rsidRDefault="004421F6">
            <w:pPr>
              <w:rPr>
                <w:rFonts w:ascii="宋体"/>
              </w:rPr>
            </w:pPr>
          </w:p>
        </w:tc>
        <w:tc>
          <w:tcPr>
            <w:tcW w:w="0" w:type="auto"/>
            <w:shd w:val="clear" w:color="auto" w:fill="auto"/>
          </w:tcPr>
          <w:p w14:paraId="1D025A5A" w14:textId="77777777" w:rsidR="004421F6" w:rsidRDefault="004421F6">
            <w:pPr>
              <w:rPr>
                <w:rFonts w:ascii="宋体"/>
              </w:rPr>
            </w:pPr>
          </w:p>
        </w:tc>
        <w:tc>
          <w:tcPr>
            <w:tcW w:w="0" w:type="auto"/>
            <w:shd w:val="clear" w:color="auto" w:fill="auto"/>
          </w:tcPr>
          <w:p w14:paraId="1D025A5B" w14:textId="77777777" w:rsidR="004421F6" w:rsidRDefault="004421F6">
            <w:pPr>
              <w:rPr>
                <w:rFonts w:ascii="宋体"/>
              </w:rPr>
            </w:pPr>
          </w:p>
        </w:tc>
        <w:tc>
          <w:tcPr>
            <w:tcW w:w="0" w:type="auto"/>
            <w:shd w:val="clear" w:color="auto" w:fill="auto"/>
          </w:tcPr>
          <w:p w14:paraId="1D025A5C" w14:textId="77777777" w:rsidR="004421F6" w:rsidRDefault="004421F6">
            <w:pPr>
              <w:rPr>
                <w:rFonts w:ascii="宋体"/>
              </w:rPr>
            </w:pPr>
          </w:p>
        </w:tc>
      </w:tr>
      <w:tr w:rsidR="004421F6" w14:paraId="1D025A6E"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A5E" w14:textId="77777777" w:rsidR="004421F6" w:rsidRDefault="00F15622">
            <w:pPr>
              <w:textAlignment w:val="bottom"/>
            </w:pPr>
            <w:r>
              <w:rPr>
                <w:rFonts w:ascii="Arial" w:eastAsia="宋体" w:hAnsi="Arial" w:cs="Arial"/>
                <w:color w:val="000000"/>
                <w:sz w:val="17"/>
                <w:szCs w:val="17"/>
              </w:rPr>
              <w:t>Forei</w:t>
            </w:r>
            <w:r>
              <w:rPr>
                <w:rFonts w:ascii="Arial" w:eastAsia="宋体" w:hAnsi="Arial" w:cs="Arial"/>
                <w:color w:val="000000"/>
                <w:sz w:val="17"/>
                <w:szCs w:val="17"/>
              </w:rPr>
              <w:t>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A5F" w14:textId="77777777" w:rsidR="004421F6" w:rsidRDefault="00F15622">
            <w:pPr>
              <w:jc w:val="right"/>
              <w:textAlignment w:val="bottom"/>
            </w:pPr>
            <w:r>
              <w:rPr>
                <w:rFonts w:ascii="Arial" w:eastAsia="宋体" w:hAnsi="Arial" w:cs="Arial"/>
                <w:color w:val="000000"/>
                <w:sz w:val="17"/>
                <w:szCs w:val="17"/>
              </w:rPr>
              <w:t>Deferred income taxes and other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A60" w14:textId="77777777" w:rsidR="004421F6" w:rsidRDefault="00F1562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FFF1E7"/>
            <w:tcMar>
              <w:top w:w="40" w:type="dxa"/>
              <w:bottom w:w="40" w:type="dxa"/>
              <w:right w:w="20" w:type="dxa"/>
            </w:tcMar>
            <w:vAlign w:val="bottom"/>
          </w:tcPr>
          <w:p w14:paraId="1D025A61"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A62"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A63"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bottom w:w="40" w:type="dxa"/>
              <w:right w:w="20" w:type="dxa"/>
            </w:tcMar>
            <w:vAlign w:val="bottom"/>
          </w:tcPr>
          <w:p w14:paraId="1D025A64" w14:textId="77777777" w:rsidR="004421F6" w:rsidRDefault="004421F6">
            <w:pPr>
              <w:jc w:val="right"/>
              <w:rPr>
                <w:rFonts w:ascii="宋体"/>
              </w:rPr>
            </w:pPr>
          </w:p>
        </w:tc>
        <w:tc>
          <w:tcPr>
            <w:tcW w:w="0" w:type="auto"/>
            <w:shd w:val="clear" w:color="auto" w:fill="auto"/>
          </w:tcPr>
          <w:p w14:paraId="1D025A65" w14:textId="77777777" w:rsidR="004421F6" w:rsidRDefault="004421F6">
            <w:pPr>
              <w:rPr>
                <w:rFonts w:ascii="宋体"/>
              </w:rPr>
            </w:pPr>
          </w:p>
        </w:tc>
        <w:tc>
          <w:tcPr>
            <w:tcW w:w="0" w:type="auto"/>
            <w:shd w:val="clear" w:color="auto" w:fill="auto"/>
          </w:tcPr>
          <w:p w14:paraId="1D025A66" w14:textId="77777777" w:rsidR="004421F6" w:rsidRDefault="004421F6">
            <w:pPr>
              <w:rPr>
                <w:rFonts w:ascii="宋体"/>
              </w:rPr>
            </w:pPr>
          </w:p>
        </w:tc>
        <w:tc>
          <w:tcPr>
            <w:tcW w:w="0" w:type="auto"/>
            <w:shd w:val="clear" w:color="auto" w:fill="auto"/>
          </w:tcPr>
          <w:p w14:paraId="1D025A67" w14:textId="77777777" w:rsidR="004421F6" w:rsidRDefault="004421F6">
            <w:pPr>
              <w:rPr>
                <w:rFonts w:ascii="宋体"/>
              </w:rPr>
            </w:pPr>
          </w:p>
        </w:tc>
        <w:tc>
          <w:tcPr>
            <w:tcW w:w="0" w:type="auto"/>
            <w:shd w:val="clear" w:color="auto" w:fill="auto"/>
          </w:tcPr>
          <w:p w14:paraId="1D025A68" w14:textId="77777777" w:rsidR="004421F6" w:rsidRDefault="004421F6">
            <w:pPr>
              <w:rPr>
                <w:rFonts w:ascii="宋体"/>
              </w:rPr>
            </w:pPr>
          </w:p>
        </w:tc>
        <w:tc>
          <w:tcPr>
            <w:tcW w:w="0" w:type="auto"/>
            <w:shd w:val="clear" w:color="auto" w:fill="auto"/>
          </w:tcPr>
          <w:p w14:paraId="1D025A69" w14:textId="77777777" w:rsidR="004421F6" w:rsidRDefault="004421F6">
            <w:pPr>
              <w:rPr>
                <w:rFonts w:ascii="宋体"/>
              </w:rPr>
            </w:pPr>
          </w:p>
        </w:tc>
        <w:tc>
          <w:tcPr>
            <w:tcW w:w="0" w:type="auto"/>
            <w:shd w:val="clear" w:color="auto" w:fill="auto"/>
          </w:tcPr>
          <w:p w14:paraId="1D025A6A" w14:textId="77777777" w:rsidR="004421F6" w:rsidRDefault="004421F6">
            <w:pPr>
              <w:rPr>
                <w:rFonts w:ascii="宋体"/>
              </w:rPr>
            </w:pPr>
          </w:p>
        </w:tc>
        <w:tc>
          <w:tcPr>
            <w:tcW w:w="0" w:type="auto"/>
            <w:shd w:val="clear" w:color="auto" w:fill="auto"/>
          </w:tcPr>
          <w:p w14:paraId="1D025A6B" w14:textId="77777777" w:rsidR="004421F6" w:rsidRDefault="004421F6">
            <w:pPr>
              <w:rPr>
                <w:rFonts w:ascii="宋体"/>
              </w:rPr>
            </w:pPr>
          </w:p>
        </w:tc>
        <w:tc>
          <w:tcPr>
            <w:tcW w:w="0" w:type="auto"/>
            <w:shd w:val="clear" w:color="auto" w:fill="auto"/>
          </w:tcPr>
          <w:p w14:paraId="1D025A6C" w14:textId="77777777" w:rsidR="004421F6" w:rsidRDefault="004421F6">
            <w:pPr>
              <w:rPr>
                <w:rFonts w:ascii="宋体"/>
              </w:rPr>
            </w:pPr>
          </w:p>
        </w:tc>
        <w:tc>
          <w:tcPr>
            <w:tcW w:w="0" w:type="auto"/>
            <w:shd w:val="clear" w:color="auto" w:fill="auto"/>
          </w:tcPr>
          <w:p w14:paraId="1D025A6D" w14:textId="77777777" w:rsidR="004421F6" w:rsidRDefault="004421F6">
            <w:pPr>
              <w:rPr>
                <w:rFonts w:ascii="宋体"/>
              </w:rPr>
            </w:pPr>
          </w:p>
        </w:tc>
      </w:tr>
      <w:tr w:rsidR="004421F6" w14:paraId="1D025A7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A6F" w14:textId="77777777" w:rsidR="004421F6" w:rsidRDefault="00F15622">
            <w:pPr>
              <w:textAlignment w:val="bottom"/>
            </w:pPr>
            <w:r>
              <w:rPr>
                <w:rFonts w:ascii="Arial" w:eastAsia="宋体" w:hAnsi="Arial" w:cs="Arial"/>
                <w:color w:val="000000"/>
                <w:sz w:val="17"/>
                <w:szCs w:val="17"/>
              </w:rPr>
              <w:t>Total derivatives formally designated as hedging instruments</w:t>
            </w:r>
          </w:p>
        </w:tc>
        <w:tc>
          <w:tcPr>
            <w:tcW w:w="0" w:type="auto"/>
            <w:gridSpan w:val="3"/>
            <w:tcBorders>
              <w:top w:val="single" w:sz="8" w:space="0" w:color="E87722"/>
            </w:tcBorders>
            <w:shd w:val="clear" w:color="auto" w:fill="auto"/>
            <w:tcMar>
              <w:left w:w="20" w:type="dxa"/>
              <w:right w:w="20" w:type="dxa"/>
            </w:tcMar>
            <w:vAlign w:val="bottom"/>
          </w:tcPr>
          <w:p w14:paraId="1D025A70" w14:textId="77777777" w:rsidR="004421F6" w:rsidRDefault="004421F6">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A71" w14:textId="77777777" w:rsidR="004421F6" w:rsidRDefault="00F15622">
            <w:pPr>
              <w:jc w:val="right"/>
              <w:textAlignment w:val="bottom"/>
            </w:pPr>
            <w:r>
              <w:rPr>
                <w:rFonts w:ascii="Arial" w:eastAsia="宋体" w:hAnsi="Arial" w:cs="Arial"/>
                <w:color w:val="000000"/>
                <w:sz w:val="17"/>
                <w:szCs w:val="17"/>
              </w:rPr>
              <w:t>16 </w:t>
            </w:r>
          </w:p>
        </w:tc>
        <w:tc>
          <w:tcPr>
            <w:tcW w:w="0" w:type="auto"/>
            <w:tcBorders>
              <w:top w:val="single" w:sz="8" w:space="0" w:color="E87722"/>
            </w:tcBorders>
            <w:shd w:val="clear" w:color="auto" w:fill="FFF1E7"/>
            <w:tcMar>
              <w:top w:w="40" w:type="dxa"/>
              <w:bottom w:w="40" w:type="dxa"/>
              <w:right w:w="20" w:type="dxa"/>
            </w:tcMar>
            <w:vAlign w:val="bottom"/>
          </w:tcPr>
          <w:p w14:paraId="1D025A72"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A73" w14:textId="77777777" w:rsidR="004421F6" w:rsidRDefault="004421F6">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A74" w14:textId="77777777" w:rsidR="004421F6" w:rsidRDefault="00F15622">
            <w:pPr>
              <w:jc w:val="right"/>
              <w:textAlignment w:val="bottom"/>
            </w:pPr>
            <w:r>
              <w:rPr>
                <w:rFonts w:ascii="Arial" w:eastAsia="宋体" w:hAnsi="Arial" w:cs="Arial"/>
                <w:color w:val="000000"/>
                <w:sz w:val="17"/>
                <w:szCs w:val="17"/>
              </w:rPr>
              <w:t>44 </w:t>
            </w:r>
          </w:p>
        </w:tc>
        <w:tc>
          <w:tcPr>
            <w:tcW w:w="0" w:type="auto"/>
            <w:tcBorders>
              <w:top w:val="single" w:sz="8" w:space="0" w:color="E87722"/>
            </w:tcBorders>
            <w:shd w:val="clear" w:color="auto" w:fill="auto"/>
            <w:tcMar>
              <w:top w:w="40" w:type="dxa"/>
              <w:bottom w:w="40" w:type="dxa"/>
              <w:right w:w="20" w:type="dxa"/>
            </w:tcMar>
            <w:vAlign w:val="bottom"/>
          </w:tcPr>
          <w:p w14:paraId="1D025A75" w14:textId="77777777" w:rsidR="004421F6" w:rsidRDefault="004421F6">
            <w:pPr>
              <w:jc w:val="right"/>
              <w:rPr>
                <w:rFonts w:ascii="宋体"/>
              </w:rPr>
            </w:pPr>
          </w:p>
        </w:tc>
        <w:tc>
          <w:tcPr>
            <w:tcW w:w="0" w:type="auto"/>
            <w:shd w:val="clear" w:color="auto" w:fill="auto"/>
          </w:tcPr>
          <w:p w14:paraId="1D025A76" w14:textId="77777777" w:rsidR="004421F6" w:rsidRDefault="004421F6">
            <w:pPr>
              <w:rPr>
                <w:rFonts w:ascii="宋体"/>
              </w:rPr>
            </w:pPr>
          </w:p>
        </w:tc>
        <w:tc>
          <w:tcPr>
            <w:tcW w:w="0" w:type="auto"/>
            <w:shd w:val="clear" w:color="auto" w:fill="auto"/>
          </w:tcPr>
          <w:p w14:paraId="1D025A77" w14:textId="77777777" w:rsidR="004421F6" w:rsidRDefault="004421F6">
            <w:pPr>
              <w:rPr>
                <w:rFonts w:ascii="宋体"/>
              </w:rPr>
            </w:pPr>
          </w:p>
        </w:tc>
        <w:tc>
          <w:tcPr>
            <w:tcW w:w="0" w:type="auto"/>
            <w:shd w:val="clear" w:color="auto" w:fill="auto"/>
          </w:tcPr>
          <w:p w14:paraId="1D025A78" w14:textId="77777777" w:rsidR="004421F6" w:rsidRDefault="004421F6">
            <w:pPr>
              <w:rPr>
                <w:rFonts w:ascii="宋体"/>
              </w:rPr>
            </w:pPr>
          </w:p>
        </w:tc>
        <w:tc>
          <w:tcPr>
            <w:tcW w:w="0" w:type="auto"/>
            <w:shd w:val="clear" w:color="auto" w:fill="auto"/>
          </w:tcPr>
          <w:p w14:paraId="1D025A79" w14:textId="77777777" w:rsidR="004421F6" w:rsidRDefault="004421F6">
            <w:pPr>
              <w:rPr>
                <w:rFonts w:ascii="宋体"/>
              </w:rPr>
            </w:pPr>
          </w:p>
        </w:tc>
        <w:tc>
          <w:tcPr>
            <w:tcW w:w="0" w:type="auto"/>
            <w:shd w:val="clear" w:color="auto" w:fill="auto"/>
          </w:tcPr>
          <w:p w14:paraId="1D025A7A" w14:textId="77777777" w:rsidR="004421F6" w:rsidRDefault="004421F6">
            <w:pPr>
              <w:rPr>
                <w:rFonts w:ascii="宋体"/>
              </w:rPr>
            </w:pPr>
          </w:p>
        </w:tc>
        <w:tc>
          <w:tcPr>
            <w:tcW w:w="0" w:type="auto"/>
            <w:shd w:val="clear" w:color="auto" w:fill="auto"/>
          </w:tcPr>
          <w:p w14:paraId="1D025A7B" w14:textId="77777777" w:rsidR="004421F6" w:rsidRDefault="004421F6">
            <w:pPr>
              <w:rPr>
                <w:rFonts w:ascii="宋体"/>
              </w:rPr>
            </w:pPr>
          </w:p>
        </w:tc>
        <w:tc>
          <w:tcPr>
            <w:tcW w:w="0" w:type="auto"/>
            <w:shd w:val="clear" w:color="auto" w:fill="auto"/>
          </w:tcPr>
          <w:p w14:paraId="1D025A7C" w14:textId="77777777" w:rsidR="004421F6" w:rsidRDefault="004421F6">
            <w:pPr>
              <w:rPr>
                <w:rFonts w:ascii="宋体"/>
              </w:rPr>
            </w:pPr>
          </w:p>
        </w:tc>
        <w:tc>
          <w:tcPr>
            <w:tcW w:w="0" w:type="auto"/>
            <w:shd w:val="clear" w:color="auto" w:fill="auto"/>
          </w:tcPr>
          <w:p w14:paraId="1D025A7D" w14:textId="77777777" w:rsidR="004421F6" w:rsidRDefault="004421F6">
            <w:pPr>
              <w:rPr>
                <w:rFonts w:ascii="宋体"/>
              </w:rPr>
            </w:pPr>
          </w:p>
        </w:tc>
        <w:tc>
          <w:tcPr>
            <w:tcW w:w="0" w:type="auto"/>
            <w:shd w:val="clear" w:color="auto" w:fill="auto"/>
          </w:tcPr>
          <w:p w14:paraId="1D025A7E" w14:textId="77777777" w:rsidR="004421F6" w:rsidRDefault="004421F6">
            <w:pPr>
              <w:rPr>
                <w:rFonts w:ascii="宋体"/>
              </w:rPr>
            </w:pPr>
          </w:p>
        </w:tc>
      </w:tr>
      <w:tr w:rsidR="004421F6" w14:paraId="1D025A8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A80" w14:textId="77777777" w:rsidR="004421F6" w:rsidRDefault="00F15622">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auto"/>
            <w:tcMar>
              <w:left w:w="20" w:type="dxa"/>
              <w:right w:w="20" w:type="dxa"/>
            </w:tcMar>
            <w:vAlign w:val="bottom"/>
          </w:tcPr>
          <w:p w14:paraId="1D025A81"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A82"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A83"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A84" w14:textId="77777777" w:rsidR="004421F6" w:rsidRDefault="004421F6">
            <w:pPr>
              <w:rPr>
                <w:rFonts w:ascii="宋体"/>
              </w:rPr>
            </w:pPr>
          </w:p>
        </w:tc>
        <w:tc>
          <w:tcPr>
            <w:tcW w:w="0" w:type="auto"/>
            <w:shd w:val="clear" w:color="auto" w:fill="auto"/>
          </w:tcPr>
          <w:p w14:paraId="1D025A85" w14:textId="77777777" w:rsidR="004421F6" w:rsidRDefault="004421F6">
            <w:pPr>
              <w:rPr>
                <w:rFonts w:ascii="宋体"/>
              </w:rPr>
            </w:pPr>
          </w:p>
        </w:tc>
        <w:tc>
          <w:tcPr>
            <w:tcW w:w="0" w:type="auto"/>
            <w:shd w:val="clear" w:color="auto" w:fill="auto"/>
          </w:tcPr>
          <w:p w14:paraId="1D025A86" w14:textId="77777777" w:rsidR="004421F6" w:rsidRDefault="004421F6">
            <w:pPr>
              <w:rPr>
                <w:rFonts w:ascii="宋体"/>
              </w:rPr>
            </w:pPr>
          </w:p>
        </w:tc>
        <w:tc>
          <w:tcPr>
            <w:tcW w:w="0" w:type="auto"/>
            <w:shd w:val="clear" w:color="auto" w:fill="auto"/>
          </w:tcPr>
          <w:p w14:paraId="1D025A87" w14:textId="77777777" w:rsidR="004421F6" w:rsidRDefault="004421F6">
            <w:pPr>
              <w:rPr>
                <w:rFonts w:ascii="宋体"/>
              </w:rPr>
            </w:pPr>
          </w:p>
        </w:tc>
        <w:tc>
          <w:tcPr>
            <w:tcW w:w="0" w:type="auto"/>
            <w:shd w:val="clear" w:color="auto" w:fill="auto"/>
          </w:tcPr>
          <w:p w14:paraId="1D025A88" w14:textId="77777777" w:rsidR="004421F6" w:rsidRDefault="004421F6">
            <w:pPr>
              <w:rPr>
                <w:rFonts w:ascii="宋体"/>
              </w:rPr>
            </w:pPr>
          </w:p>
        </w:tc>
        <w:tc>
          <w:tcPr>
            <w:tcW w:w="0" w:type="auto"/>
            <w:shd w:val="clear" w:color="auto" w:fill="auto"/>
          </w:tcPr>
          <w:p w14:paraId="1D025A89" w14:textId="77777777" w:rsidR="004421F6" w:rsidRDefault="004421F6">
            <w:pPr>
              <w:rPr>
                <w:rFonts w:ascii="宋体"/>
              </w:rPr>
            </w:pPr>
          </w:p>
        </w:tc>
        <w:tc>
          <w:tcPr>
            <w:tcW w:w="0" w:type="auto"/>
            <w:shd w:val="clear" w:color="auto" w:fill="auto"/>
          </w:tcPr>
          <w:p w14:paraId="1D025A8A" w14:textId="77777777" w:rsidR="004421F6" w:rsidRDefault="004421F6">
            <w:pPr>
              <w:rPr>
                <w:rFonts w:ascii="宋体"/>
              </w:rPr>
            </w:pPr>
          </w:p>
        </w:tc>
        <w:tc>
          <w:tcPr>
            <w:tcW w:w="0" w:type="auto"/>
            <w:shd w:val="clear" w:color="auto" w:fill="auto"/>
          </w:tcPr>
          <w:p w14:paraId="1D025A8B" w14:textId="77777777" w:rsidR="004421F6" w:rsidRDefault="004421F6">
            <w:pPr>
              <w:rPr>
                <w:rFonts w:ascii="宋体"/>
              </w:rPr>
            </w:pPr>
          </w:p>
        </w:tc>
        <w:tc>
          <w:tcPr>
            <w:tcW w:w="0" w:type="auto"/>
            <w:shd w:val="clear" w:color="auto" w:fill="auto"/>
          </w:tcPr>
          <w:p w14:paraId="1D025A8C" w14:textId="77777777" w:rsidR="004421F6" w:rsidRDefault="004421F6">
            <w:pPr>
              <w:rPr>
                <w:rFonts w:ascii="宋体"/>
              </w:rPr>
            </w:pPr>
          </w:p>
        </w:tc>
        <w:tc>
          <w:tcPr>
            <w:tcW w:w="0" w:type="auto"/>
            <w:shd w:val="clear" w:color="auto" w:fill="auto"/>
          </w:tcPr>
          <w:p w14:paraId="1D025A8D" w14:textId="77777777" w:rsidR="004421F6" w:rsidRDefault="004421F6">
            <w:pPr>
              <w:rPr>
                <w:rFonts w:ascii="宋体"/>
              </w:rPr>
            </w:pPr>
          </w:p>
        </w:tc>
      </w:tr>
      <w:tr w:rsidR="004421F6" w14:paraId="1D025A9F"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A8F" w14:textId="77777777" w:rsidR="004421F6" w:rsidRDefault="00F15622">
            <w:pPr>
              <w:textAlignment w:val="bottom"/>
            </w:pPr>
            <w:r>
              <w:rPr>
                <w:rFonts w:ascii="Arial" w:eastAsia="宋体" w:hAnsi="Arial" w:cs="Arial"/>
                <w:color w:val="000000"/>
                <w:sz w:val="17"/>
                <w:szCs w:val="17"/>
              </w:rPr>
              <w:t xml:space="preserve">Foreign </w:t>
            </w:r>
            <w:r>
              <w:rPr>
                <w:rFonts w:ascii="Arial" w:eastAsia="宋体" w:hAnsi="Arial" w:cs="Arial"/>
                <w:color w:val="000000"/>
                <w:sz w:val="17"/>
                <w:szCs w:val="17"/>
              </w:rPr>
              <w:t>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A90" w14:textId="77777777" w:rsidR="004421F6" w:rsidRDefault="00F15622">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A91" w14:textId="77777777" w:rsidR="004421F6" w:rsidRDefault="00F15622">
            <w:pPr>
              <w:jc w:val="right"/>
              <w:textAlignment w:val="bottom"/>
            </w:pPr>
            <w:r>
              <w:rPr>
                <w:rFonts w:ascii="Arial" w:eastAsia="宋体" w:hAnsi="Arial" w:cs="Arial"/>
                <w:color w:val="000000"/>
                <w:sz w:val="17"/>
                <w:szCs w:val="17"/>
              </w:rPr>
              <w:t>30 </w:t>
            </w:r>
          </w:p>
        </w:tc>
        <w:tc>
          <w:tcPr>
            <w:tcW w:w="0" w:type="auto"/>
            <w:tcBorders>
              <w:top w:val="single" w:sz="8" w:space="0" w:color="808080"/>
            </w:tcBorders>
            <w:shd w:val="clear" w:color="auto" w:fill="FFF1E7"/>
            <w:tcMar>
              <w:top w:w="40" w:type="dxa"/>
              <w:bottom w:w="40" w:type="dxa"/>
              <w:right w:w="20" w:type="dxa"/>
            </w:tcMar>
            <w:vAlign w:val="bottom"/>
          </w:tcPr>
          <w:p w14:paraId="1D025A92"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A93"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A94" w14:textId="77777777" w:rsidR="004421F6" w:rsidRDefault="00F15622">
            <w:pPr>
              <w:jc w:val="right"/>
              <w:textAlignment w:val="bottom"/>
            </w:pPr>
            <w:r>
              <w:rPr>
                <w:rFonts w:ascii="Arial" w:eastAsia="宋体" w:hAnsi="Arial" w:cs="Arial"/>
                <w:color w:val="000000"/>
                <w:sz w:val="17"/>
                <w:szCs w:val="17"/>
              </w:rPr>
              <w:t>48 </w:t>
            </w:r>
          </w:p>
        </w:tc>
        <w:tc>
          <w:tcPr>
            <w:tcW w:w="0" w:type="auto"/>
            <w:tcBorders>
              <w:top w:val="single" w:sz="8" w:space="0" w:color="808080"/>
            </w:tcBorders>
            <w:shd w:val="clear" w:color="auto" w:fill="auto"/>
            <w:tcMar>
              <w:top w:w="40" w:type="dxa"/>
              <w:bottom w:w="40" w:type="dxa"/>
              <w:right w:w="20" w:type="dxa"/>
            </w:tcMar>
            <w:vAlign w:val="bottom"/>
          </w:tcPr>
          <w:p w14:paraId="1D025A95" w14:textId="77777777" w:rsidR="004421F6" w:rsidRDefault="004421F6">
            <w:pPr>
              <w:jc w:val="right"/>
              <w:rPr>
                <w:rFonts w:ascii="宋体"/>
              </w:rPr>
            </w:pPr>
          </w:p>
        </w:tc>
        <w:tc>
          <w:tcPr>
            <w:tcW w:w="0" w:type="auto"/>
            <w:shd w:val="clear" w:color="auto" w:fill="auto"/>
          </w:tcPr>
          <w:p w14:paraId="1D025A96" w14:textId="77777777" w:rsidR="004421F6" w:rsidRDefault="004421F6">
            <w:pPr>
              <w:rPr>
                <w:rFonts w:ascii="宋体"/>
              </w:rPr>
            </w:pPr>
          </w:p>
        </w:tc>
        <w:tc>
          <w:tcPr>
            <w:tcW w:w="0" w:type="auto"/>
            <w:shd w:val="clear" w:color="auto" w:fill="auto"/>
          </w:tcPr>
          <w:p w14:paraId="1D025A97" w14:textId="77777777" w:rsidR="004421F6" w:rsidRDefault="004421F6">
            <w:pPr>
              <w:rPr>
                <w:rFonts w:ascii="宋体"/>
              </w:rPr>
            </w:pPr>
          </w:p>
        </w:tc>
        <w:tc>
          <w:tcPr>
            <w:tcW w:w="0" w:type="auto"/>
            <w:shd w:val="clear" w:color="auto" w:fill="auto"/>
          </w:tcPr>
          <w:p w14:paraId="1D025A98" w14:textId="77777777" w:rsidR="004421F6" w:rsidRDefault="004421F6">
            <w:pPr>
              <w:rPr>
                <w:rFonts w:ascii="宋体"/>
              </w:rPr>
            </w:pPr>
          </w:p>
        </w:tc>
        <w:tc>
          <w:tcPr>
            <w:tcW w:w="0" w:type="auto"/>
            <w:shd w:val="clear" w:color="auto" w:fill="auto"/>
          </w:tcPr>
          <w:p w14:paraId="1D025A99" w14:textId="77777777" w:rsidR="004421F6" w:rsidRDefault="004421F6">
            <w:pPr>
              <w:rPr>
                <w:rFonts w:ascii="宋体"/>
              </w:rPr>
            </w:pPr>
          </w:p>
        </w:tc>
        <w:tc>
          <w:tcPr>
            <w:tcW w:w="0" w:type="auto"/>
            <w:shd w:val="clear" w:color="auto" w:fill="auto"/>
          </w:tcPr>
          <w:p w14:paraId="1D025A9A" w14:textId="77777777" w:rsidR="004421F6" w:rsidRDefault="004421F6">
            <w:pPr>
              <w:rPr>
                <w:rFonts w:ascii="宋体"/>
              </w:rPr>
            </w:pPr>
          </w:p>
        </w:tc>
        <w:tc>
          <w:tcPr>
            <w:tcW w:w="0" w:type="auto"/>
            <w:shd w:val="clear" w:color="auto" w:fill="auto"/>
          </w:tcPr>
          <w:p w14:paraId="1D025A9B" w14:textId="77777777" w:rsidR="004421F6" w:rsidRDefault="004421F6">
            <w:pPr>
              <w:rPr>
                <w:rFonts w:ascii="宋体"/>
              </w:rPr>
            </w:pPr>
          </w:p>
        </w:tc>
        <w:tc>
          <w:tcPr>
            <w:tcW w:w="0" w:type="auto"/>
            <w:shd w:val="clear" w:color="auto" w:fill="auto"/>
          </w:tcPr>
          <w:p w14:paraId="1D025A9C" w14:textId="77777777" w:rsidR="004421F6" w:rsidRDefault="004421F6">
            <w:pPr>
              <w:rPr>
                <w:rFonts w:ascii="宋体"/>
              </w:rPr>
            </w:pPr>
          </w:p>
        </w:tc>
        <w:tc>
          <w:tcPr>
            <w:tcW w:w="0" w:type="auto"/>
            <w:shd w:val="clear" w:color="auto" w:fill="auto"/>
          </w:tcPr>
          <w:p w14:paraId="1D025A9D" w14:textId="77777777" w:rsidR="004421F6" w:rsidRDefault="004421F6">
            <w:pPr>
              <w:rPr>
                <w:rFonts w:ascii="宋体"/>
              </w:rPr>
            </w:pPr>
          </w:p>
        </w:tc>
        <w:tc>
          <w:tcPr>
            <w:tcW w:w="0" w:type="auto"/>
            <w:shd w:val="clear" w:color="auto" w:fill="auto"/>
          </w:tcPr>
          <w:p w14:paraId="1D025A9E" w14:textId="77777777" w:rsidR="004421F6" w:rsidRDefault="004421F6">
            <w:pPr>
              <w:rPr>
                <w:rFonts w:ascii="宋体"/>
              </w:rPr>
            </w:pPr>
          </w:p>
        </w:tc>
      </w:tr>
      <w:tr w:rsidR="004421F6" w14:paraId="1D025AB0"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AA0" w14:textId="77777777" w:rsidR="004421F6" w:rsidRDefault="00F15622">
            <w:pPr>
              <w:textAlignment w:val="bottom"/>
            </w:pPr>
            <w:r>
              <w:rPr>
                <w:rFonts w:ascii="Arial" w:eastAsia="宋体" w:hAnsi="Arial" w:cs="Arial"/>
                <w:color w:val="000000"/>
                <w:sz w:val="17"/>
                <w:szCs w:val="17"/>
              </w:rPr>
              <w:t>Embedded derivatives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AA1" w14:textId="77777777" w:rsidR="004421F6" w:rsidRDefault="00F15622">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AA2"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5AA3"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AA4"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AA5"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bottom w:w="40" w:type="dxa"/>
              <w:right w:w="20" w:type="dxa"/>
            </w:tcMar>
            <w:vAlign w:val="bottom"/>
          </w:tcPr>
          <w:p w14:paraId="1D025AA6" w14:textId="77777777" w:rsidR="004421F6" w:rsidRDefault="004421F6">
            <w:pPr>
              <w:jc w:val="right"/>
              <w:rPr>
                <w:rFonts w:ascii="宋体"/>
              </w:rPr>
            </w:pPr>
          </w:p>
        </w:tc>
        <w:tc>
          <w:tcPr>
            <w:tcW w:w="0" w:type="auto"/>
            <w:shd w:val="clear" w:color="auto" w:fill="auto"/>
          </w:tcPr>
          <w:p w14:paraId="1D025AA7" w14:textId="77777777" w:rsidR="004421F6" w:rsidRDefault="004421F6">
            <w:pPr>
              <w:rPr>
                <w:rFonts w:ascii="宋体"/>
              </w:rPr>
            </w:pPr>
          </w:p>
        </w:tc>
        <w:tc>
          <w:tcPr>
            <w:tcW w:w="0" w:type="auto"/>
            <w:shd w:val="clear" w:color="auto" w:fill="auto"/>
          </w:tcPr>
          <w:p w14:paraId="1D025AA8" w14:textId="77777777" w:rsidR="004421F6" w:rsidRDefault="004421F6">
            <w:pPr>
              <w:rPr>
                <w:rFonts w:ascii="宋体"/>
              </w:rPr>
            </w:pPr>
          </w:p>
        </w:tc>
        <w:tc>
          <w:tcPr>
            <w:tcW w:w="0" w:type="auto"/>
            <w:shd w:val="clear" w:color="auto" w:fill="auto"/>
          </w:tcPr>
          <w:p w14:paraId="1D025AA9" w14:textId="77777777" w:rsidR="004421F6" w:rsidRDefault="004421F6">
            <w:pPr>
              <w:rPr>
                <w:rFonts w:ascii="宋体"/>
              </w:rPr>
            </w:pPr>
          </w:p>
        </w:tc>
        <w:tc>
          <w:tcPr>
            <w:tcW w:w="0" w:type="auto"/>
            <w:shd w:val="clear" w:color="auto" w:fill="auto"/>
          </w:tcPr>
          <w:p w14:paraId="1D025AAA" w14:textId="77777777" w:rsidR="004421F6" w:rsidRDefault="004421F6">
            <w:pPr>
              <w:rPr>
                <w:rFonts w:ascii="宋体"/>
              </w:rPr>
            </w:pPr>
          </w:p>
        </w:tc>
        <w:tc>
          <w:tcPr>
            <w:tcW w:w="0" w:type="auto"/>
            <w:shd w:val="clear" w:color="auto" w:fill="auto"/>
          </w:tcPr>
          <w:p w14:paraId="1D025AAB" w14:textId="77777777" w:rsidR="004421F6" w:rsidRDefault="004421F6">
            <w:pPr>
              <w:rPr>
                <w:rFonts w:ascii="宋体"/>
              </w:rPr>
            </w:pPr>
          </w:p>
        </w:tc>
        <w:tc>
          <w:tcPr>
            <w:tcW w:w="0" w:type="auto"/>
            <w:shd w:val="clear" w:color="auto" w:fill="auto"/>
          </w:tcPr>
          <w:p w14:paraId="1D025AAC" w14:textId="77777777" w:rsidR="004421F6" w:rsidRDefault="004421F6">
            <w:pPr>
              <w:rPr>
                <w:rFonts w:ascii="宋体"/>
              </w:rPr>
            </w:pPr>
          </w:p>
        </w:tc>
        <w:tc>
          <w:tcPr>
            <w:tcW w:w="0" w:type="auto"/>
            <w:shd w:val="clear" w:color="auto" w:fill="auto"/>
          </w:tcPr>
          <w:p w14:paraId="1D025AAD" w14:textId="77777777" w:rsidR="004421F6" w:rsidRDefault="004421F6">
            <w:pPr>
              <w:rPr>
                <w:rFonts w:ascii="宋体"/>
              </w:rPr>
            </w:pPr>
          </w:p>
        </w:tc>
        <w:tc>
          <w:tcPr>
            <w:tcW w:w="0" w:type="auto"/>
            <w:shd w:val="clear" w:color="auto" w:fill="auto"/>
          </w:tcPr>
          <w:p w14:paraId="1D025AAE" w14:textId="77777777" w:rsidR="004421F6" w:rsidRDefault="004421F6">
            <w:pPr>
              <w:rPr>
                <w:rFonts w:ascii="宋体"/>
              </w:rPr>
            </w:pPr>
          </w:p>
        </w:tc>
        <w:tc>
          <w:tcPr>
            <w:tcW w:w="0" w:type="auto"/>
            <w:shd w:val="clear" w:color="auto" w:fill="auto"/>
          </w:tcPr>
          <w:p w14:paraId="1D025AAF" w14:textId="77777777" w:rsidR="004421F6" w:rsidRDefault="004421F6">
            <w:pPr>
              <w:rPr>
                <w:rFonts w:ascii="宋体"/>
              </w:rPr>
            </w:pPr>
          </w:p>
        </w:tc>
      </w:tr>
      <w:tr w:rsidR="004421F6" w14:paraId="1D025AC1"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AB1" w14:textId="77777777" w:rsidR="004421F6" w:rsidRDefault="00F15622">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AB2" w14:textId="77777777" w:rsidR="004421F6" w:rsidRDefault="00F15622">
            <w:pPr>
              <w:jc w:val="right"/>
              <w:textAlignment w:val="bottom"/>
            </w:pPr>
            <w:r>
              <w:rPr>
                <w:rFonts w:ascii="Arial" w:eastAsia="宋体" w:hAnsi="Arial" w:cs="Arial"/>
                <w:color w:val="000000"/>
                <w:sz w:val="17"/>
                <w:szCs w:val="17"/>
              </w:rPr>
              <w:t xml:space="preserve">Deferred income taxes and other </w:t>
            </w:r>
            <w:r>
              <w:rPr>
                <w:rFonts w:ascii="Arial" w:eastAsia="宋体" w:hAnsi="Arial" w:cs="Arial"/>
                <w:color w:val="000000"/>
                <w:sz w:val="17"/>
                <w:szCs w:val="17"/>
              </w:rPr>
              <w:t>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AB3" w14:textId="77777777" w:rsidR="004421F6" w:rsidRDefault="00F1562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FFF1E7"/>
            <w:tcMar>
              <w:top w:w="40" w:type="dxa"/>
              <w:bottom w:w="40" w:type="dxa"/>
              <w:right w:w="20" w:type="dxa"/>
            </w:tcMar>
            <w:vAlign w:val="bottom"/>
          </w:tcPr>
          <w:p w14:paraId="1D025AB4"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AB5"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AB6" w14:textId="77777777" w:rsidR="004421F6" w:rsidRDefault="00F1562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bottom w:w="40" w:type="dxa"/>
              <w:right w:w="20" w:type="dxa"/>
            </w:tcMar>
            <w:vAlign w:val="bottom"/>
          </w:tcPr>
          <w:p w14:paraId="1D025AB7" w14:textId="77777777" w:rsidR="004421F6" w:rsidRDefault="004421F6">
            <w:pPr>
              <w:jc w:val="right"/>
              <w:rPr>
                <w:rFonts w:ascii="宋体"/>
              </w:rPr>
            </w:pPr>
          </w:p>
        </w:tc>
        <w:tc>
          <w:tcPr>
            <w:tcW w:w="0" w:type="auto"/>
            <w:shd w:val="clear" w:color="auto" w:fill="auto"/>
          </w:tcPr>
          <w:p w14:paraId="1D025AB8" w14:textId="77777777" w:rsidR="004421F6" w:rsidRDefault="004421F6">
            <w:pPr>
              <w:rPr>
                <w:rFonts w:ascii="宋体"/>
              </w:rPr>
            </w:pPr>
          </w:p>
        </w:tc>
        <w:tc>
          <w:tcPr>
            <w:tcW w:w="0" w:type="auto"/>
            <w:shd w:val="clear" w:color="auto" w:fill="auto"/>
          </w:tcPr>
          <w:p w14:paraId="1D025AB9" w14:textId="77777777" w:rsidR="004421F6" w:rsidRDefault="004421F6">
            <w:pPr>
              <w:rPr>
                <w:rFonts w:ascii="宋体"/>
              </w:rPr>
            </w:pPr>
          </w:p>
        </w:tc>
        <w:tc>
          <w:tcPr>
            <w:tcW w:w="0" w:type="auto"/>
            <w:shd w:val="clear" w:color="auto" w:fill="auto"/>
          </w:tcPr>
          <w:p w14:paraId="1D025ABA" w14:textId="77777777" w:rsidR="004421F6" w:rsidRDefault="004421F6">
            <w:pPr>
              <w:rPr>
                <w:rFonts w:ascii="宋体"/>
              </w:rPr>
            </w:pPr>
          </w:p>
        </w:tc>
        <w:tc>
          <w:tcPr>
            <w:tcW w:w="0" w:type="auto"/>
            <w:shd w:val="clear" w:color="auto" w:fill="auto"/>
          </w:tcPr>
          <w:p w14:paraId="1D025ABB" w14:textId="77777777" w:rsidR="004421F6" w:rsidRDefault="004421F6">
            <w:pPr>
              <w:rPr>
                <w:rFonts w:ascii="宋体"/>
              </w:rPr>
            </w:pPr>
          </w:p>
        </w:tc>
        <w:tc>
          <w:tcPr>
            <w:tcW w:w="0" w:type="auto"/>
            <w:shd w:val="clear" w:color="auto" w:fill="auto"/>
          </w:tcPr>
          <w:p w14:paraId="1D025ABC" w14:textId="77777777" w:rsidR="004421F6" w:rsidRDefault="004421F6">
            <w:pPr>
              <w:rPr>
                <w:rFonts w:ascii="宋体"/>
              </w:rPr>
            </w:pPr>
          </w:p>
        </w:tc>
        <w:tc>
          <w:tcPr>
            <w:tcW w:w="0" w:type="auto"/>
            <w:shd w:val="clear" w:color="auto" w:fill="auto"/>
          </w:tcPr>
          <w:p w14:paraId="1D025ABD" w14:textId="77777777" w:rsidR="004421F6" w:rsidRDefault="004421F6">
            <w:pPr>
              <w:rPr>
                <w:rFonts w:ascii="宋体"/>
              </w:rPr>
            </w:pPr>
          </w:p>
        </w:tc>
        <w:tc>
          <w:tcPr>
            <w:tcW w:w="0" w:type="auto"/>
            <w:shd w:val="clear" w:color="auto" w:fill="auto"/>
          </w:tcPr>
          <w:p w14:paraId="1D025ABE" w14:textId="77777777" w:rsidR="004421F6" w:rsidRDefault="004421F6">
            <w:pPr>
              <w:rPr>
                <w:rFonts w:ascii="宋体"/>
              </w:rPr>
            </w:pPr>
          </w:p>
        </w:tc>
        <w:tc>
          <w:tcPr>
            <w:tcW w:w="0" w:type="auto"/>
            <w:shd w:val="clear" w:color="auto" w:fill="auto"/>
          </w:tcPr>
          <w:p w14:paraId="1D025ABF" w14:textId="77777777" w:rsidR="004421F6" w:rsidRDefault="004421F6">
            <w:pPr>
              <w:rPr>
                <w:rFonts w:ascii="宋体"/>
              </w:rPr>
            </w:pPr>
          </w:p>
        </w:tc>
        <w:tc>
          <w:tcPr>
            <w:tcW w:w="0" w:type="auto"/>
            <w:shd w:val="clear" w:color="auto" w:fill="auto"/>
          </w:tcPr>
          <w:p w14:paraId="1D025AC0" w14:textId="77777777" w:rsidR="004421F6" w:rsidRDefault="004421F6">
            <w:pPr>
              <w:rPr>
                <w:rFonts w:ascii="宋体"/>
              </w:rPr>
            </w:pPr>
          </w:p>
        </w:tc>
      </w:tr>
      <w:tr w:rsidR="004421F6" w14:paraId="1D025AD0" w14:textId="77777777">
        <w:trPr>
          <w:hidden/>
        </w:trPr>
        <w:tc>
          <w:tcPr>
            <w:tcW w:w="0" w:type="auto"/>
            <w:gridSpan w:val="3"/>
            <w:shd w:val="clear" w:color="auto" w:fill="auto"/>
          </w:tcPr>
          <w:p w14:paraId="1D025AC2" w14:textId="77777777" w:rsidR="004421F6" w:rsidRDefault="004421F6">
            <w:pPr>
              <w:rPr>
                <w:rFonts w:ascii="宋体"/>
                <w:vanish/>
              </w:rPr>
            </w:pPr>
          </w:p>
        </w:tc>
        <w:tc>
          <w:tcPr>
            <w:tcW w:w="0" w:type="auto"/>
            <w:gridSpan w:val="3"/>
            <w:shd w:val="clear" w:color="auto" w:fill="auto"/>
          </w:tcPr>
          <w:p w14:paraId="1D025AC3" w14:textId="77777777" w:rsidR="004421F6" w:rsidRDefault="004421F6">
            <w:pPr>
              <w:rPr>
                <w:rFonts w:ascii="宋体"/>
                <w:vanish/>
              </w:rPr>
            </w:pPr>
          </w:p>
        </w:tc>
        <w:tc>
          <w:tcPr>
            <w:tcW w:w="0" w:type="auto"/>
            <w:gridSpan w:val="3"/>
            <w:shd w:val="clear" w:color="auto" w:fill="auto"/>
          </w:tcPr>
          <w:p w14:paraId="1D025AC4" w14:textId="77777777" w:rsidR="004421F6" w:rsidRDefault="004421F6">
            <w:pPr>
              <w:rPr>
                <w:rFonts w:ascii="宋体"/>
                <w:vanish/>
              </w:rPr>
            </w:pPr>
          </w:p>
        </w:tc>
        <w:tc>
          <w:tcPr>
            <w:tcW w:w="0" w:type="auto"/>
            <w:gridSpan w:val="3"/>
            <w:shd w:val="clear" w:color="auto" w:fill="auto"/>
          </w:tcPr>
          <w:p w14:paraId="1D025AC5" w14:textId="77777777" w:rsidR="004421F6" w:rsidRDefault="004421F6">
            <w:pPr>
              <w:rPr>
                <w:rFonts w:ascii="宋体"/>
                <w:vanish/>
              </w:rPr>
            </w:pPr>
          </w:p>
        </w:tc>
        <w:tc>
          <w:tcPr>
            <w:tcW w:w="0" w:type="auto"/>
            <w:gridSpan w:val="3"/>
            <w:shd w:val="clear" w:color="auto" w:fill="auto"/>
          </w:tcPr>
          <w:p w14:paraId="1D025AC6" w14:textId="77777777" w:rsidR="004421F6" w:rsidRDefault="004421F6">
            <w:pPr>
              <w:rPr>
                <w:rFonts w:ascii="宋体"/>
                <w:vanish/>
              </w:rPr>
            </w:pPr>
          </w:p>
        </w:tc>
        <w:tc>
          <w:tcPr>
            <w:tcW w:w="0" w:type="auto"/>
            <w:shd w:val="clear" w:color="auto" w:fill="auto"/>
          </w:tcPr>
          <w:p w14:paraId="1D025AC7" w14:textId="77777777" w:rsidR="004421F6" w:rsidRDefault="004421F6">
            <w:pPr>
              <w:rPr>
                <w:rFonts w:ascii="宋体"/>
              </w:rPr>
            </w:pPr>
          </w:p>
        </w:tc>
        <w:tc>
          <w:tcPr>
            <w:tcW w:w="0" w:type="auto"/>
            <w:shd w:val="clear" w:color="auto" w:fill="auto"/>
          </w:tcPr>
          <w:p w14:paraId="1D025AC8" w14:textId="77777777" w:rsidR="004421F6" w:rsidRDefault="004421F6">
            <w:pPr>
              <w:rPr>
                <w:rFonts w:ascii="宋体"/>
              </w:rPr>
            </w:pPr>
          </w:p>
        </w:tc>
        <w:tc>
          <w:tcPr>
            <w:tcW w:w="0" w:type="auto"/>
            <w:shd w:val="clear" w:color="auto" w:fill="auto"/>
          </w:tcPr>
          <w:p w14:paraId="1D025AC9" w14:textId="77777777" w:rsidR="004421F6" w:rsidRDefault="004421F6">
            <w:pPr>
              <w:rPr>
                <w:rFonts w:ascii="宋体"/>
              </w:rPr>
            </w:pPr>
          </w:p>
        </w:tc>
        <w:tc>
          <w:tcPr>
            <w:tcW w:w="0" w:type="auto"/>
            <w:shd w:val="clear" w:color="auto" w:fill="auto"/>
          </w:tcPr>
          <w:p w14:paraId="1D025ACA" w14:textId="77777777" w:rsidR="004421F6" w:rsidRDefault="004421F6">
            <w:pPr>
              <w:rPr>
                <w:rFonts w:ascii="宋体"/>
              </w:rPr>
            </w:pPr>
          </w:p>
        </w:tc>
        <w:tc>
          <w:tcPr>
            <w:tcW w:w="0" w:type="auto"/>
            <w:shd w:val="clear" w:color="auto" w:fill="auto"/>
          </w:tcPr>
          <w:p w14:paraId="1D025ACB" w14:textId="77777777" w:rsidR="004421F6" w:rsidRDefault="004421F6">
            <w:pPr>
              <w:rPr>
                <w:rFonts w:ascii="宋体"/>
              </w:rPr>
            </w:pPr>
          </w:p>
        </w:tc>
        <w:tc>
          <w:tcPr>
            <w:tcW w:w="0" w:type="auto"/>
            <w:shd w:val="clear" w:color="auto" w:fill="auto"/>
          </w:tcPr>
          <w:p w14:paraId="1D025ACC" w14:textId="77777777" w:rsidR="004421F6" w:rsidRDefault="004421F6">
            <w:pPr>
              <w:rPr>
                <w:rFonts w:ascii="宋体"/>
              </w:rPr>
            </w:pPr>
          </w:p>
        </w:tc>
        <w:tc>
          <w:tcPr>
            <w:tcW w:w="0" w:type="auto"/>
            <w:shd w:val="clear" w:color="auto" w:fill="auto"/>
          </w:tcPr>
          <w:p w14:paraId="1D025ACD" w14:textId="77777777" w:rsidR="004421F6" w:rsidRDefault="004421F6">
            <w:pPr>
              <w:rPr>
                <w:rFonts w:ascii="宋体"/>
              </w:rPr>
            </w:pPr>
          </w:p>
        </w:tc>
        <w:tc>
          <w:tcPr>
            <w:tcW w:w="0" w:type="auto"/>
            <w:shd w:val="clear" w:color="auto" w:fill="auto"/>
          </w:tcPr>
          <w:p w14:paraId="1D025ACE" w14:textId="77777777" w:rsidR="004421F6" w:rsidRDefault="004421F6">
            <w:pPr>
              <w:rPr>
                <w:rFonts w:ascii="宋体"/>
              </w:rPr>
            </w:pPr>
          </w:p>
        </w:tc>
        <w:tc>
          <w:tcPr>
            <w:tcW w:w="0" w:type="auto"/>
            <w:shd w:val="clear" w:color="auto" w:fill="auto"/>
          </w:tcPr>
          <w:p w14:paraId="1D025ACF" w14:textId="77777777" w:rsidR="004421F6" w:rsidRDefault="004421F6">
            <w:pPr>
              <w:rPr>
                <w:rFonts w:ascii="宋体"/>
              </w:rPr>
            </w:pPr>
          </w:p>
        </w:tc>
      </w:tr>
      <w:tr w:rsidR="004421F6" w14:paraId="1D025AE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AD1" w14:textId="77777777" w:rsidR="004421F6" w:rsidRDefault="00F15622">
            <w:pPr>
              <w:textAlignment w:val="bottom"/>
            </w:pPr>
            <w:r>
              <w:rPr>
                <w:rFonts w:ascii="Arial" w:eastAsia="宋体" w:hAnsi="Arial" w:cs="Arial"/>
                <w:color w:val="000000"/>
                <w:sz w:val="17"/>
                <w:szCs w:val="17"/>
              </w:rPr>
              <w:t>Total derivatives not designated as hedging instruments</w:t>
            </w:r>
          </w:p>
        </w:tc>
        <w:tc>
          <w:tcPr>
            <w:tcW w:w="0" w:type="auto"/>
            <w:gridSpan w:val="3"/>
            <w:tcBorders>
              <w:top w:val="single" w:sz="8" w:space="0" w:color="E87722"/>
            </w:tcBorders>
            <w:shd w:val="clear" w:color="auto" w:fill="auto"/>
            <w:tcMar>
              <w:left w:w="20" w:type="dxa"/>
              <w:right w:w="20" w:type="dxa"/>
            </w:tcMar>
            <w:vAlign w:val="bottom"/>
          </w:tcPr>
          <w:p w14:paraId="1D025AD2" w14:textId="77777777" w:rsidR="004421F6" w:rsidRDefault="004421F6">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AD3" w14:textId="77777777" w:rsidR="004421F6" w:rsidRDefault="00F15622">
            <w:pPr>
              <w:jc w:val="right"/>
              <w:textAlignment w:val="bottom"/>
            </w:pPr>
            <w:r>
              <w:rPr>
                <w:rFonts w:ascii="Arial" w:eastAsia="宋体" w:hAnsi="Arial" w:cs="Arial"/>
                <w:color w:val="000000"/>
                <w:sz w:val="17"/>
                <w:szCs w:val="17"/>
              </w:rPr>
              <w:t>32 </w:t>
            </w:r>
          </w:p>
        </w:tc>
        <w:tc>
          <w:tcPr>
            <w:tcW w:w="0" w:type="auto"/>
            <w:tcBorders>
              <w:top w:val="single" w:sz="8" w:space="0" w:color="E87722"/>
            </w:tcBorders>
            <w:shd w:val="clear" w:color="auto" w:fill="FFF1E7"/>
            <w:tcMar>
              <w:top w:w="40" w:type="dxa"/>
              <w:bottom w:w="40" w:type="dxa"/>
              <w:right w:w="20" w:type="dxa"/>
            </w:tcMar>
            <w:vAlign w:val="bottom"/>
          </w:tcPr>
          <w:p w14:paraId="1D025AD4"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AD5" w14:textId="77777777" w:rsidR="004421F6" w:rsidRDefault="004421F6">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AD6" w14:textId="77777777" w:rsidR="004421F6" w:rsidRDefault="00F15622">
            <w:pPr>
              <w:jc w:val="right"/>
              <w:textAlignment w:val="bottom"/>
            </w:pPr>
            <w:r>
              <w:rPr>
                <w:rFonts w:ascii="Arial" w:eastAsia="宋体" w:hAnsi="Arial" w:cs="Arial"/>
                <w:color w:val="000000"/>
                <w:sz w:val="17"/>
                <w:szCs w:val="17"/>
              </w:rPr>
              <w:t>51 </w:t>
            </w:r>
          </w:p>
        </w:tc>
        <w:tc>
          <w:tcPr>
            <w:tcW w:w="0" w:type="auto"/>
            <w:tcBorders>
              <w:top w:val="single" w:sz="8" w:space="0" w:color="E87722"/>
            </w:tcBorders>
            <w:shd w:val="clear" w:color="auto" w:fill="auto"/>
            <w:tcMar>
              <w:top w:w="40" w:type="dxa"/>
              <w:bottom w:w="40" w:type="dxa"/>
              <w:right w:w="20" w:type="dxa"/>
            </w:tcMar>
            <w:vAlign w:val="bottom"/>
          </w:tcPr>
          <w:p w14:paraId="1D025AD7" w14:textId="77777777" w:rsidR="004421F6" w:rsidRDefault="004421F6">
            <w:pPr>
              <w:jc w:val="right"/>
              <w:rPr>
                <w:rFonts w:ascii="宋体"/>
              </w:rPr>
            </w:pPr>
          </w:p>
        </w:tc>
        <w:tc>
          <w:tcPr>
            <w:tcW w:w="0" w:type="auto"/>
            <w:shd w:val="clear" w:color="auto" w:fill="auto"/>
          </w:tcPr>
          <w:p w14:paraId="1D025AD8" w14:textId="77777777" w:rsidR="004421F6" w:rsidRDefault="004421F6">
            <w:pPr>
              <w:rPr>
                <w:rFonts w:ascii="宋体"/>
              </w:rPr>
            </w:pPr>
          </w:p>
        </w:tc>
        <w:tc>
          <w:tcPr>
            <w:tcW w:w="0" w:type="auto"/>
            <w:shd w:val="clear" w:color="auto" w:fill="auto"/>
          </w:tcPr>
          <w:p w14:paraId="1D025AD9" w14:textId="77777777" w:rsidR="004421F6" w:rsidRDefault="004421F6">
            <w:pPr>
              <w:rPr>
                <w:rFonts w:ascii="宋体"/>
              </w:rPr>
            </w:pPr>
          </w:p>
        </w:tc>
        <w:tc>
          <w:tcPr>
            <w:tcW w:w="0" w:type="auto"/>
            <w:shd w:val="clear" w:color="auto" w:fill="auto"/>
          </w:tcPr>
          <w:p w14:paraId="1D025ADA" w14:textId="77777777" w:rsidR="004421F6" w:rsidRDefault="004421F6">
            <w:pPr>
              <w:rPr>
                <w:rFonts w:ascii="宋体"/>
              </w:rPr>
            </w:pPr>
          </w:p>
        </w:tc>
        <w:tc>
          <w:tcPr>
            <w:tcW w:w="0" w:type="auto"/>
            <w:shd w:val="clear" w:color="auto" w:fill="auto"/>
          </w:tcPr>
          <w:p w14:paraId="1D025ADB" w14:textId="77777777" w:rsidR="004421F6" w:rsidRDefault="004421F6">
            <w:pPr>
              <w:rPr>
                <w:rFonts w:ascii="宋体"/>
              </w:rPr>
            </w:pPr>
          </w:p>
        </w:tc>
        <w:tc>
          <w:tcPr>
            <w:tcW w:w="0" w:type="auto"/>
            <w:shd w:val="clear" w:color="auto" w:fill="auto"/>
          </w:tcPr>
          <w:p w14:paraId="1D025ADC" w14:textId="77777777" w:rsidR="004421F6" w:rsidRDefault="004421F6">
            <w:pPr>
              <w:rPr>
                <w:rFonts w:ascii="宋体"/>
              </w:rPr>
            </w:pPr>
          </w:p>
        </w:tc>
        <w:tc>
          <w:tcPr>
            <w:tcW w:w="0" w:type="auto"/>
            <w:shd w:val="clear" w:color="auto" w:fill="auto"/>
          </w:tcPr>
          <w:p w14:paraId="1D025ADD" w14:textId="77777777" w:rsidR="004421F6" w:rsidRDefault="004421F6">
            <w:pPr>
              <w:rPr>
                <w:rFonts w:ascii="宋体"/>
              </w:rPr>
            </w:pPr>
          </w:p>
        </w:tc>
        <w:tc>
          <w:tcPr>
            <w:tcW w:w="0" w:type="auto"/>
            <w:shd w:val="clear" w:color="auto" w:fill="auto"/>
          </w:tcPr>
          <w:p w14:paraId="1D025ADE" w14:textId="77777777" w:rsidR="004421F6" w:rsidRDefault="004421F6">
            <w:pPr>
              <w:rPr>
                <w:rFonts w:ascii="宋体"/>
              </w:rPr>
            </w:pPr>
          </w:p>
        </w:tc>
        <w:tc>
          <w:tcPr>
            <w:tcW w:w="0" w:type="auto"/>
            <w:shd w:val="clear" w:color="auto" w:fill="auto"/>
          </w:tcPr>
          <w:p w14:paraId="1D025ADF" w14:textId="77777777" w:rsidR="004421F6" w:rsidRDefault="004421F6">
            <w:pPr>
              <w:rPr>
                <w:rFonts w:ascii="宋体"/>
              </w:rPr>
            </w:pPr>
          </w:p>
        </w:tc>
        <w:tc>
          <w:tcPr>
            <w:tcW w:w="0" w:type="auto"/>
            <w:shd w:val="clear" w:color="auto" w:fill="auto"/>
          </w:tcPr>
          <w:p w14:paraId="1D025AE0" w14:textId="77777777" w:rsidR="004421F6" w:rsidRDefault="004421F6">
            <w:pPr>
              <w:rPr>
                <w:rFonts w:ascii="宋体"/>
              </w:rPr>
            </w:pPr>
          </w:p>
        </w:tc>
      </w:tr>
      <w:tr w:rsidR="004421F6" w14:paraId="1D025AF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AE2" w14:textId="77777777" w:rsidR="004421F6" w:rsidRDefault="00F15622">
            <w:pPr>
              <w:textAlignment w:val="bottom"/>
            </w:pPr>
            <w:r>
              <w:rPr>
                <w:rFonts w:ascii="Arial" w:eastAsia="宋体" w:hAnsi="Arial" w:cs="Arial"/>
                <w:b/>
                <w:bCs/>
                <w:color w:val="000000"/>
                <w:sz w:val="17"/>
                <w:szCs w:val="17"/>
              </w:rPr>
              <w:t>TOTAL DERIVATIVE ASSETS</w:t>
            </w:r>
          </w:p>
        </w:tc>
        <w:tc>
          <w:tcPr>
            <w:tcW w:w="0" w:type="auto"/>
            <w:gridSpan w:val="3"/>
            <w:tcBorders>
              <w:top w:val="single" w:sz="8" w:space="0" w:color="E87722"/>
            </w:tcBorders>
            <w:shd w:val="clear" w:color="auto" w:fill="auto"/>
            <w:tcMar>
              <w:left w:w="20" w:type="dxa"/>
              <w:right w:w="20" w:type="dxa"/>
            </w:tcMar>
            <w:vAlign w:val="bottom"/>
          </w:tcPr>
          <w:p w14:paraId="1D025AE3" w14:textId="77777777" w:rsidR="004421F6" w:rsidRDefault="004421F6">
            <w:pPr>
              <w:rPr>
                <w:rFonts w:ascii="宋体"/>
              </w:rPr>
            </w:pPr>
          </w:p>
        </w:tc>
        <w:tc>
          <w:tcPr>
            <w:tcW w:w="0" w:type="auto"/>
            <w:tcBorders>
              <w:top w:val="single" w:sz="8" w:space="0" w:color="E87722"/>
            </w:tcBorders>
            <w:shd w:val="clear" w:color="auto" w:fill="FFF1E7"/>
            <w:tcMar>
              <w:top w:w="40" w:type="dxa"/>
              <w:left w:w="20" w:type="dxa"/>
              <w:bottom w:w="40" w:type="dxa"/>
            </w:tcMar>
            <w:vAlign w:val="bottom"/>
          </w:tcPr>
          <w:p w14:paraId="1D025AE4"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5AE5" w14:textId="77777777" w:rsidR="004421F6" w:rsidRDefault="00F15622">
            <w:pPr>
              <w:jc w:val="right"/>
              <w:textAlignment w:val="bottom"/>
            </w:pPr>
            <w:r>
              <w:rPr>
                <w:rFonts w:ascii="Arial" w:eastAsia="宋体" w:hAnsi="Arial" w:cs="Arial"/>
                <w:b/>
                <w:bCs/>
                <w:color w:val="000000"/>
                <w:sz w:val="17"/>
                <w:szCs w:val="17"/>
              </w:rPr>
              <w:t>48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5AE6"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AE7" w14:textId="77777777" w:rsidR="004421F6" w:rsidRDefault="004421F6">
            <w:pPr>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AE8"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AE9" w14:textId="77777777" w:rsidR="004421F6" w:rsidRDefault="00F15622">
            <w:pPr>
              <w:jc w:val="right"/>
              <w:textAlignment w:val="bottom"/>
            </w:pPr>
            <w:r>
              <w:rPr>
                <w:rFonts w:ascii="Arial" w:eastAsia="宋体" w:hAnsi="Arial" w:cs="Arial"/>
                <w:b/>
                <w:bCs/>
                <w:color w:val="000000"/>
                <w:sz w:val="17"/>
                <w:szCs w:val="17"/>
              </w:rPr>
              <w:t>95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AEA" w14:textId="77777777" w:rsidR="004421F6" w:rsidRDefault="004421F6">
            <w:pPr>
              <w:jc w:val="right"/>
              <w:rPr>
                <w:rFonts w:ascii="宋体"/>
              </w:rPr>
            </w:pPr>
          </w:p>
        </w:tc>
        <w:tc>
          <w:tcPr>
            <w:tcW w:w="0" w:type="auto"/>
            <w:shd w:val="clear" w:color="auto" w:fill="auto"/>
          </w:tcPr>
          <w:p w14:paraId="1D025AEB" w14:textId="77777777" w:rsidR="004421F6" w:rsidRDefault="004421F6">
            <w:pPr>
              <w:rPr>
                <w:rFonts w:ascii="宋体"/>
              </w:rPr>
            </w:pPr>
          </w:p>
        </w:tc>
        <w:tc>
          <w:tcPr>
            <w:tcW w:w="0" w:type="auto"/>
            <w:shd w:val="clear" w:color="auto" w:fill="auto"/>
          </w:tcPr>
          <w:p w14:paraId="1D025AEC" w14:textId="77777777" w:rsidR="004421F6" w:rsidRDefault="004421F6">
            <w:pPr>
              <w:rPr>
                <w:rFonts w:ascii="宋体"/>
              </w:rPr>
            </w:pPr>
          </w:p>
        </w:tc>
        <w:tc>
          <w:tcPr>
            <w:tcW w:w="0" w:type="auto"/>
            <w:shd w:val="clear" w:color="auto" w:fill="auto"/>
          </w:tcPr>
          <w:p w14:paraId="1D025AED" w14:textId="77777777" w:rsidR="004421F6" w:rsidRDefault="004421F6">
            <w:pPr>
              <w:rPr>
                <w:rFonts w:ascii="宋体"/>
              </w:rPr>
            </w:pPr>
          </w:p>
        </w:tc>
        <w:tc>
          <w:tcPr>
            <w:tcW w:w="0" w:type="auto"/>
            <w:shd w:val="clear" w:color="auto" w:fill="auto"/>
          </w:tcPr>
          <w:p w14:paraId="1D025AEE" w14:textId="77777777" w:rsidR="004421F6" w:rsidRDefault="004421F6">
            <w:pPr>
              <w:rPr>
                <w:rFonts w:ascii="宋体"/>
              </w:rPr>
            </w:pPr>
          </w:p>
        </w:tc>
        <w:tc>
          <w:tcPr>
            <w:tcW w:w="0" w:type="auto"/>
            <w:shd w:val="clear" w:color="auto" w:fill="auto"/>
          </w:tcPr>
          <w:p w14:paraId="1D025AEF" w14:textId="77777777" w:rsidR="004421F6" w:rsidRDefault="004421F6">
            <w:pPr>
              <w:rPr>
                <w:rFonts w:ascii="宋体"/>
              </w:rPr>
            </w:pPr>
          </w:p>
        </w:tc>
        <w:tc>
          <w:tcPr>
            <w:tcW w:w="0" w:type="auto"/>
            <w:shd w:val="clear" w:color="auto" w:fill="auto"/>
          </w:tcPr>
          <w:p w14:paraId="1D025AF0" w14:textId="77777777" w:rsidR="004421F6" w:rsidRDefault="004421F6">
            <w:pPr>
              <w:rPr>
                <w:rFonts w:ascii="宋体"/>
              </w:rPr>
            </w:pPr>
          </w:p>
        </w:tc>
        <w:tc>
          <w:tcPr>
            <w:tcW w:w="0" w:type="auto"/>
            <w:shd w:val="clear" w:color="auto" w:fill="auto"/>
          </w:tcPr>
          <w:p w14:paraId="1D025AF1" w14:textId="77777777" w:rsidR="004421F6" w:rsidRDefault="004421F6">
            <w:pPr>
              <w:rPr>
                <w:rFonts w:ascii="宋体"/>
              </w:rPr>
            </w:pPr>
          </w:p>
        </w:tc>
        <w:tc>
          <w:tcPr>
            <w:tcW w:w="0" w:type="auto"/>
            <w:shd w:val="clear" w:color="auto" w:fill="auto"/>
          </w:tcPr>
          <w:p w14:paraId="1D025AF2" w14:textId="77777777" w:rsidR="004421F6" w:rsidRDefault="004421F6">
            <w:pPr>
              <w:rPr>
                <w:rFonts w:ascii="宋体"/>
              </w:rPr>
            </w:pPr>
          </w:p>
        </w:tc>
        <w:tc>
          <w:tcPr>
            <w:tcW w:w="0" w:type="auto"/>
            <w:shd w:val="clear" w:color="auto" w:fill="auto"/>
          </w:tcPr>
          <w:p w14:paraId="1D025AF3" w14:textId="77777777" w:rsidR="004421F6" w:rsidRDefault="004421F6">
            <w:pPr>
              <w:rPr>
                <w:rFonts w:ascii="宋体"/>
              </w:rPr>
            </w:pPr>
          </w:p>
        </w:tc>
      </w:tr>
      <w:tr w:rsidR="004421F6" w14:paraId="1D025B03" w14:textId="77777777">
        <w:trPr>
          <w:trHeight w:val="240"/>
        </w:trPr>
        <w:tc>
          <w:tcPr>
            <w:tcW w:w="0" w:type="auto"/>
            <w:gridSpan w:val="3"/>
            <w:tcBorders>
              <w:top w:val="single" w:sz="8" w:space="0" w:color="E87722"/>
            </w:tcBorders>
            <w:shd w:val="clear" w:color="auto" w:fill="auto"/>
            <w:tcMar>
              <w:left w:w="20" w:type="dxa"/>
              <w:right w:w="20" w:type="dxa"/>
            </w:tcMar>
            <w:vAlign w:val="bottom"/>
          </w:tcPr>
          <w:p w14:paraId="1D025AF5"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AF6"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AF7"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AF8"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AF9" w14:textId="77777777" w:rsidR="004421F6" w:rsidRDefault="004421F6">
            <w:pPr>
              <w:rPr>
                <w:rFonts w:ascii="宋体"/>
              </w:rPr>
            </w:pPr>
          </w:p>
        </w:tc>
        <w:tc>
          <w:tcPr>
            <w:tcW w:w="0" w:type="auto"/>
            <w:shd w:val="clear" w:color="auto" w:fill="auto"/>
          </w:tcPr>
          <w:p w14:paraId="1D025AFA" w14:textId="77777777" w:rsidR="004421F6" w:rsidRDefault="004421F6">
            <w:pPr>
              <w:rPr>
                <w:rFonts w:ascii="宋体"/>
              </w:rPr>
            </w:pPr>
          </w:p>
        </w:tc>
        <w:tc>
          <w:tcPr>
            <w:tcW w:w="0" w:type="auto"/>
            <w:shd w:val="clear" w:color="auto" w:fill="auto"/>
          </w:tcPr>
          <w:p w14:paraId="1D025AFB" w14:textId="77777777" w:rsidR="004421F6" w:rsidRDefault="004421F6">
            <w:pPr>
              <w:rPr>
                <w:rFonts w:ascii="宋体"/>
              </w:rPr>
            </w:pPr>
          </w:p>
        </w:tc>
        <w:tc>
          <w:tcPr>
            <w:tcW w:w="0" w:type="auto"/>
            <w:shd w:val="clear" w:color="auto" w:fill="auto"/>
          </w:tcPr>
          <w:p w14:paraId="1D025AFC" w14:textId="77777777" w:rsidR="004421F6" w:rsidRDefault="004421F6">
            <w:pPr>
              <w:rPr>
                <w:rFonts w:ascii="宋体"/>
              </w:rPr>
            </w:pPr>
          </w:p>
        </w:tc>
        <w:tc>
          <w:tcPr>
            <w:tcW w:w="0" w:type="auto"/>
            <w:shd w:val="clear" w:color="auto" w:fill="auto"/>
          </w:tcPr>
          <w:p w14:paraId="1D025AFD" w14:textId="77777777" w:rsidR="004421F6" w:rsidRDefault="004421F6">
            <w:pPr>
              <w:rPr>
                <w:rFonts w:ascii="宋体"/>
              </w:rPr>
            </w:pPr>
          </w:p>
        </w:tc>
        <w:tc>
          <w:tcPr>
            <w:tcW w:w="0" w:type="auto"/>
            <w:shd w:val="clear" w:color="auto" w:fill="auto"/>
          </w:tcPr>
          <w:p w14:paraId="1D025AFE" w14:textId="77777777" w:rsidR="004421F6" w:rsidRDefault="004421F6">
            <w:pPr>
              <w:rPr>
                <w:rFonts w:ascii="宋体"/>
              </w:rPr>
            </w:pPr>
          </w:p>
        </w:tc>
        <w:tc>
          <w:tcPr>
            <w:tcW w:w="0" w:type="auto"/>
            <w:shd w:val="clear" w:color="auto" w:fill="auto"/>
          </w:tcPr>
          <w:p w14:paraId="1D025AFF" w14:textId="77777777" w:rsidR="004421F6" w:rsidRDefault="004421F6">
            <w:pPr>
              <w:rPr>
                <w:rFonts w:ascii="宋体"/>
              </w:rPr>
            </w:pPr>
          </w:p>
        </w:tc>
        <w:tc>
          <w:tcPr>
            <w:tcW w:w="0" w:type="auto"/>
            <w:shd w:val="clear" w:color="auto" w:fill="auto"/>
          </w:tcPr>
          <w:p w14:paraId="1D025B00" w14:textId="77777777" w:rsidR="004421F6" w:rsidRDefault="004421F6">
            <w:pPr>
              <w:rPr>
                <w:rFonts w:ascii="宋体"/>
              </w:rPr>
            </w:pPr>
          </w:p>
        </w:tc>
        <w:tc>
          <w:tcPr>
            <w:tcW w:w="0" w:type="auto"/>
            <w:shd w:val="clear" w:color="auto" w:fill="auto"/>
          </w:tcPr>
          <w:p w14:paraId="1D025B01" w14:textId="77777777" w:rsidR="004421F6" w:rsidRDefault="004421F6">
            <w:pPr>
              <w:rPr>
                <w:rFonts w:ascii="宋体"/>
              </w:rPr>
            </w:pPr>
          </w:p>
        </w:tc>
        <w:tc>
          <w:tcPr>
            <w:tcW w:w="0" w:type="auto"/>
            <w:shd w:val="clear" w:color="auto" w:fill="auto"/>
          </w:tcPr>
          <w:p w14:paraId="1D025B02" w14:textId="77777777" w:rsidR="004421F6" w:rsidRDefault="004421F6">
            <w:pPr>
              <w:rPr>
                <w:rFonts w:ascii="宋体"/>
              </w:rPr>
            </w:pPr>
          </w:p>
        </w:tc>
      </w:tr>
      <w:tr w:rsidR="004421F6" w14:paraId="1D025B09" w14:textId="77777777">
        <w:tc>
          <w:tcPr>
            <w:tcW w:w="0" w:type="auto"/>
            <w:gridSpan w:val="3"/>
            <w:shd w:val="clear" w:color="auto" w:fill="auto"/>
            <w:tcMar>
              <w:left w:w="20" w:type="dxa"/>
              <w:right w:w="20" w:type="dxa"/>
            </w:tcMar>
            <w:vAlign w:val="bottom"/>
          </w:tcPr>
          <w:p w14:paraId="1D025B04" w14:textId="77777777" w:rsidR="004421F6" w:rsidRDefault="004421F6">
            <w:pPr>
              <w:rPr>
                <w:rFonts w:ascii="宋体"/>
              </w:rPr>
            </w:pPr>
          </w:p>
        </w:tc>
        <w:tc>
          <w:tcPr>
            <w:tcW w:w="0" w:type="auto"/>
            <w:gridSpan w:val="12"/>
            <w:shd w:val="clear" w:color="auto" w:fill="auto"/>
            <w:tcMar>
              <w:top w:w="40" w:type="dxa"/>
              <w:left w:w="20" w:type="dxa"/>
              <w:bottom w:w="40" w:type="dxa"/>
              <w:right w:w="20" w:type="dxa"/>
            </w:tcMar>
            <w:vAlign w:val="bottom"/>
          </w:tcPr>
          <w:p w14:paraId="1D025B05" w14:textId="77777777" w:rsidR="004421F6" w:rsidRDefault="00F15622">
            <w:pPr>
              <w:jc w:val="center"/>
              <w:textAlignment w:val="bottom"/>
            </w:pPr>
            <w:r>
              <w:rPr>
                <w:rFonts w:ascii="sans-serif" w:eastAsia="sans-serif" w:hAnsi="sans-serif" w:cs="sans-serif"/>
                <w:b/>
                <w:bCs/>
                <w:color w:val="000000"/>
                <w:sz w:val="17"/>
                <w:szCs w:val="17"/>
              </w:rPr>
              <w:t>DERIVATIVE LIABILITIES</w:t>
            </w:r>
          </w:p>
        </w:tc>
        <w:tc>
          <w:tcPr>
            <w:tcW w:w="0" w:type="auto"/>
            <w:gridSpan w:val="3"/>
            <w:shd w:val="clear" w:color="auto" w:fill="auto"/>
          </w:tcPr>
          <w:p w14:paraId="1D025B06" w14:textId="77777777" w:rsidR="004421F6" w:rsidRDefault="004421F6">
            <w:pPr>
              <w:rPr>
                <w:rFonts w:ascii="宋体"/>
                <w:vanish/>
              </w:rPr>
            </w:pPr>
          </w:p>
        </w:tc>
        <w:tc>
          <w:tcPr>
            <w:tcW w:w="0" w:type="auto"/>
            <w:gridSpan w:val="3"/>
            <w:shd w:val="clear" w:color="auto" w:fill="auto"/>
          </w:tcPr>
          <w:p w14:paraId="1D025B07" w14:textId="77777777" w:rsidR="004421F6" w:rsidRDefault="004421F6">
            <w:pPr>
              <w:rPr>
                <w:rFonts w:ascii="宋体"/>
                <w:vanish/>
              </w:rPr>
            </w:pPr>
          </w:p>
        </w:tc>
        <w:tc>
          <w:tcPr>
            <w:tcW w:w="0" w:type="auto"/>
            <w:gridSpan w:val="3"/>
            <w:shd w:val="clear" w:color="auto" w:fill="auto"/>
          </w:tcPr>
          <w:p w14:paraId="1D025B08" w14:textId="77777777" w:rsidR="004421F6" w:rsidRDefault="004421F6">
            <w:pPr>
              <w:rPr>
                <w:rFonts w:ascii="宋体"/>
                <w:vanish/>
              </w:rPr>
            </w:pPr>
          </w:p>
        </w:tc>
      </w:tr>
      <w:tr w:rsidR="004421F6" w14:paraId="1D025B18" w14:textId="77777777">
        <w:tc>
          <w:tcPr>
            <w:tcW w:w="0" w:type="auto"/>
            <w:gridSpan w:val="3"/>
            <w:shd w:val="clear" w:color="auto" w:fill="auto"/>
            <w:tcMar>
              <w:left w:w="20" w:type="dxa"/>
              <w:right w:w="20" w:type="dxa"/>
            </w:tcMar>
            <w:vAlign w:val="bottom"/>
          </w:tcPr>
          <w:p w14:paraId="1D025B0A" w14:textId="77777777" w:rsidR="004421F6" w:rsidRDefault="004421F6">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1D025B0B" w14:textId="77777777" w:rsidR="004421F6" w:rsidRDefault="00F15622">
            <w:pPr>
              <w:jc w:val="right"/>
              <w:textAlignment w:val="bottom"/>
            </w:pPr>
            <w:r>
              <w:rPr>
                <w:rFonts w:ascii="sans-serif" w:eastAsia="sans-serif" w:hAnsi="sans-serif" w:cs="sans-serif"/>
                <w:b/>
                <w:bCs/>
                <w:color w:val="000000"/>
                <w:sz w:val="17"/>
                <w:szCs w:val="17"/>
              </w:rPr>
              <w:t>BALANCE SHEET LOCATION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B0C" w14:textId="77777777" w:rsidR="004421F6" w:rsidRDefault="00F15622">
            <w:pPr>
              <w:jc w:val="center"/>
              <w:textAlignment w:val="bottom"/>
            </w:pPr>
            <w:r>
              <w:rPr>
                <w:rFonts w:ascii="sans-serif" w:eastAsia="sans-serif" w:hAnsi="sans-serif" w:cs="sans-serif"/>
                <w:b/>
                <w:bCs/>
                <w:color w:val="000000"/>
                <w:sz w:val="17"/>
                <w:szCs w:val="17"/>
              </w:rPr>
              <w:t>AUGUST 31,</w:t>
            </w:r>
          </w:p>
        </w:tc>
        <w:tc>
          <w:tcPr>
            <w:tcW w:w="0" w:type="auto"/>
            <w:gridSpan w:val="3"/>
            <w:tcBorders>
              <w:top w:val="single" w:sz="8" w:space="0" w:color="E87722"/>
            </w:tcBorders>
            <w:shd w:val="clear" w:color="auto" w:fill="auto"/>
            <w:tcMar>
              <w:left w:w="20" w:type="dxa"/>
              <w:right w:w="20" w:type="dxa"/>
            </w:tcMar>
            <w:vAlign w:val="bottom"/>
          </w:tcPr>
          <w:p w14:paraId="1D025B0D" w14:textId="77777777" w:rsidR="004421F6" w:rsidRDefault="004421F6">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B0E" w14:textId="77777777" w:rsidR="004421F6" w:rsidRDefault="00F15622">
            <w:pPr>
              <w:jc w:val="center"/>
              <w:textAlignment w:val="bottom"/>
            </w:pPr>
            <w:r>
              <w:rPr>
                <w:rFonts w:ascii="sans-serif" w:eastAsia="sans-serif" w:hAnsi="sans-serif" w:cs="sans-serif"/>
                <w:b/>
                <w:bCs/>
                <w:color w:val="000000"/>
                <w:sz w:val="17"/>
                <w:szCs w:val="17"/>
              </w:rPr>
              <w:t xml:space="preserve">MAY </w:t>
            </w:r>
            <w:r>
              <w:rPr>
                <w:rFonts w:ascii="sans-serif" w:eastAsia="sans-serif" w:hAnsi="sans-serif" w:cs="sans-serif"/>
                <w:b/>
                <w:bCs/>
                <w:color w:val="000000"/>
                <w:sz w:val="17"/>
                <w:szCs w:val="17"/>
              </w:rPr>
              <w:t>31,</w:t>
            </w:r>
          </w:p>
        </w:tc>
        <w:tc>
          <w:tcPr>
            <w:tcW w:w="0" w:type="auto"/>
            <w:shd w:val="clear" w:color="auto" w:fill="auto"/>
          </w:tcPr>
          <w:p w14:paraId="1D025B0F" w14:textId="77777777" w:rsidR="004421F6" w:rsidRDefault="004421F6">
            <w:pPr>
              <w:rPr>
                <w:rFonts w:ascii="宋体"/>
              </w:rPr>
            </w:pPr>
          </w:p>
        </w:tc>
        <w:tc>
          <w:tcPr>
            <w:tcW w:w="0" w:type="auto"/>
            <w:shd w:val="clear" w:color="auto" w:fill="auto"/>
          </w:tcPr>
          <w:p w14:paraId="1D025B10" w14:textId="77777777" w:rsidR="004421F6" w:rsidRDefault="004421F6">
            <w:pPr>
              <w:rPr>
                <w:rFonts w:ascii="宋体"/>
              </w:rPr>
            </w:pPr>
          </w:p>
        </w:tc>
        <w:tc>
          <w:tcPr>
            <w:tcW w:w="0" w:type="auto"/>
            <w:shd w:val="clear" w:color="auto" w:fill="auto"/>
          </w:tcPr>
          <w:p w14:paraId="1D025B11" w14:textId="77777777" w:rsidR="004421F6" w:rsidRDefault="004421F6">
            <w:pPr>
              <w:rPr>
                <w:rFonts w:ascii="宋体"/>
              </w:rPr>
            </w:pPr>
          </w:p>
        </w:tc>
        <w:tc>
          <w:tcPr>
            <w:tcW w:w="0" w:type="auto"/>
            <w:shd w:val="clear" w:color="auto" w:fill="auto"/>
          </w:tcPr>
          <w:p w14:paraId="1D025B12" w14:textId="77777777" w:rsidR="004421F6" w:rsidRDefault="004421F6">
            <w:pPr>
              <w:rPr>
                <w:rFonts w:ascii="宋体"/>
              </w:rPr>
            </w:pPr>
          </w:p>
        </w:tc>
        <w:tc>
          <w:tcPr>
            <w:tcW w:w="0" w:type="auto"/>
            <w:shd w:val="clear" w:color="auto" w:fill="auto"/>
          </w:tcPr>
          <w:p w14:paraId="1D025B13" w14:textId="77777777" w:rsidR="004421F6" w:rsidRDefault="004421F6">
            <w:pPr>
              <w:rPr>
                <w:rFonts w:ascii="宋体"/>
              </w:rPr>
            </w:pPr>
          </w:p>
        </w:tc>
        <w:tc>
          <w:tcPr>
            <w:tcW w:w="0" w:type="auto"/>
            <w:shd w:val="clear" w:color="auto" w:fill="auto"/>
          </w:tcPr>
          <w:p w14:paraId="1D025B14" w14:textId="77777777" w:rsidR="004421F6" w:rsidRDefault="004421F6">
            <w:pPr>
              <w:rPr>
                <w:rFonts w:ascii="宋体"/>
              </w:rPr>
            </w:pPr>
          </w:p>
        </w:tc>
        <w:tc>
          <w:tcPr>
            <w:tcW w:w="0" w:type="auto"/>
            <w:shd w:val="clear" w:color="auto" w:fill="auto"/>
          </w:tcPr>
          <w:p w14:paraId="1D025B15" w14:textId="77777777" w:rsidR="004421F6" w:rsidRDefault="004421F6">
            <w:pPr>
              <w:rPr>
                <w:rFonts w:ascii="宋体"/>
              </w:rPr>
            </w:pPr>
          </w:p>
        </w:tc>
        <w:tc>
          <w:tcPr>
            <w:tcW w:w="0" w:type="auto"/>
            <w:shd w:val="clear" w:color="auto" w:fill="auto"/>
          </w:tcPr>
          <w:p w14:paraId="1D025B16" w14:textId="77777777" w:rsidR="004421F6" w:rsidRDefault="004421F6">
            <w:pPr>
              <w:rPr>
                <w:rFonts w:ascii="宋体"/>
              </w:rPr>
            </w:pPr>
          </w:p>
        </w:tc>
        <w:tc>
          <w:tcPr>
            <w:tcW w:w="0" w:type="auto"/>
            <w:shd w:val="clear" w:color="auto" w:fill="auto"/>
          </w:tcPr>
          <w:p w14:paraId="1D025B17" w14:textId="77777777" w:rsidR="004421F6" w:rsidRDefault="004421F6">
            <w:pPr>
              <w:rPr>
                <w:rFonts w:ascii="宋体"/>
              </w:rPr>
            </w:pPr>
          </w:p>
        </w:tc>
      </w:tr>
      <w:tr w:rsidR="004421F6" w14:paraId="1D025B25" w14:textId="77777777">
        <w:tc>
          <w:tcPr>
            <w:tcW w:w="0" w:type="auto"/>
            <w:gridSpan w:val="3"/>
            <w:shd w:val="clear" w:color="auto" w:fill="auto"/>
            <w:tcMar>
              <w:top w:w="40" w:type="dxa"/>
              <w:left w:w="20" w:type="dxa"/>
              <w:bottom w:w="40" w:type="dxa"/>
              <w:right w:w="20" w:type="dxa"/>
            </w:tcMar>
            <w:vAlign w:val="bottom"/>
          </w:tcPr>
          <w:p w14:paraId="1D025B19"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1D025B1A" w14:textId="77777777" w:rsidR="004421F6" w:rsidRDefault="004421F6">
            <w:pPr>
              <w:jc w:val="right"/>
              <w:rPr>
                <w:rFonts w:ascii="宋体"/>
              </w:rPr>
            </w:pPr>
          </w:p>
        </w:tc>
        <w:tc>
          <w:tcPr>
            <w:tcW w:w="0" w:type="auto"/>
            <w:gridSpan w:val="3"/>
            <w:shd w:val="clear" w:color="auto" w:fill="auto"/>
          </w:tcPr>
          <w:p w14:paraId="1D025B1B" w14:textId="77777777" w:rsidR="004421F6" w:rsidRDefault="004421F6">
            <w:pPr>
              <w:rPr>
                <w:rFonts w:ascii="宋体"/>
                <w:vanish/>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B1C"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left w:w="20" w:type="dxa"/>
              <w:right w:w="20" w:type="dxa"/>
            </w:tcMar>
            <w:vAlign w:val="bottom"/>
          </w:tcPr>
          <w:p w14:paraId="1D025B1D" w14:textId="77777777" w:rsidR="004421F6" w:rsidRDefault="004421F6">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B1E"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shd w:val="clear" w:color="auto" w:fill="auto"/>
          </w:tcPr>
          <w:p w14:paraId="1D025B1F" w14:textId="77777777" w:rsidR="004421F6" w:rsidRDefault="004421F6">
            <w:pPr>
              <w:rPr>
                <w:rFonts w:ascii="宋体"/>
              </w:rPr>
            </w:pPr>
          </w:p>
        </w:tc>
        <w:tc>
          <w:tcPr>
            <w:tcW w:w="0" w:type="auto"/>
            <w:shd w:val="clear" w:color="auto" w:fill="auto"/>
          </w:tcPr>
          <w:p w14:paraId="1D025B20" w14:textId="77777777" w:rsidR="004421F6" w:rsidRDefault="004421F6">
            <w:pPr>
              <w:rPr>
                <w:rFonts w:ascii="宋体"/>
              </w:rPr>
            </w:pPr>
          </w:p>
        </w:tc>
        <w:tc>
          <w:tcPr>
            <w:tcW w:w="0" w:type="auto"/>
            <w:shd w:val="clear" w:color="auto" w:fill="auto"/>
          </w:tcPr>
          <w:p w14:paraId="1D025B21" w14:textId="77777777" w:rsidR="004421F6" w:rsidRDefault="004421F6">
            <w:pPr>
              <w:rPr>
                <w:rFonts w:ascii="宋体"/>
              </w:rPr>
            </w:pPr>
          </w:p>
        </w:tc>
        <w:tc>
          <w:tcPr>
            <w:tcW w:w="0" w:type="auto"/>
            <w:shd w:val="clear" w:color="auto" w:fill="auto"/>
          </w:tcPr>
          <w:p w14:paraId="1D025B22" w14:textId="77777777" w:rsidR="004421F6" w:rsidRDefault="004421F6">
            <w:pPr>
              <w:rPr>
                <w:rFonts w:ascii="宋体"/>
              </w:rPr>
            </w:pPr>
          </w:p>
        </w:tc>
        <w:tc>
          <w:tcPr>
            <w:tcW w:w="0" w:type="auto"/>
            <w:shd w:val="clear" w:color="auto" w:fill="auto"/>
          </w:tcPr>
          <w:p w14:paraId="1D025B23" w14:textId="77777777" w:rsidR="004421F6" w:rsidRDefault="004421F6">
            <w:pPr>
              <w:rPr>
                <w:rFonts w:ascii="宋体"/>
              </w:rPr>
            </w:pPr>
          </w:p>
        </w:tc>
        <w:tc>
          <w:tcPr>
            <w:tcW w:w="0" w:type="auto"/>
            <w:shd w:val="clear" w:color="auto" w:fill="auto"/>
          </w:tcPr>
          <w:p w14:paraId="1D025B24" w14:textId="77777777" w:rsidR="004421F6" w:rsidRDefault="004421F6">
            <w:pPr>
              <w:rPr>
                <w:rFonts w:ascii="宋体"/>
              </w:rPr>
            </w:pPr>
          </w:p>
        </w:tc>
      </w:tr>
      <w:tr w:rsidR="004421F6" w14:paraId="1D025B3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B26" w14:textId="77777777" w:rsidR="004421F6" w:rsidRDefault="00F15622">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left w:w="20" w:type="dxa"/>
              <w:right w:w="20" w:type="dxa"/>
            </w:tcMar>
            <w:vAlign w:val="bottom"/>
          </w:tcPr>
          <w:p w14:paraId="1D025B27"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B28"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B29"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B2A" w14:textId="77777777" w:rsidR="004421F6" w:rsidRDefault="004421F6">
            <w:pPr>
              <w:rPr>
                <w:rFonts w:ascii="宋体"/>
              </w:rPr>
            </w:pPr>
          </w:p>
        </w:tc>
        <w:tc>
          <w:tcPr>
            <w:tcW w:w="0" w:type="auto"/>
            <w:shd w:val="clear" w:color="auto" w:fill="auto"/>
          </w:tcPr>
          <w:p w14:paraId="1D025B2B" w14:textId="77777777" w:rsidR="004421F6" w:rsidRDefault="004421F6">
            <w:pPr>
              <w:rPr>
                <w:rFonts w:ascii="宋体"/>
              </w:rPr>
            </w:pPr>
          </w:p>
        </w:tc>
        <w:tc>
          <w:tcPr>
            <w:tcW w:w="0" w:type="auto"/>
            <w:shd w:val="clear" w:color="auto" w:fill="auto"/>
          </w:tcPr>
          <w:p w14:paraId="1D025B2C" w14:textId="77777777" w:rsidR="004421F6" w:rsidRDefault="004421F6">
            <w:pPr>
              <w:rPr>
                <w:rFonts w:ascii="宋体"/>
              </w:rPr>
            </w:pPr>
          </w:p>
        </w:tc>
        <w:tc>
          <w:tcPr>
            <w:tcW w:w="0" w:type="auto"/>
            <w:shd w:val="clear" w:color="auto" w:fill="auto"/>
          </w:tcPr>
          <w:p w14:paraId="1D025B2D" w14:textId="77777777" w:rsidR="004421F6" w:rsidRDefault="004421F6">
            <w:pPr>
              <w:rPr>
                <w:rFonts w:ascii="宋体"/>
              </w:rPr>
            </w:pPr>
          </w:p>
        </w:tc>
        <w:tc>
          <w:tcPr>
            <w:tcW w:w="0" w:type="auto"/>
            <w:shd w:val="clear" w:color="auto" w:fill="auto"/>
          </w:tcPr>
          <w:p w14:paraId="1D025B2E" w14:textId="77777777" w:rsidR="004421F6" w:rsidRDefault="004421F6">
            <w:pPr>
              <w:rPr>
                <w:rFonts w:ascii="宋体"/>
              </w:rPr>
            </w:pPr>
          </w:p>
        </w:tc>
        <w:tc>
          <w:tcPr>
            <w:tcW w:w="0" w:type="auto"/>
            <w:shd w:val="clear" w:color="auto" w:fill="auto"/>
          </w:tcPr>
          <w:p w14:paraId="1D025B2F" w14:textId="77777777" w:rsidR="004421F6" w:rsidRDefault="004421F6">
            <w:pPr>
              <w:rPr>
                <w:rFonts w:ascii="宋体"/>
              </w:rPr>
            </w:pPr>
          </w:p>
        </w:tc>
        <w:tc>
          <w:tcPr>
            <w:tcW w:w="0" w:type="auto"/>
            <w:shd w:val="clear" w:color="auto" w:fill="auto"/>
          </w:tcPr>
          <w:p w14:paraId="1D025B30" w14:textId="77777777" w:rsidR="004421F6" w:rsidRDefault="004421F6">
            <w:pPr>
              <w:rPr>
                <w:rFonts w:ascii="宋体"/>
              </w:rPr>
            </w:pPr>
          </w:p>
        </w:tc>
        <w:tc>
          <w:tcPr>
            <w:tcW w:w="0" w:type="auto"/>
            <w:shd w:val="clear" w:color="auto" w:fill="auto"/>
          </w:tcPr>
          <w:p w14:paraId="1D025B31" w14:textId="77777777" w:rsidR="004421F6" w:rsidRDefault="004421F6">
            <w:pPr>
              <w:rPr>
                <w:rFonts w:ascii="宋体"/>
              </w:rPr>
            </w:pPr>
          </w:p>
        </w:tc>
        <w:tc>
          <w:tcPr>
            <w:tcW w:w="0" w:type="auto"/>
            <w:shd w:val="clear" w:color="auto" w:fill="auto"/>
          </w:tcPr>
          <w:p w14:paraId="1D025B32" w14:textId="77777777" w:rsidR="004421F6" w:rsidRDefault="004421F6">
            <w:pPr>
              <w:rPr>
                <w:rFonts w:ascii="宋体"/>
              </w:rPr>
            </w:pPr>
          </w:p>
        </w:tc>
        <w:tc>
          <w:tcPr>
            <w:tcW w:w="0" w:type="auto"/>
            <w:shd w:val="clear" w:color="auto" w:fill="auto"/>
          </w:tcPr>
          <w:p w14:paraId="1D025B33" w14:textId="77777777" w:rsidR="004421F6" w:rsidRDefault="004421F6">
            <w:pPr>
              <w:rPr>
                <w:rFonts w:ascii="宋体"/>
              </w:rPr>
            </w:pPr>
          </w:p>
        </w:tc>
      </w:tr>
      <w:tr w:rsidR="004421F6" w14:paraId="1D025B47"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B35" w14:textId="77777777" w:rsidR="004421F6" w:rsidRDefault="00F15622">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B36" w14:textId="77777777" w:rsidR="004421F6" w:rsidRDefault="00F15622">
            <w:pPr>
              <w:jc w:val="right"/>
              <w:textAlignment w:val="bottom"/>
            </w:pPr>
            <w:r>
              <w:rPr>
                <w:rFonts w:ascii="Arial" w:eastAsia="宋体" w:hAnsi="Arial" w:cs="Arial"/>
                <w:color w:val="000000"/>
                <w:sz w:val="17"/>
                <w:szCs w:val="17"/>
              </w:rPr>
              <w:t>Accrued liabilities</w:t>
            </w:r>
          </w:p>
        </w:tc>
        <w:tc>
          <w:tcPr>
            <w:tcW w:w="0" w:type="auto"/>
            <w:tcBorders>
              <w:top w:val="single" w:sz="8" w:space="0" w:color="808080"/>
            </w:tcBorders>
            <w:shd w:val="clear" w:color="auto" w:fill="FFF1E7"/>
            <w:tcMar>
              <w:top w:w="40" w:type="dxa"/>
              <w:left w:w="20" w:type="dxa"/>
              <w:bottom w:w="40" w:type="dxa"/>
            </w:tcMar>
            <w:vAlign w:val="bottom"/>
          </w:tcPr>
          <w:p w14:paraId="1D025B37"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5B38" w14:textId="77777777" w:rsidR="004421F6" w:rsidRDefault="00F15622">
            <w:pPr>
              <w:jc w:val="right"/>
              <w:textAlignment w:val="bottom"/>
            </w:pPr>
            <w:r>
              <w:rPr>
                <w:rFonts w:ascii="Arial" w:eastAsia="宋体" w:hAnsi="Arial" w:cs="Arial"/>
                <w:color w:val="000000"/>
                <w:sz w:val="17"/>
                <w:szCs w:val="17"/>
              </w:rPr>
              <w:t>488 </w:t>
            </w:r>
          </w:p>
        </w:tc>
        <w:tc>
          <w:tcPr>
            <w:tcW w:w="0" w:type="auto"/>
            <w:tcBorders>
              <w:top w:val="single" w:sz="8" w:space="0" w:color="808080"/>
            </w:tcBorders>
            <w:shd w:val="clear" w:color="auto" w:fill="FFF1E7"/>
            <w:tcMar>
              <w:top w:w="40" w:type="dxa"/>
              <w:bottom w:w="40" w:type="dxa"/>
              <w:right w:w="20" w:type="dxa"/>
            </w:tcMar>
            <w:vAlign w:val="bottom"/>
          </w:tcPr>
          <w:p w14:paraId="1D025B39"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B3A" w14:textId="77777777" w:rsidR="004421F6" w:rsidRDefault="004421F6">
            <w:pPr>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5B3B"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5B3C" w14:textId="77777777" w:rsidR="004421F6" w:rsidRDefault="00F15622">
            <w:pPr>
              <w:jc w:val="right"/>
              <w:textAlignment w:val="bottom"/>
            </w:pPr>
            <w:r>
              <w:rPr>
                <w:rFonts w:ascii="Arial" w:eastAsia="宋体" w:hAnsi="Arial" w:cs="Arial"/>
                <w:color w:val="000000"/>
                <w:sz w:val="17"/>
                <w:szCs w:val="17"/>
              </w:rPr>
              <w:t>173 </w:t>
            </w:r>
          </w:p>
        </w:tc>
        <w:tc>
          <w:tcPr>
            <w:tcW w:w="0" w:type="auto"/>
            <w:tcBorders>
              <w:top w:val="single" w:sz="8" w:space="0" w:color="808080"/>
            </w:tcBorders>
            <w:shd w:val="clear" w:color="auto" w:fill="auto"/>
            <w:tcMar>
              <w:top w:w="40" w:type="dxa"/>
              <w:bottom w:w="40" w:type="dxa"/>
              <w:right w:w="20" w:type="dxa"/>
            </w:tcMar>
            <w:vAlign w:val="bottom"/>
          </w:tcPr>
          <w:p w14:paraId="1D025B3D" w14:textId="77777777" w:rsidR="004421F6" w:rsidRDefault="004421F6">
            <w:pPr>
              <w:jc w:val="right"/>
              <w:rPr>
                <w:rFonts w:ascii="宋体"/>
              </w:rPr>
            </w:pPr>
          </w:p>
        </w:tc>
        <w:tc>
          <w:tcPr>
            <w:tcW w:w="0" w:type="auto"/>
            <w:shd w:val="clear" w:color="auto" w:fill="auto"/>
          </w:tcPr>
          <w:p w14:paraId="1D025B3E" w14:textId="77777777" w:rsidR="004421F6" w:rsidRDefault="004421F6">
            <w:pPr>
              <w:rPr>
                <w:rFonts w:ascii="宋体"/>
              </w:rPr>
            </w:pPr>
          </w:p>
        </w:tc>
        <w:tc>
          <w:tcPr>
            <w:tcW w:w="0" w:type="auto"/>
            <w:shd w:val="clear" w:color="auto" w:fill="auto"/>
          </w:tcPr>
          <w:p w14:paraId="1D025B3F" w14:textId="77777777" w:rsidR="004421F6" w:rsidRDefault="004421F6">
            <w:pPr>
              <w:rPr>
                <w:rFonts w:ascii="宋体"/>
              </w:rPr>
            </w:pPr>
          </w:p>
        </w:tc>
        <w:tc>
          <w:tcPr>
            <w:tcW w:w="0" w:type="auto"/>
            <w:shd w:val="clear" w:color="auto" w:fill="auto"/>
          </w:tcPr>
          <w:p w14:paraId="1D025B40" w14:textId="77777777" w:rsidR="004421F6" w:rsidRDefault="004421F6">
            <w:pPr>
              <w:rPr>
                <w:rFonts w:ascii="宋体"/>
              </w:rPr>
            </w:pPr>
          </w:p>
        </w:tc>
        <w:tc>
          <w:tcPr>
            <w:tcW w:w="0" w:type="auto"/>
            <w:shd w:val="clear" w:color="auto" w:fill="auto"/>
          </w:tcPr>
          <w:p w14:paraId="1D025B41" w14:textId="77777777" w:rsidR="004421F6" w:rsidRDefault="004421F6">
            <w:pPr>
              <w:rPr>
                <w:rFonts w:ascii="宋体"/>
              </w:rPr>
            </w:pPr>
          </w:p>
        </w:tc>
        <w:tc>
          <w:tcPr>
            <w:tcW w:w="0" w:type="auto"/>
            <w:shd w:val="clear" w:color="auto" w:fill="auto"/>
          </w:tcPr>
          <w:p w14:paraId="1D025B42" w14:textId="77777777" w:rsidR="004421F6" w:rsidRDefault="004421F6">
            <w:pPr>
              <w:rPr>
                <w:rFonts w:ascii="宋体"/>
              </w:rPr>
            </w:pPr>
          </w:p>
        </w:tc>
        <w:tc>
          <w:tcPr>
            <w:tcW w:w="0" w:type="auto"/>
            <w:shd w:val="clear" w:color="auto" w:fill="auto"/>
          </w:tcPr>
          <w:p w14:paraId="1D025B43" w14:textId="77777777" w:rsidR="004421F6" w:rsidRDefault="004421F6">
            <w:pPr>
              <w:rPr>
                <w:rFonts w:ascii="宋体"/>
              </w:rPr>
            </w:pPr>
          </w:p>
        </w:tc>
        <w:tc>
          <w:tcPr>
            <w:tcW w:w="0" w:type="auto"/>
            <w:shd w:val="clear" w:color="auto" w:fill="auto"/>
          </w:tcPr>
          <w:p w14:paraId="1D025B44" w14:textId="77777777" w:rsidR="004421F6" w:rsidRDefault="004421F6">
            <w:pPr>
              <w:rPr>
                <w:rFonts w:ascii="宋体"/>
              </w:rPr>
            </w:pPr>
          </w:p>
        </w:tc>
        <w:tc>
          <w:tcPr>
            <w:tcW w:w="0" w:type="auto"/>
            <w:shd w:val="clear" w:color="auto" w:fill="auto"/>
          </w:tcPr>
          <w:p w14:paraId="1D025B45" w14:textId="77777777" w:rsidR="004421F6" w:rsidRDefault="004421F6">
            <w:pPr>
              <w:rPr>
                <w:rFonts w:ascii="宋体"/>
              </w:rPr>
            </w:pPr>
          </w:p>
        </w:tc>
        <w:tc>
          <w:tcPr>
            <w:tcW w:w="0" w:type="auto"/>
            <w:shd w:val="clear" w:color="auto" w:fill="auto"/>
          </w:tcPr>
          <w:p w14:paraId="1D025B46" w14:textId="77777777" w:rsidR="004421F6" w:rsidRDefault="004421F6">
            <w:pPr>
              <w:rPr>
                <w:rFonts w:ascii="宋体"/>
              </w:rPr>
            </w:pPr>
          </w:p>
        </w:tc>
      </w:tr>
      <w:tr w:rsidR="004421F6" w14:paraId="1D025B58"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B48" w14:textId="77777777" w:rsidR="004421F6" w:rsidRDefault="00F15622">
            <w:pPr>
              <w:textAlignment w:val="bottom"/>
            </w:pPr>
            <w:r>
              <w:rPr>
                <w:rFonts w:ascii="Arial" w:eastAsia="宋体" w:hAnsi="Arial" w:cs="Arial"/>
                <w:color w:val="000000"/>
                <w:sz w:val="17"/>
                <w:szCs w:val="17"/>
              </w:rPr>
              <w:t>Forei</w:t>
            </w:r>
            <w:r>
              <w:rPr>
                <w:rFonts w:ascii="Arial" w:eastAsia="宋体" w:hAnsi="Arial" w:cs="Arial"/>
                <w:color w:val="000000"/>
                <w:sz w:val="17"/>
                <w:szCs w:val="17"/>
              </w:rPr>
              <w:t>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B49" w14:textId="77777777" w:rsidR="004421F6" w:rsidRDefault="00F15622">
            <w:pPr>
              <w:jc w:val="right"/>
              <w:textAlignment w:val="bottom"/>
            </w:pPr>
            <w:r>
              <w:rPr>
                <w:rFonts w:ascii="Arial" w:eastAsia="宋体" w:hAnsi="Arial" w:cs="Arial"/>
                <w:color w:val="000000"/>
                <w:sz w:val="17"/>
                <w:szCs w:val="17"/>
              </w:rPr>
              <w:t>Deferred income taxes and other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B4A" w14:textId="77777777" w:rsidR="004421F6" w:rsidRDefault="00F15622">
            <w:pPr>
              <w:jc w:val="right"/>
              <w:textAlignment w:val="bottom"/>
            </w:pPr>
            <w:r>
              <w:rPr>
                <w:rFonts w:ascii="Arial" w:eastAsia="宋体" w:hAnsi="Arial" w:cs="Arial"/>
                <w:color w:val="000000"/>
                <w:sz w:val="17"/>
                <w:szCs w:val="17"/>
              </w:rPr>
              <w:t>144 </w:t>
            </w:r>
          </w:p>
        </w:tc>
        <w:tc>
          <w:tcPr>
            <w:tcW w:w="0" w:type="auto"/>
            <w:tcBorders>
              <w:top w:val="single" w:sz="8" w:space="0" w:color="808080"/>
            </w:tcBorders>
            <w:shd w:val="clear" w:color="auto" w:fill="FFF1E7"/>
            <w:tcMar>
              <w:top w:w="40" w:type="dxa"/>
              <w:bottom w:w="40" w:type="dxa"/>
              <w:right w:w="20" w:type="dxa"/>
            </w:tcMar>
            <w:vAlign w:val="bottom"/>
          </w:tcPr>
          <w:p w14:paraId="1D025B4B"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B4C"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B4D" w14:textId="77777777" w:rsidR="004421F6" w:rsidRDefault="00F15622">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bottom w:w="40" w:type="dxa"/>
              <w:right w:w="20" w:type="dxa"/>
            </w:tcMar>
            <w:vAlign w:val="bottom"/>
          </w:tcPr>
          <w:p w14:paraId="1D025B4E" w14:textId="77777777" w:rsidR="004421F6" w:rsidRDefault="004421F6">
            <w:pPr>
              <w:jc w:val="right"/>
              <w:rPr>
                <w:rFonts w:ascii="宋体"/>
              </w:rPr>
            </w:pPr>
          </w:p>
        </w:tc>
        <w:tc>
          <w:tcPr>
            <w:tcW w:w="0" w:type="auto"/>
            <w:shd w:val="clear" w:color="auto" w:fill="auto"/>
          </w:tcPr>
          <w:p w14:paraId="1D025B4F" w14:textId="77777777" w:rsidR="004421F6" w:rsidRDefault="004421F6">
            <w:pPr>
              <w:rPr>
                <w:rFonts w:ascii="宋体"/>
              </w:rPr>
            </w:pPr>
          </w:p>
        </w:tc>
        <w:tc>
          <w:tcPr>
            <w:tcW w:w="0" w:type="auto"/>
            <w:shd w:val="clear" w:color="auto" w:fill="auto"/>
          </w:tcPr>
          <w:p w14:paraId="1D025B50" w14:textId="77777777" w:rsidR="004421F6" w:rsidRDefault="004421F6">
            <w:pPr>
              <w:rPr>
                <w:rFonts w:ascii="宋体"/>
              </w:rPr>
            </w:pPr>
          </w:p>
        </w:tc>
        <w:tc>
          <w:tcPr>
            <w:tcW w:w="0" w:type="auto"/>
            <w:shd w:val="clear" w:color="auto" w:fill="auto"/>
          </w:tcPr>
          <w:p w14:paraId="1D025B51" w14:textId="77777777" w:rsidR="004421F6" w:rsidRDefault="004421F6">
            <w:pPr>
              <w:rPr>
                <w:rFonts w:ascii="宋体"/>
              </w:rPr>
            </w:pPr>
          </w:p>
        </w:tc>
        <w:tc>
          <w:tcPr>
            <w:tcW w:w="0" w:type="auto"/>
            <w:shd w:val="clear" w:color="auto" w:fill="auto"/>
          </w:tcPr>
          <w:p w14:paraId="1D025B52" w14:textId="77777777" w:rsidR="004421F6" w:rsidRDefault="004421F6">
            <w:pPr>
              <w:rPr>
                <w:rFonts w:ascii="宋体"/>
              </w:rPr>
            </w:pPr>
          </w:p>
        </w:tc>
        <w:tc>
          <w:tcPr>
            <w:tcW w:w="0" w:type="auto"/>
            <w:shd w:val="clear" w:color="auto" w:fill="auto"/>
          </w:tcPr>
          <w:p w14:paraId="1D025B53" w14:textId="77777777" w:rsidR="004421F6" w:rsidRDefault="004421F6">
            <w:pPr>
              <w:rPr>
                <w:rFonts w:ascii="宋体"/>
              </w:rPr>
            </w:pPr>
          </w:p>
        </w:tc>
        <w:tc>
          <w:tcPr>
            <w:tcW w:w="0" w:type="auto"/>
            <w:shd w:val="clear" w:color="auto" w:fill="auto"/>
          </w:tcPr>
          <w:p w14:paraId="1D025B54" w14:textId="77777777" w:rsidR="004421F6" w:rsidRDefault="004421F6">
            <w:pPr>
              <w:rPr>
                <w:rFonts w:ascii="宋体"/>
              </w:rPr>
            </w:pPr>
          </w:p>
        </w:tc>
        <w:tc>
          <w:tcPr>
            <w:tcW w:w="0" w:type="auto"/>
            <w:shd w:val="clear" w:color="auto" w:fill="auto"/>
          </w:tcPr>
          <w:p w14:paraId="1D025B55" w14:textId="77777777" w:rsidR="004421F6" w:rsidRDefault="004421F6">
            <w:pPr>
              <w:rPr>
                <w:rFonts w:ascii="宋体"/>
              </w:rPr>
            </w:pPr>
          </w:p>
        </w:tc>
        <w:tc>
          <w:tcPr>
            <w:tcW w:w="0" w:type="auto"/>
            <w:shd w:val="clear" w:color="auto" w:fill="auto"/>
          </w:tcPr>
          <w:p w14:paraId="1D025B56" w14:textId="77777777" w:rsidR="004421F6" w:rsidRDefault="004421F6">
            <w:pPr>
              <w:rPr>
                <w:rFonts w:ascii="宋体"/>
              </w:rPr>
            </w:pPr>
          </w:p>
        </w:tc>
        <w:tc>
          <w:tcPr>
            <w:tcW w:w="0" w:type="auto"/>
            <w:shd w:val="clear" w:color="auto" w:fill="auto"/>
          </w:tcPr>
          <w:p w14:paraId="1D025B57" w14:textId="77777777" w:rsidR="004421F6" w:rsidRDefault="004421F6">
            <w:pPr>
              <w:rPr>
                <w:rFonts w:ascii="宋体"/>
              </w:rPr>
            </w:pPr>
          </w:p>
        </w:tc>
      </w:tr>
      <w:tr w:rsidR="004421F6" w14:paraId="1D025B6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B59" w14:textId="77777777" w:rsidR="004421F6" w:rsidRDefault="00F15622">
            <w:pPr>
              <w:textAlignment w:val="bottom"/>
            </w:pPr>
            <w:r>
              <w:rPr>
                <w:rFonts w:ascii="Arial" w:eastAsia="宋体" w:hAnsi="Arial" w:cs="Arial"/>
                <w:color w:val="000000"/>
                <w:sz w:val="17"/>
                <w:szCs w:val="17"/>
              </w:rPr>
              <w:t>Total derivatives formally designated as hedging instruments</w:t>
            </w:r>
          </w:p>
        </w:tc>
        <w:tc>
          <w:tcPr>
            <w:tcW w:w="0" w:type="auto"/>
            <w:gridSpan w:val="3"/>
            <w:tcBorders>
              <w:top w:val="single" w:sz="8" w:space="0" w:color="E87722"/>
            </w:tcBorders>
            <w:shd w:val="clear" w:color="auto" w:fill="auto"/>
            <w:tcMar>
              <w:left w:w="20" w:type="dxa"/>
              <w:right w:w="20" w:type="dxa"/>
            </w:tcMar>
            <w:vAlign w:val="bottom"/>
          </w:tcPr>
          <w:p w14:paraId="1D025B5A" w14:textId="77777777" w:rsidR="004421F6" w:rsidRDefault="004421F6">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B5B" w14:textId="77777777" w:rsidR="004421F6" w:rsidRDefault="00F15622">
            <w:pPr>
              <w:jc w:val="right"/>
              <w:textAlignment w:val="bottom"/>
            </w:pPr>
            <w:r>
              <w:rPr>
                <w:rFonts w:ascii="Arial" w:eastAsia="宋体" w:hAnsi="Arial" w:cs="Arial"/>
                <w:color w:val="000000"/>
                <w:sz w:val="17"/>
                <w:szCs w:val="17"/>
              </w:rPr>
              <w:t>632 </w:t>
            </w:r>
          </w:p>
        </w:tc>
        <w:tc>
          <w:tcPr>
            <w:tcW w:w="0" w:type="auto"/>
            <w:tcBorders>
              <w:top w:val="single" w:sz="8" w:space="0" w:color="E87722"/>
            </w:tcBorders>
            <w:shd w:val="clear" w:color="auto" w:fill="FFF1E7"/>
            <w:tcMar>
              <w:top w:w="40" w:type="dxa"/>
              <w:bottom w:w="40" w:type="dxa"/>
              <w:right w:w="20" w:type="dxa"/>
            </w:tcMar>
            <w:vAlign w:val="bottom"/>
          </w:tcPr>
          <w:p w14:paraId="1D025B5C"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B5D" w14:textId="77777777" w:rsidR="004421F6" w:rsidRDefault="004421F6">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B5E" w14:textId="77777777" w:rsidR="004421F6" w:rsidRDefault="00F15622">
            <w:pPr>
              <w:jc w:val="right"/>
              <w:textAlignment w:val="bottom"/>
            </w:pPr>
            <w:r>
              <w:rPr>
                <w:rFonts w:ascii="Arial" w:eastAsia="宋体" w:hAnsi="Arial" w:cs="Arial"/>
                <w:color w:val="000000"/>
                <w:sz w:val="17"/>
                <w:szCs w:val="17"/>
              </w:rPr>
              <w:t>190 </w:t>
            </w:r>
          </w:p>
        </w:tc>
        <w:tc>
          <w:tcPr>
            <w:tcW w:w="0" w:type="auto"/>
            <w:tcBorders>
              <w:top w:val="single" w:sz="8" w:space="0" w:color="E87722"/>
            </w:tcBorders>
            <w:shd w:val="clear" w:color="auto" w:fill="auto"/>
            <w:tcMar>
              <w:top w:w="40" w:type="dxa"/>
              <w:bottom w:w="40" w:type="dxa"/>
              <w:right w:w="20" w:type="dxa"/>
            </w:tcMar>
            <w:vAlign w:val="bottom"/>
          </w:tcPr>
          <w:p w14:paraId="1D025B5F" w14:textId="77777777" w:rsidR="004421F6" w:rsidRDefault="004421F6">
            <w:pPr>
              <w:jc w:val="right"/>
              <w:rPr>
                <w:rFonts w:ascii="宋体"/>
              </w:rPr>
            </w:pPr>
          </w:p>
        </w:tc>
        <w:tc>
          <w:tcPr>
            <w:tcW w:w="0" w:type="auto"/>
            <w:shd w:val="clear" w:color="auto" w:fill="auto"/>
          </w:tcPr>
          <w:p w14:paraId="1D025B60" w14:textId="77777777" w:rsidR="004421F6" w:rsidRDefault="004421F6">
            <w:pPr>
              <w:rPr>
                <w:rFonts w:ascii="宋体"/>
              </w:rPr>
            </w:pPr>
          </w:p>
        </w:tc>
        <w:tc>
          <w:tcPr>
            <w:tcW w:w="0" w:type="auto"/>
            <w:shd w:val="clear" w:color="auto" w:fill="auto"/>
          </w:tcPr>
          <w:p w14:paraId="1D025B61" w14:textId="77777777" w:rsidR="004421F6" w:rsidRDefault="004421F6">
            <w:pPr>
              <w:rPr>
                <w:rFonts w:ascii="宋体"/>
              </w:rPr>
            </w:pPr>
          </w:p>
        </w:tc>
        <w:tc>
          <w:tcPr>
            <w:tcW w:w="0" w:type="auto"/>
            <w:shd w:val="clear" w:color="auto" w:fill="auto"/>
          </w:tcPr>
          <w:p w14:paraId="1D025B62" w14:textId="77777777" w:rsidR="004421F6" w:rsidRDefault="004421F6">
            <w:pPr>
              <w:rPr>
                <w:rFonts w:ascii="宋体"/>
              </w:rPr>
            </w:pPr>
          </w:p>
        </w:tc>
        <w:tc>
          <w:tcPr>
            <w:tcW w:w="0" w:type="auto"/>
            <w:shd w:val="clear" w:color="auto" w:fill="auto"/>
          </w:tcPr>
          <w:p w14:paraId="1D025B63" w14:textId="77777777" w:rsidR="004421F6" w:rsidRDefault="004421F6">
            <w:pPr>
              <w:rPr>
                <w:rFonts w:ascii="宋体"/>
              </w:rPr>
            </w:pPr>
          </w:p>
        </w:tc>
        <w:tc>
          <w:tcPr>
            <w:tcW w:w="0" w:type="auto"/>
            <w:shd w:val="clear" w:color="auto" w:fill="auto"/>
          </w:tcPr>
          <w:p w14:paraId="1D025B64" w14:textId="77777777" w:rsidR="004421F6" w:rsidRDefault="004421F6">
            <w:pPr>
              <w:rPr>
                <w:rFonts w:ascii="宋体"/>
              </w:rPr>
            </w:pPr>
          </w:p>
        </w:tc>
        <w:tc>
          <w:tcPr>
            <w:tcW w:w="0" w:type="auto"/>
            <w:shd w:val="clear" w:color="auto" w:fill="auto"/>
          </w:tcPr>
          <w:p w14:paraId="1D025B65" w14:textId="77777777" w:rsidR="004421F6" w:rsidRDefault="004421F6">
            <w:pPr>
              <w:rPr>
                <w:rFonts w:ascii="宋体"/>
              </w:rPr>
            </w:pPr>
          </w:p>
        </w:tc>
        <w:tc>
          <w:tcPr>
            <w:tcW w:w="0" w:type="auto"/>
            <w:shd w:val="clear" w:color="auto" w:fill="auto"/>
          </w:tcPr>
          <w:p w14:paraId="1D025B66" w14:textId="77777777" w:rsidR="004421F6" w:rsidRDefault="004421F6">
            <w:pPr>
              <w:rPr>
                <w:rFonts w:ascii="宋体"/>
              </w:rPr>
            </w:pPr>
          </w:p>
        </w:tc>
        <w:tc>
          <w:tcPr>
            <w:tcW w:w="0" w:type="auto"/>
            <w:shd w:val="clear" w:color="auto" w:fill="auto"/>
          </w:tcPr>
          <w:p w14:paraId="1D025B67" w14:textId="77777777" w:rsidR="004421F6" w:rsidRDefault="004421F6">
            <w:pPr>
              <w:rPr>
                <w:rFonts w:ascii="宋体"/>
              </w:rPr>
            </w:pPr>
          </w:p>
        </w:tc>
        <w:tc>
          <w:tcPr>
            <w:tcW w:w="0" w:type="auto"/>
            <w:shd w:val="clear" w:color="auto" w:fill="auto"/>
          </w:tcPr>
          <w:p w14:paraId="1D025B68" w14:textId="77777777" w:rsidR="004421F6" w:rsidRDefault="004421F6">
            <w:pPr>
              <w:rPr>
                <w:rFonts w:ascii="宋体"/>
              </w:rPr>
            </w:pPr>
          </w:p>
        </w:tc>
      </w:tr>
      <w:tr w:rsidR="004421F6" w14:paraId="1D025B7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B6A" w14:textId="77777777" w:rsidR="004421F6" w:rsidRDefault="00F15622">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auto"/>
            <w:tcMar>
              <w:left w:w="20" w:type="dxa"/>
              <w:right w:w="20" w:type="dxa"/>
            </w:tcMar>
            <w:vAlign w:val="bottom"/>
          </w:tcPr>
          <w:p w14:paraId="1D025B6B"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B6C"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B6D"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B6E" w14:textId="77777777" w:rsidR="004421F6" w:rsidRDefault="004421F6">
            <w:pPr>
              <w:rPr>
                <w:rFonts w:ascii="宋体"/>
              </w:rPr>
            </w:pPr>
          </w:p>
        </w:tc>
        <w:tc>
          <w:tcPr>
            <w:tcW w:w="0" w:type="auto"/>
            <w:shd w:val="clear" w:color="auto" w:fill="auto"/>
          </w:tcPr>
          <w:p w14:paraId="1D025B6F" w14:textId="77777777" w:rsidR="004421F6" w:rsidRDefault="004421F6">
            <w:pPr>
              <w:rPr>
                <w:rFonts w:ascii="宋体"/>
              </w:rPr>
            </w:pPr>
          </w:p>
        </w:tc>
        <w:tc>
          <w:tcPr>
            <w:tcW w:w="0" w:type="auto"/>
            <w:shd w:val="clear" w:color="auto" w:fill="auto"/>
          </w:tcPr>
          <w:p w14:paraId="1D025B70" w14:textId="77777777" w:rsidR="004421F6" w:rsidRDefault="004421F6">
            <w:pPr>
              <w:rPr>
                <w:rFonts w:ascii="宋体"/>
              </w:rPr>
            </w:pPr>
          </w:p>
        </w:tc>
        <w:tc>
          <w:tcPr>
            <w:tcW w:w="0" w:type="auto"/>
            <w:shd w:val="clear" w:color="auto" w:fill="auto"/>
          </w:tcPr>
          <w:p w14:paraId="1D025B71" w14:textId="77777777" w:rsidR="004421F6" w:rsidRDefault="004421F6">
            <w:pPr>
              <w:rPr>
                <w:rFonts w:ascii="宋体"/>
              </w:rPr>
            </w:pPr>
          </w:p>
        </w:tc>
        <w:tc>
          <w:tcPr>
            <w:tcW w:w="0" w:type="auto"/>
            <w:shd w:val="clear" w:color="auto" w:fill="auto"/>
          </w:tcPr>
          <w:p w14:paraId="1D025B72" w14:textId="77777777" w:rsidR="004421F6" w:rsidRDefault="004421F6">
            <w:pPr>
              <w:rPr>
                <w:rFonts w:ascii="宋体"/>
              </w:rPr>
            </w:pPr>
          </w:p>
        </w:tc>
        <w:tc>
          <w:tcPr>
            <w:tcW w:w="0" w:type="auto"/>
            <w:shd w:val="clear" w:color="auto" w:fill="auto"/>
          </w:tcPr>
          <w:p w14:paraId="1D025B73" w14:textId="77777777" w:rsidR="004421F6" w:rsidRDefault="004421F6">
            <w:pPr>
              <w:rPr>
                <w:rFonts w:ascii="宋体"/>
              </w:rPr>
            </w:pPr>
          </w:p>
        </w:tc>
        <w:tc>
          <w:tcPr>
            <w:tcW w:w="0" w:type="auto"/>
            <w:shd w:val="clear" w:color="auto" w:fill="auto"/>
          </w:tcPr>
          <w:p w14:paraId="1D025B74" w14:textId="77777777" w:rsidR="004421F6" w:rsidRDefault="004421F6">
            <w:pPr>
              <w:rPr>
                <w:rFonts w:ascii="宋体"/>
              </w:rPr>
            </w:pPr>
          </w:p>
        </w:tc>
        <w:tc>
          <w:tcPr>
            <w:tcW w:w="0" w:type="auto"/>
            <w:shd w:val="clear" w:color="auto" w:fill="auto"/>
          </w:tcPr>
          <w:p w14:paraId="1D025B75" w14:textId="77777777" w:rsidR="004421F6" w:rsidRDefault="004421F6">
            <w:pPr>
              <w:rPr>
                <w:rFonts w:ascii="宋体"/>
              </w:rPr>
            </w:pPr>
          </w:p>
        </w:tc>
        <w:tc>
          <w:tcPr>
            <w:tcW w:w="0" w:type="auto"/>
            <w:shd w:val="clear" w:color="auto" w:fill="auto"/>
          </w:tcPr>
          <w:p w14:paraId="1D025B76" w14:textId="77777777" w:rsidR="004421F6" w:rsidRDefault="004421F6">
            <w:pPr>
              <w:rPr>
                <w:rFonts w:ascii="宋体"/>
              </w:rPr>
            </w:pPr>
          </w:p>
        </w:tc>
        <w:tc>
          <w:tcPr>
            <w:tcW w:w="0" w:type="auto"/>
            <w:shd w:val="clear" w:color="auto" w:fill="auto"/>
          </w:tcPr>
          <w:p w14:paraId="1D025B77" w14:textId="77777777" w:rsidR="004421F6" w:rsidRDefault="004421F6">
            <w:pPr>
              <w:rPr>
                <w:rFonts w:ascii="宋体"/>
              </w:rPr>
            </w:pPr>
          </w:p>
        </w:tc>
      </w:tr>
      <w:tr w:rsidR="004421F6" w14:paraId="1D025B89"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B79" w14:textId="77777777" w:rsidR="004421F6" w:rsidRDefault="00F15622">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B7A" w14:textId="77777777" w:rsidR="004421F6" w:rsidRDefault="00F15622">
            <w:pPr>
              <w:jc w:val="right"/>
              <w:textAlignment w:val="bottom"/>
            </w:pPr>
            <w:r>
              <w:rPr>
                <w:rFonts w:ascii="Arial" w:eastAsia="宋体" w:hAnsi="Arial" w:cs="Arial"/>
                <w:color w:val="000000"/>
                <w:sz w:val="17"/>
                <w:szCs w:val="17"/>
              </w:rPr>
              <w:t>Accrued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B7B" w14:textId="77777777" w:rsidR="004421F6" w:rsidRDefault="00F15622">
            <w:pPr>
              <w:jc w:val="right"/>
              <w:textAlignment w:val="bottom"/>
            </w:pPr>
            <w:r>
              <w:rPr>
                <w:rFonts w:ascii="Arial" w:eastAsia="宋体" w:hAnsi="Arial" w:cs="Arial"/>
                <w:color w:val="000000"/>
                <w:sz w:val="17"/>
                <w:szCs w:val="17"/>
              </w:rPr>
              <w:t>23 </w:t>
            </w:r>
          </w:p>
        </w:tc>
        <w:tc>
          <w:tcPr>
            <w:tcW w:w="0" w:type="auto"/>
            <w:tcBorders>
              <w:top w:val="single" w:sz="8" w:space="0" w:color="808080"/>
            </w:tcBorders>
            <w:shd w:val="clear" w:color="auto" w:fill="FFF1E7"/>
            <w:tcMar>
              <w:top w:w="40" w:type="dxa"/>
              <w:bottom w:w="40" w:type="dxa"/>
              <w:right w:w="20" w:type="dxa"/>
            </w:tcMar>
            <w:vAlign w:val="bottom"/>
          </w:tcPr>
          <w:p w14:paraId="1D025B7C"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B7D"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B7E" w14:textId="77777777" w:rsidR="004421F6" w:rsidRDefault="00F15622">
            <w:pPr>
              <w:jc w:val="right"/>
              <w:textAlignment w:val="bottom"/>
            </w:pPr>
            <w:r>
              <w:rPr>
                <w:rFonts w:ascii="Arial" w:eastAsia="宋体" w:hAnsi="Arial" w:cs="Arial"/>
                <w:color w:val="000000"/>
                <w:sz w:val="17"/>
                <w:szCs w:val="17"/>
              </w:rPr>
              <w:t>15 </w:t>
            </w:r>
          </w:p>
        </w:tc>
        <w:tc>
          <w:tcPr>
            <w:tcW w:w="0" w:type="auto"/>
            <w:tcBorders>
              <w:top w:val="single" w:sz="8" w:space="0" w:color="808080"/>
            </w:tcBorders>
            <w:shd w:val="clear" w:color="auto" w:fill="auto"/>
            <w:tcMar>
              <w:top w:w="40" w:type="dxa"/>
              <w:bottom w:w="40" w:type="dxa"/>
              <w:right w:w="20" w:type="dxa"/>
            </w:tcMar>
            <w:vAlign w:val="bottom"/>
          </w:tcPr>
          <w:p w14:paraId="1D025B7F" w14:textId="77777777" w:rsidR="004421F6" w:rsidRDefault="004421F6">
            <w:pPr>
              <w:jc w:val="right"/>
              <w:rPr>
                <w:rFonts w:ascii="宋体"/>
              </w:rPr>
            </w:pPr>
          </w:p>
        </w:tc>
        <w:tc>
          <w:tcPr>
            <w:tcW w:w="0" w:type="auto"/>
            <w:shd w:val="clear" w:color="auto" w:fill="auto"/>
          </w:tcPr>
          <w:p w14:paraId="1D025B80" w14:textId="77777777" w:rsidR="004421F6" w:rsidRDefault="004421F6">
            <w:pPr>
              <w:rPr>
                <w:rFonts w:ascii="宋体"/>
              </w:rPr>
            </w:pPr>
          </w:p>
        </w:tc>
        <w:tc>
          <w:tcPr>
            <w:tcW w:w="0" w:type="auto"/>
            <w:shd w:val="clear" w:color="auto" w:fill="auto"/>
          </w:tcPr>
          <w:p w14:paraId="1D025B81" w14:textId="77777777" w:rsidR="004421F6" w:rsidRDefault="004421F6">
            <w:pPr>
              <w:rPr>
                <w:rFonts w:ascii="宋体"/>
              </w:rPr>
            </w:pPr>
          </w:p>
        </w:tc>
        <w:tc>
          <w:tcPr>
            <w:tcW w:w="0" w:type="auto"/>
            <w:shd w:val="clear" w:color="auto" w:fill="auto"/>
          </w:tcPr>
          <w:p w14:paraId="1D025B82" w14:textId="77777777" w:rsidR="004421F6" w:rsidRDefault="004421F6">
            <w:pPr>
              <w:rPr>
                <w:rFonts w:ascii="宋体"/>
              </w:rPr>
            </w:pPr>
          </w:p>
        </w:tc>
        <w:tc>
          <w:tcPr>
            <w:tcW w:w="0" w:type="auto"/>
            <w:shd w:val="clear" w:color="auto" w:fill="auto"/>
          </w:tcPr>
          <w:p w14:paraId="1D025B83" w14:textId="77777777" w:rsidR="004421F6" w:rsidRDefault="004421F6">
            <w:pPr>
              <w:rPr>
                <w:rFonts w:ascii="宋体"/>
              </w:rPr>
            </w:pPr>
          </w:p>
        </w:tc>
        <w:tc>
          <w:tcPr>
            <w:tcW w:w="0" w:type="auto"/>
            <w:shd w:val="clear" w:color="auto" w:fill="auto"/>
          </w:tcPr>
          <w:p w14:paraId="1D025B84" w14:textId="77777777" w:rsidR="004421F6" w:rsidRDefault="004421F6">
            <w:pPr>
              <w:rPr>
                <w:rFonts w:ascii="宋体"/>
              </w:rPr>
            </w:pPr>
          </w:p>
        </w:tc>
        <w:tc>
          <w:tcPr>
            <w:tcW w:w="0" w:type="auto"/>
            <w:shd w:val="clear" w:color="auto" w:fill="auto"/>
          </w:tcPr>
          <w:p w14:paraId="1D025B85" w14:textId="77777777" w:rsidR="004421F6" w:rsidRDefault="004421F6">
            <w:pPr>
              <w:rPr>
                <w:rFonts w:ascii="宋体"/>
              </w:rPr>
            </w:pPr>
          </w:p>
        </w:tc>
        <w:tc>
          <w:tcPr>
            <w:tcW w:w="0" w:type="auto"/>
            <w:shd w:val="clear" w:color="auto" w:fill="auto"/>
          </w:tcPr>
          <w:p w14:paraId="1D025B86" w14:textId="77777777" w:rsidR="004421F6" w:rsidRDefault="004421F6">
            <w:pPr>
              <w:rPr>
                <w:rFonts w:ascii="宋体"/>
              </w:rPr>
            </w:pPr>
          </w:p>
        </w:tc>
        <w:tc>
          <w:tcPr>
            <w:tcW w:w="0" w:type="auto"/>
            <w:shd w:val="clear" w:color="auto" w:fill="auto"/>
          </w:tcPr>
          <w:p w14:paraId="1D025B87" w14:textId="77777777" w:rsidR="004421F6" w:rsidRDefault="004421F6">
            <w:pPr>
              <w:rPr>
                <w:rFonts w:ascii="宋体"/>
              </w:rPr>
            </w:pPr>
          </w:p>
        </w:tc>
        <w:tc>
          <w:tcPr>
            <w:tcW w:w="0" w:type="auto"/>
            <w:shd w:val="clear" w:color="auto" w:fill="auto"/>
          </w:tcPr>
          <w:p w14:paraId="1D025B88" w14:textId="77777777" w:rsidR="004421F6" w:rsidRDefault="004421F6">
            <w:pPr>
              <w:rPr>
                <w:rFonts w:ascii="宋体"/>
              </w:rPr>
            </w:pPr>
          </w:p>
        </w:tc>
      </w:tr>
      <w:tr w:rsidR="004421F6" w14:paraId="1D025B9A"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B8A" w14:textId="77777777" w:rsidR="004421F6" w:rsidRDefault="00F15622">
            <w:pPr>
              <w:textAlignment w:val="bottom"/>
            </w:pPr>
            <w:r>
              <w:rPr>
                <w:rFonts w:ascii="Arial" w:eastAsia="宋体" w:hAnsi="Arial" w:cs="Arial"/>
                <w:color w:val="000000"/>
                <w:sz w:val="17"/>
                <w:szCs w:val="17"/>
              </w:rPr>
              <w:t>Embedded derivatives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B8B" w14:textId="77777777" w:rsidR="004421F6" w:rsidRDefault="00F15622">
            <w:pPr>
              <w:jc w:val="right"/>
              <w:textAlignment w:val="bottom"/>
            </w:pPr>
            <w:r>
              <w:rPr>
                <w:rFonts w:ascii="Arial" w:eastAsia="宋体" w:hAnsi="Arial" w:cs="Arial"/>
                <w:color w:val="000000"/>
                <w:sz w:val="17"/>
                <w:szCs w:val="17"/>
              </w:rPr>
              <w:t>Accrued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B8C"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bottom w:w="40" w:type="dxa"/>
              <w:right w:w="20" w:type="dxa"/>
            </w:tcMar>
            <w:vAlign w:val="bottom"/>
          </w:tcPr>
          <w:p w14:paraId="1D025B8D"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B8E"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B8F" w14:textId="77777777" w:rsidR="004421F6" w:rsidRDefault="00F1562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bottom w:w="40" w:type="dxa"/>
              <w:right w:w="20" w:type="dxa"/>
            </w:tcMar>
            <w:vAlign w:val="bottom"/>
          </w:tcPr>
          <w:p w14:paraId="1D025B90" w14:textId="77777777" w:rsidR="004421F6" w:rsidRDefault="004421F6">
            <w:pPr>
              <w:jc w:val="right"/>
              <w:rPr>
                <w:rFonts w:ascii="宋体"/>
              </w:rPr>
            </w:pPr>
          </w:p>
        </w:tc>
        <w:tc>
          <w:tcPr>
            <w:tcW w:w="0" w:type="auto"/>
            <w:shd w:val="clear" w:color="auto" w:fill="auto"/>
          </w:tcPr>
          <w:p w14:paraId="1D025B91" w14:textId="77777777" w:rsidR="004421F6" w:rsidRDefault="004421F6">
            <w:pPr>
              <w:rPr>
                <w:rFonts w:ascii="宋体"/>
              </w:rPr>
            </w:pPr>
          </w:p>
        </w:tc>
        <w:tc>
          <w:tcPr>
            <w:tcW w:w="0" w:type="auto"/>
            <w:shd w:val="clear" w:color="auto" w:fill="auto"/>
          </w:tcPr>
          <w:p w14:paraId="1D025B92" w14:textId="77777777" w:rsidR="004421F6" w:rsidRDefault="004421F6">
            <w:pPr>
              <w:rPr>
                <w:rFonts w:ascii="宋体"/>
              </w:rPr>
            </w:pPr>
          </w:p>
        </w:tc>
        <w:tc>
          <w:tcPr>
            <w:tcW w:w="0" w:type="auto"/>
            <w:shd w:val="clear" w:color="auto" w:fill="auto"/>
          </w:tcPr>
          <w:p w14:paraId="1D025B93" w14:textId="77777777" w:rsidR="004421F6" w:rsidRDefault="004421F6">
            <w:pPr>
              <w:rPr>
                <w:rFonts w:ascii="宋体"/>
              </w:rPr>
            </w:pPr>
          </w:p>
        </w:tc>
        <w:tc>
          <w:tcPr>
            <w:tcW w:w="0" w:type="auto"/>
            <w:shd w:val="clear" w:color="auto" w:fill="auto"/>
          </w:tcPr>
          <w:p w14:paraId="1D025B94" w14:textId="77777777" w:rsidR="004421F6" w:rsidRDefault="004421F6">
            <w:pPr>
              <w:rPr>
                <w:rFonts w:ascii="宋体"/>
              </w:rPr>
            </w:pPr>
          </w:p>
        </w:tc>
        <w:tc>
          <w:tcPr>
            <w:tcW w:w="0" w:type="auto"/>
            <w:shd w:val="clear" w:color="auto" w:fill="auto"/>
          </w:tcPr>
          <w:p w14:paraId="1D025B95" w14:textId="77777777" w:rsidR="004421F6" w:rsidRDefault="004421F6">
            <w:pPr>
              <w:rPr>
                <w:rFonts w:ascii="宋体"/>
              </w:rPr>
            </w:pPr>
          </w:p>
        </w:tc>
        <w:tc>
          <w:tcPr>
            <w:tcW w:w="0" w:type="auto"/>
            <w:shd w:val="clear" w:color="auto" w:fill="auto"/>
          </w:tcPr>
          <w:p w14:paraId="1D025B96" w14:textId="77777777" w:rsidR="004421F6" w:rsidRDefault="004421F6">
            <w:pPr>
              <w:rPr>
                <w:rFonts w:ascii="宋体"/>
              </w:rPr>
            </w:pPr>
          </w:p>
        </w:tc>
        <w:tc>
          <w:tcPr>
            <w:tcW w:w="0" w:type="auto"/>
            <w:shd w:val="clear" w:color="auto" w:fill="auto"/>
          </w:tcPr>
          <w:p w14:paraId="1D025B97" w14:textId="77777777" w:rsidR="004421F6" w:rsidRDefault="004421F6">
            <w:pPr>
              <w:rPr>
                <w:rFonts w:ascii="宋体"/>
              </w:rPr>
            </w:pPr>
          </w:p>
        </w:tc>
        <w:tc>
          <w:tcPr>
            <w:tcW w:w="0" w:type="auto"/>
            <w:shd w:val="clear" w:color="auto" w:fill="auto"/>
          </w:tcPr>
          <w:p w14:paraId="1D025B98" w14:textId="77777777" w:rsidR="004421F6" w:rsidRDefault="004421F6">
            <w:pPr>
              <w:rPr>
                <w:rFonts w:ascii="宋体"/>
              </w:rPr>
            </w:pPr>
          </w:p>
        </w:tc>
        <w:tc>
          <w:tcPr>
            <w:tcW w:w="0" w:type="auto"/>
            <w:shd w:val="clear" w:color="auto" w:fill="auto"/>
          </w:tcPr>
          <w:p w14:paraId="1D025B99" w14:textId="77777777" w:rsidR="004421F6" w:rsidRDefault="004421F6">
            <w:pPr>
              <w:rPr>
                <w:rFonts w:ascii="宋体"/>
              </w:rPr>
            </w:pPr>
          </w:p>
        </w:tc>
      </w:tr>
      <w:tr w:rsidR="004421F6" w14:paraId="1D025BA9" w14:textId="77777777">
        <w:trPr>
          <w:hidden/>
        </w:trPr>
        <w:tc>
          <w:tcPr>
            <w:tcW w:w="0" w:type="auto"/>
            <w:gridSpan w:val="3"/>
            <w:shd w:val="clear" w:color="auto" w:fill="auto"/>
          </w:tcPr>
          <w:p w14:paraId="1D025B9B" w14:textId="77777777" w:rsidR="004421F6" w:rsidRDefault="004421F6">
            <w:pPr>
              <w:rPr>
                <w:rFonts w:ascii="宋体"/>
                <w:vanish/>
              </w:rPr>
            </w:pPr>
          </w:p>
        </w:tc>
        <w:tc>
          <w:tcPr>
            <w:tcW w:w="0" w:type="auto"/>
            <w:gridSpan w:val="3"/>
            <w:shd w:val="clear" w:color="auto" w:fill="auto"/>
          </w:tcPr>
          <w:p w14:paraId="1D025B9C" w14:textId="77777777" w:rsidR="004421F6" w:rsidRDefault="004421F6">
            <w:pPr>
              <w:rPr>
                <w:rFonts w:ascii="宋体"/>
                <w:vanish/>
              </w:rPr>
            </w:pPr>
          </w:p>
        </w:tc>
        <w:tc>
          <w:tcPr>
            <w:tcW w:w="0" w:type="auto"/>
            <w:gridSpan w:val="3"/>
            <w:shd w:val="clear" w:color="auto" w:fill="auto"/>
          </w:tcPr>
          <w:p w14:paraId="1D025B9D" w14:textId="77777777" w:rsidR="004421F6" w:rsidRDefault="004421F6">
            <w:pPr>
              <w:rPr>
                <w:rFonts w:ascii="宋体"/>
                <w:vanish/>
              </w:rPr>
            </w:pPr>
          </w:p>
        </w:tc>
        <w:tc>
          <w:tcPr>
            <w:tcW w:w="0" w:type="auto"/>
            <w:gridSpan w:val="3"/>
            <w:shd w:val="clear" w:color="auto" w:fill="auto"/>
          </w:tcPr>
          <w:p w14:paraId="1D025B9E" w14:textId="77777777" w:rsidR="004421F6" w:rsidRDefault="004421F6">
            <w:pPr>
              <w:rPr>
                <w:rFonts w:ascii="宋体"/>
                <w:vanish/>
              </w:rPr>
            </w:pPr>
          </w:p>
        </w:tc>
        <w:tc>
          <w:tcPr>
            <w:tcW w:w="0" w:type="auto"/>
            <w:gridSpan w:val="3"/>
            <w:shd w:val="clear" w:color="auto" w:fill="auto"/>
          </w:tcPr>
          <w:p w14:paraId="1D025B9F" w14:textId="77777777" w:rsidR="004421F6" w:rsidRDefault="004421F6">
            <w:pPr>
              <w:rPr>
                <w:rFonts w:ascii="宋体"/>
                <w:vanish/>
              </w:rPr>
            </w:pPr>
          </w:p>
        </w:tc>
        <w:tc>
          <w:tcPr>
            <w:tcW w:w="0" w:type="auto"/>
            <w:shd w:val="clear" w:color="auto" w:fill="auto"/>
          </w:tcPr>
          <w:p w14:paraId="1D025BA0" w14:textId="77777777" w:rsidR="004421F6" w:rsidRDefault="004421F6">
            <w:pPr>
              <w:rPr>
                <w:rFonts w:ascii="宋体"/>
              </w:rPr>
            </w:pPr>
          </w:p>
        </w:tc>
        <w:tc>
          <w:tcPr>
            <w:tcW w:w="0" w:type="auto"/>
            <w:shd w:val="clear" w:color="auto" w:fill="auto"/>
          </w:tcPr>
          <w:p w14:paraId="1D025BA1" w14:textId="77777777" w:rsidR="004421F6" w:rsidRDefault="004421F6">
            <w:pPr>
              <w:rPr>
                <w:rFonts w:ascii="宋体"/>
              </w:rPr>
            </w:pPr>
          </w:p>
        </w:tc>
        <w:tc>
          <w:tcPr>
            <w:tcW w:w="0" w:type="auto"/>
            <w:shd w:val="clear" w:color="auto" w:fill="auto"/>
          </w:tcPr>
          <w:p w14:paraId="1D025BA2" w14:textId="77777777" w:rsidR="004421F6" w:rsidRDefault="004421F6">
            <w:pPr>
              <w:rPr>
                <w:rFonts w:ascii="宋体"/>
              </w:rPr>
            </w:pPr>
          </w:p>
        </w:tc>
        <w:tc>
          <w:tcPr>
            <w:tcW w:w="0" w:type="auto"/>
            <w:shd w:val="clear" w:color="auto" w:fill="auto"/>
          </w:tcPr>
          <w:p w14:paraId="1D025BA3" w14:textId="77777777" w:rsidR="004421F6" w:rsidRDefault="004421F6">
            <w:pPr>
              <w:rPr>
                <w:rFonts w:ascii="宋体"/>
              </w:rPr>
            </w:pPr>
          </w:p>
        </w:tc>
        <w:tc>
          <w:tcPr>
            <w:tcW w:w="0" w:type="auto"/>
            <w:shd w:val="clear" w:color="auto" w:fill="auto"/>
          </w:tcPr>
          <w:p w14:paraId="1D025BA4" w14:textId="77777777" w:rsidR="004421F6" w:rsidRDefault="004421F6">
            <w:pPr>
              <w:rPr>
                <w:rFonts w:ascii="宋体"/>
              </w:rPr>
            </w:pPr>
          </w:p>
        </w:tc>
        <w:tc>
          <w:tcPr>
            <w:tcW w:w="0" w:type="auto"/>
            <w:shd w:val="clear" w:color="auto" w:fill="auto"/>
          </w:tcPr>
          <w:p w14:paraId="1D025BA5" w14:textId="77777777" w:rsidR="004421F6" w:rsidRDefault="004421F6">
            <w:pPr>
              <w:rPr>
                <w:rFonts w:ascii="宋体"/>
              </w:rPr>
            </w:pPr>
          </w:p>
        </w:tc>
        <w:tc>
          <w:tcPr>
            <w:tcW w:w="0" w:type="auto"/>
            <w:shd w:val="clear" w:color="auto" w:fill="auto"/>
          </w:tcPr>
          <w:p w14:paraId="1D025BA6" w14:textId="77777777" w:rsidR="004421F6" w:rsidRDefault="004421F6">
            <w:pPr>
              <w:rPr>
                <w:rFonts w:ascii="宋体"/>
              </w:rPr>
            </w:pPr>
          </w:p>
        </w:tc>
        <w:tc>
          <w:tcPr>
            <w:tcW w:w="0" w:type="auto"/>
            <w:shd w:val="clear" w:color="auto" w:fill="auto"/>
          </w:tcPr>
          <w:p w14:paraId="1D025BA7" w14:textId="77777777" w:rsidR="004421F6" w:rsidRDefault="004421F6">
            <w:pPr>
              <w:rPr>
                <w:rFonts w:ascii="宋体"/>
              </w:rPr>
            </w:pPr>
          </w:p>
        </w:tc>
        <w:tc>
          <w:tcPr>
            <w:tcW w:w="0" w:type="auto"/>
            <w:shd w:val="clear" w:color="auto" w:fill="auto"/>
          </w:tcPr>
          <w:p w14:paraId="1D025BA8" w14:textId="77777777" w:rsidR="004421F6" w:rsidRDefault="004421F6">
            <w:pPr>
              <w:rPr>
                <w:rFonts w:ascii="宋体"/>
              </w:rPr>
            </w:pPr>
          </w:p>
        </w:tc>
      </w:tr>
      <w:tr w:rsidR="004421F6" w14:paraId="1D025BB8" w14:textId="77777777">
        <w:trPr>
          <w:hidden/>
        </w:trPr>
        <w:tc>
          <w:tcPr>
            <w:tcW w:w="0" w:type="auto"/>
            <w:gridSpan w:val="3"/>
            <w:shd w:val="clear" w:color="auto" w:fill="auto"/>
          </w:tcPr>
          <w:p w14:paraId="1D025BAA" w14:textId="77777777" w:rsidR="004421F6" w:rsidRDefault="004421F6">
            <w:pPr>
              <w:rPr>
                <w:rFonts w:ascii="宋体"/>
                <w:vanish/>
              </w:rPr>
            </w:pPr>
          </w:p>
        </w:tc>
        <w:tc>
          <w:tcPr>
            <w:tcW w:w="0" w:type="auto"/>
            <w:gridSpan w:val="3"/>
            <w:shd w:val="clear" w:color="auto" w:fill="auto"/>
          </w:tcPr>
          <w:p w14:paraId="1D025BAB" w14:textId="77777777" w:rsidR="004421F6" w:rsidRDefault="004421F6">
            <w:pPr>
              <w:rPr>
                <w:rFonts w:ascii="宋体"/>
                <w:vanish/>
              </w:rPr>
            </w:pPr>
          </w:p>
        </w:tc>
        <w:tc>
          <w:tcPr>
            <w:tcW w:w="0" w:type="auto"/>
            <w:gridSpan w:val="3"/>
            <w:shd w:val="clear" w:color="auto" w:fill="auto"/>
          </w:tcPr>
          <w:p w14:paraId="1D025BAC" w14:textId="77777777" w:rsidR="004421F6" w:rsidRDefault="004421F6">
            <w:pPr>
              <w:rPr>
                <w:rFonts w:ascii="宋体"/>
                <w:vanish/>
              </w:rPr>
            </w:pPr>
          </w:p>
        </w:tc>
        <w:tc>
          <w:tcPr>
            <w:tcW w:w="0" w:type="auto"/>
            <w:gridSpan w:val="3"/>
            <w:shd w:val="clear" w:color="auto" w:fill="auto"/>
          </w:tcPr>
          <w:p w14:paraId="1D025BAD" w14:textId="77777777" w:rsidR="004421F6" w:rsidRDefault="004421F6">
            <w:pPr>
              <w:rPr>
                <w:rFonts w:ascii="宋体"/>
                <w:vanish/>
              </w:rPr>
            </w:pPr>
          </w:p>
        </w:tc>
        <w:tc>
          <w:tcPr>
            <w:tcW w:w="0" w:type="auto"/>
            <w:gridSpan w:val="3"/>
            <w:shd w:val="clear" w:color="auto" w:fill="auto"/>
          </w:tcPr>
          <w:p w14:paraId="1D025BAE" w14:textId="77777777" w:rsidR="004421F6" w:rsidRDefault="004421F6">
            <w:pPr>
              <w:rPr>
                <w:rFonts w:ascii="宋体"/>
                <w:vanish/>
              </w:rPr>
            </w:pPr>
          </w:p>
        </w:tc>
        <w:tc>
          <w:tcPr>
            <w:tcW w:w="0" w:type="auto"/>
            <w:shd w:val="clear" w:color="auto" w:fill="auto"/>
          </w:tcPr>
          <w:p w14:paraId="1D025BAF" w14:textId="77777777" w:rsidR="004421F6" w:rsidRDefault="004421F6">
            <w:pPr>
              <w:rPr>
                <w:rFonts w:ascii="宋体"/>
              </w:rPr>
            </w:pPr>
          </w:p>
        </w:tc>
        <w:tc>
          <w:tcPr>
            <w:tcW w:w="0" w:type="auto"/>
            <w:shd w:val="clear" w:color="auto" w:fill="auto"/>
          </w:tcPr>
          <w:p w14:paraId="1D025BB0" w14:textId="77777777" w:rsidR="004421F6" w:rsidRDefault="004421F6">
            <w:pPr>
              <w:rPr>
                <w:rFonts w:ascii="宋体"/>
              </w:rPr>
            </w:pPr>
          </w:p>
        </w:tc>
        <w:tc>
          <w:tcPr>
            <w:tcW w:w="0" w:type="auto"/>
            <w:shd w:val="clear" w:color="auto" w:fill="auto"/>
          </w:tcPr>
          <w:p w14:paraId="1D025BB1" w14:textId="77777777" w:rsidR="004421F6" w:rsidRDefault="004421F6">
            <w:pPr>
              <w:rPr>
                <w:rFonts w:ascii="宋体"/>
              </w:rPr>
            </w:pPr>
          </w:p>
        </w:tc>
        <w:tc>
          <w:tcPr>
            <w:tcW w:w="0" w:type="auto"/>
            <w:shd w:val="clear" w:color="auto" w:fill="auto"/>
          </w:tcPr>
          <w:p w14:paraId="1D025BB2" w14:textId="77777777" w:rsidR="004421F6" w:rsidRDefault="004421F6">
            <w:pPr>
              <w:rPr>
                <w:rFonts w:ascii="宋体"/>
              </w:rPr>
            </w:pPr>
          </w:p>
        </w:tc>
        <w:tc>
          <w:tcPr>
            <w:tcW w:w="0" w:type="auto"/>
            <w:shd w:val="clear" w:color="auto" w:fill="auto"/>
          </w:tcPr>
          <w:p w14:paraId="1D025BB3" w14:textId="77777777" w:rsidR="004421F6" w:rsidRDefault="004421F6">
            <w:pPr>
              <w:rPr>
                <w:rFonts w:ascii="宋体"/>
              </w:rPr>
            </w:pPr>
          </w:p>
        </w:tc>
        <w:tc>
          <w:tcPr>
            <w:tcW w:w="0" w:type="auto"/>
            <w:shd w:val="clear" w:color="auto" w:fill="auto"/>
          </w:tcPr>
          <w:p w14:paraId="1D025BB4" w14:textId="77777777" w:rsidR="004421F6" w:rsidRDefault="004421F6">
            <w:pPr>
              <w:rPr>
                <w:rFonts w:ascii="宋体"/>
              </w:rPr>
            </w:pPr>
          </w:p>
        </w:tc>
        <w:tc>
          <w:tcPr>
            <w:tcW w:w="0" w:type="auto"/>
            <w:shd w:val="clear" w:color="auto" w:fill="auto"/>
          </w:tcPr>
          <w:p w14:paraId="1D025BB5" w14:textId="77777777" w:rsidR="004421F6" w:rsidRDefault="004421F6">
            <w:pPr>
              <w:rPr>
                <w:rFonts w:ascii="宋体"/>
              </w:rPr>
            </w:pPr>
          </w:p>
        </w:tc>
        <w:tc>
          <w:tcPr>
            <w:tcW w:w="0" w:type="auto"/>
            <w:shd w:val="clear" w:color="auto" w:fill="auto"/>
          </w:tcPr>
          <w:p w14:paraId="1D025BB6" w14:textId="77777777" w:rsidR="004421F6" w:rsidRDefault="004421F6">
            <w:pPr>
              <w:rPr>
                <w:rFonts w:ascii="宋体"/>
              </w:rPr>
            </w:pPr>
          </w:p>
        </w:tc>
        <w:tc>
          <w:tcPr>
            <w:tcW w:w="0" w:type="auto"/>
            <w:shd w:val="clear" w:color="auto" w:fill="auto"/>
          </w:tcPr>
          <w:p w14:paraId="1D025BB7" w14:textId="77777777" w:rsidR="004421F6" w:rsidRDefault="004421F6">
            <w:pPr>
              <w:rPr>
                <w:rFonts w:ascii="宋体"/>
              </w:rPr>
            </w:pPr>
          </w:p>
        </w:tc>
      </w:tr>
      <w:tr w:rsidR="004421F6" w14:paraId="1D025BC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BB9" w14:textId="77777777" w:rsidR="004421F6" w:rsidRDefault="00F15622">
            <w:pPr>
              <w:textAlignment w:val="bottom"/>
            </w:pPr>
            <w:r>
              <w:rPr>
                <w:rFonts w:ascii="Arial" w:eastAsia="宋体" w:hAnsi="Arial" w:cs="Arial"/>
                <w:color w:val="000000"/>
                <w:sz w:val="17"/>
                <w:szCs w:val="17"/>
              </w:rPr>
              <w:t>Total derivatives not designated as hedging instruments</w:t>
            </w:r>
          </w:p>
        </w:tc>
        <w:tc>
          <w:tcPr>
            <w:tcW w:w="0" w:type="auto"/>
            <w:gridSpan w:val="3"/>
            <w:tcBorders>
              <w:top w:val="single" w:sz="8" w:space="0" w:color="E87722"/>
            </w:tcBorders>
            <w:shd w:val="clear" w:color="auto" w:fill="auto"/>
            <w:tcMar>
              <w:left w:w="20" w:type="dxa"/>
              <w:right w:w="20" w:type="dxa"/>
            </w:tcMar>
            <w:vAlign w:val="bottom"/>
          </w:tcPr>
          <w:p w14:paraId="1D025BBA" w14:textId="77777777" w:rsidR="004421F6" w:rsidRDefault="004421F6">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BBB" w14:textId="77777777" w:rsidR="004421F6" w:rsidRDefault="00F15622">
            <w:pPr>
              <w:jc w:val="right"/>
              <w:textAlignment w:val="bottom"/>
            </w:pPr>
            <w:r>
              <w:rPr>
                <w:rFonts w:ascii="Arial" w:eastAsia="宋体" w:hAnsi="Arial" w:cs="Arial"/>
                <w:color w:val="000000"/>
                <w:sz w:val="17"/>
                <w:szCs w:val="17"/>
              </w:rPr>
              <w:t>24 </w:t>
            </w:r>
          </w:p>
        </w:tc>
        <w:tc>
          <w:tcPr>
            <w:tcW w:w="0" w:type="auto"/>
            <w:tcBorders>
              <w:top w:val="single" w:sz="8" w:space="0" w:color="E87722"/>
            </w:tcBorders>
            <w:shd w:val="clear" w:color="auto" w:fill="FFF1E7"/>
            <w:tcMar>
              <w:top w:w="40" w:type="dxa"/>
              <w:bottom w:w="40" w:type="dxa"/>
              <w:right w:w="20" w:type="dxa"/>
            </w:tcMar>
            <w:vAlign w:val="bottom"/>
          </w:tcPr>
          <w:p w14:paraId="1D025BBC"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BBD" w14:textId="77777777" w:rsidR="004421F6" w:rsidRDefault="004421F6">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BBE" w14:textId="77777777" w:rsidR="004421F6" w:rsidRDefault="00F15622">
            <w:pPr>
              <w:jc w:val="right"/>
              <w:textAlignment w:val="bottom"/>
            </w:pPr>
            <w:r>
              <w:rPr>
                <w:rFonts w:ascii="Arial" w:eastAsia="宋体" w:hAnsi="Arial" w:cs="Arial"/>
                <w:color w:val="000000"/>
                <w:sz w:val="17"/>
                <w:szCs w:val="17"/>
              </w:rPr>
              <w:t>17 </w:t>
            </w:r>
          </w:p>
        </w:tc>
        <w:tc>
          <w:tcPr>
            <w:tcW w:w="0" w:type="auto"/>
            <w:tcBorders>
              <w:top w:val="single" w:sz="8" w:space="0" w:color="E87722"/>
            </w:tcBorders>
            <w:shd w:val="clear" w:color="auto" w:fill="auto"/>
            <w:tcMar>
              <w:top w:w="40" w:type="dxa"/>
              <w:bottom w:w="40" w:type="dxa"/>
              <w:right w:w="20" w:type="dxa"/>
            </w:tcMar>
            <w:vAlign w:val="bottom"/>
          </w:tcPr>
          <w:p w14:paraId="1D025BBF" w14:textId="77777777" w:rsidR="004421F6" w:rsidRDefault="004421F6">
            <w:pPr>
              <w:jc w:val="right"/>
              <w:rPr>
                <w:rFonts w:ascii="宋体"/>
              </w:rPr>
            </w:pPr>
          </w:p>
        </w:tc>
        <w:tc>
          <w:tcPr>
            <w:tcW w:w="0" w:type="auto"/>
            <w:shd w:val="clear" w:color="auto" w:fill="auto"/>
          </w:tcPr>
          <w:p w14:paraId="1D025BC0" w14:textId="77777777" w:rsidR="004421F6" w:rsidRDefault="004421F6">
            <w:pPr>
              <w:rPr>
                <w:rFonts w:ascii="宋体"/>
              </w:rPr>
            </w:pPr>
          </w:p>
        </w:tc>
        <w:tc>
          <w:tcPr>
            <w:tcW w:w="0" w:type="auto"/>
            <w:shd w:val="clear" w:color="auto" w:fill="auto"/>
          </w:tcPr>
          <w:p w14:paraId="1D025BC1" w14:textId="77777777" w:rsidR="004421F6" w:rsidRDefault="004421F6">
            <w:pPr>
              <w:rPr>
                <w:rFonts w:ascii="宋体"/>
              </w:rPr>
            </w:pPr>
          </w:p>
        </w:tc>
        <w:tc>
          <w:tcPr>
            <w:tcW w:w="0" w:type="auto"/>
            <w:shd w:val="clear" w:color="auto" w:fill="auto"/>
          </w:tcPr>
          <w:p w14:paraId="1D025BC2" w14:textId="77777777" w:rsidR="004421F6" w:rsidRDefault="004421F6">
            <w:pPr>
              <w:rPr>
                <w:rFonts w:ascii="宋体"/>
              </w:rPr>
            </w:pPr>
          </w:p>
        </w:tc>
        <w:tc>
          <w:tcPr>
            <w:tcW w:w="0" w:type="auto"/>
            <w:shd w:val="clear" w:color="auto" w:fill="auto"/>
          </w:tcPr>
          <w:p w14:paraId="1D025BC3" w14:textId="77777777" w:rsidR="004421F6" w:rsidRDefault="004421F6">
            <w:pPr>
              <w:rPr>
                <w:rFonts w:ascii="宋体"/>
              </w:rPr>
            </w:pPr>
          </w:p>
        </w:tc>
        <w:tc>
          <w:tcPr>
            <w:tcW w:w="0" w:type="auto"/>
            <w:shd w:val="clear" w:color="auto" w:fill="auto"/>
          </w:tcPr>
          <w:p w14:paraId="1D025BC4" w14:textId="77777777" w:rsidR="004421F6" w:rsidRDefault="004421F6">
            <w:pPr>
              <w:rPr>
                <w:rFonts w:ascii="宋体"/>
              </w:rPr>
            </w:pPr>
          </w:p>
        </w:tc>
        <w:tc>
          <w:tcPr>
            <w:tcW w:w="0" w:type="auto"/>
            <w:shd w:val="clear" w:color="auto" w:fill="auto"/>
          </w:tcPr>
          <w:p w14:paraId="1D025BC5" w14:textId="77777777" w:rsidR="004421F6" w:rsidRDefault="004421F6">
            <w:pPr>
              <w:rPr>
                <w:rFonts w:ascii="宋体"/>
              </w:rPr>
            </w:pPr>
          </w:p>
        </w:tc>
        <w:tc>
          <w:tcPr>
            <w:tcW w:w="0" w:type="auto"/>
            <w:shd w:val="clear" w:color="auto" w:fill="auto"/>
          </w:tcPr>
          <w:p w14:paraId="1D025BC6" w14:textId="77777777" w:rsidR="004421F6" w:rsidRDefault="004421F6">
            <w:pPr>
              <w:rPr>
                <w:rFonts w:ascii="宋体"/>
              </w:rPr>
            </w:pPr>
          </w:p>
        </w:tc>
        <w:tc>
          <w:tcPr>
            <w:tcW w:w="0" w:type="auto"/>
            <w:shd w:val="clear" w:color="auto" w:fill="auto"/>
          </w:tcPr>
          <w:p w14:paraId="1D025BC7" w14:textId="77777777" w:rsidR="004421F6" w:rsidRDefault="004421F6">
            <w:pPr>
              <w:rPr>
                <w:rFonts w:ascii="宋体"/>
              </w:rPr>
            </w:pPr>
          </w:p>
        </w:tc>
        <w:tc>
          <w:tcPr>
            <w:tcW w:w="0" w:type="auto"/>
            <w:shd w:val="clear" w:color="auto" w:fill="auto"/>
          </w:tcPr>
          <w:p w14:paraId="1D025BC8" w14:textId="77777777" w:rsidR="004421F6" w:rsidRDefault="004421F6">
            <w:pPr>
              <w:rPr>
                <w:rFonts w:ascii="宋体"/>
              </w:rPr>
            </w:pPr>
          </w:p>
        </w:tc>
      </w:tr>
      <w:tr w:rsidR="004421F6" w14:paraId="1D025BDC"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BCA" w14:textId="77777777" w:rsidR="004421F6" w:rsidRDefault="00F15622">
            <w:pPr>
              <w:textAlignment w:val="bottom"/>
            </w:pPr>
            <w:r>
              <w:rPr>
                <w:rFonts w:ascii="Arial" w:eastAsia="宋体" w:hAnsi="Arial" w:cs="Arial"/>
                <w:b/>
                <w:bCs/>
                <w:color w:val="000000"/>
                <w:sz w:val="17"/>
                <w:szCs w:val="17"/>
              </w:rPr>
              <w:t>TOTAL DERIVATIVE LIABILITIES</w:t>
            </w:r>
          </w:p>
        </w:tc>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5BCB" w14:textId="77777777" w:rsidR="004421F6" w:rsidRDefault="004421F6">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BCC"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BCD" w14:textId="77777777" w:rsidR="004421F6" w:rsidRDefault="00F15622">
            <w:pPr>
              <w:jc w:val="right"/>
              <w:textAlignment w:val="bottom"/>
            </w:pPr>
            <w:r>
              <w:rPr>
                <w:rFonts w:ascii="Arial" w:eastAsia="宋体" w:hAnsi="Arial" w:cs="Arial"/>
                <w:b/>
                <w:bCs/>
                <w:color w:val="000000"/>
                <w:sz w:val="17"/>
                <w:szCs w:val="17"/>
              </w:rPr>
              <w:t>656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BCE" w14:textId="77777777" w:rsidR="004421F6" w:rsidRDefault="004421F6">
            <w:pPr>
              <w:jc w:val="right"/>
              <w:rPr>
                <w:rFonts w:ascii="宋体"/>
              </w:rPr>
            </w:pPr>
          </w:p>
        </w:tc>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5BCF" w14:textId="77777777" w:rsidR="004421F6" w:rsidRDefault="004421F6">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BD0"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BD1" w14:textId="77777777" w:rsidR="004421F6" w:rsidRDefault="00F15622">
            <w:pPr>
              <w:jc w:val="right"/>
              <w:textAlignment w:val="bottom"/>
            </w:pPr>
            <w:r>
              <w:rPr>
                <w:rFonts w:ascii="Arial" w:eastAsia="宋体" w:hAnsi="Arial" w:cs="Arial"/>
                <w:b/>
                <w:bCs/>
                <w:color w:val="000000"/>
                <w:sz w:val="17"/>
                <w:szCs w:val="17"/>
              </w:rPr>
              <w:t>207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BD2" w14:textId="77777777" w:rsidR="004421F6" w:rsidRDefault="004421F6">
            <w:pPr>
              <w:jc w:val="right"/>
              <w:rPr>
                <w:rFonts w:ascii="宋体"/>
              </w:rPr>
            </w:pPr>
          </w:p>
        </w:tc>
        <w:tc>
          <w:tcPr>
            <w:tcW w:w="0" w:type="auto"/>
            <w:shd w:val="clear" w:color="auto" w:fill="auto"/>
          </w:tcPr>
          <w:p w14:paraId="1D025BD3" w14:textId="77777777" w:rsidR="004421F6" w:rsidRDefault="004421F6">
            <w:pPr>
              <w:rPr>
                <w:rFonts w:ascii="宋体"/>
              </w:rPr>
            </w:pPr>
          </w:p>
        </w:tc>
        <w:tc>
          <w:tcPr>
            <w:tcW w:w="0" w:type="auto"/>
            <w:shd w:val="clear" w:color="auto" w:fill="auto"/>
          </w:tcPr>
          <w:p w14:paraId="1D025BD4" w14:textId="77777777" w:rsidR="004421F6" w:rsidRDefault="004421F6">
            <w:pPr>
              <w:rPr>
                <w:rFonts w:ascii="宋体"/>
              </w:rPr>
            </w:pPr>
          </w:p>
        </w:tc>
        <w:tc>
          <w:tcPr>
            <w:tcW w:w="0" w:type="auto"/>
            <w:shd w:val="clear" w:color="auto" w:fill="auto"/>
          </w:tcPr>
          <w:p w14:paraId="1D025BD5" w14:textId="77777777" w:rsidR="004421F6" w:rsidRDefault="004421F6">
            <w:pPr>
              <w:rPr>
                <w:rFonts w:ascii="宋体"/>
              </w:rPr>
            </w:pPr>
          </w:p>
        </w:tc>
        <w:tc>
          <w:tcPr>
            <w:tcW w:w="0" w:type="auto"/>
            <w:shd w:val="clear" w:color="auto" w:fill="auto"/>
          </w:tcPr>
          <w:p w14:paraId="1D025BD6" w14:textId="77777777" w:rsidR="004421F6" w:rsidRDefault="004421F6">
            <w:pPr>
              <w:rPr>
                <w:rFonts w:ascii="宋体"/>
              </w:rPr>
            </w:pPr>
          </w:p>
        </w:tc>
        <w:tc>
          <w:tcPr>
            <w:tcW w:w="0" w:type="auto"/>
            <w:shd w:val="clear" w:color="auto" w:fill="auto"/>
          </w:tcPr>
          <w:p w14:paraId="1D025BD7" w14:textId="77777777" w:rsidR="004421F6" w:rsidRDefault="004421F6">
            <w:pPr>
              <w:rPr>
                <w:rFonts w:ascii="宋体"/>
              </w:rPr>
            </w:pPr>
          </w:p>
        </w:tc>
        <w:tc>
          <w:tcPr>
            <w:tcW w:w="0" w:type="auto"/>
            <w:shd w:val="clear" w:color="auto" w:fill="auto"/>
          </w:tcPr>
          <w:p w14:paraId="1D025BD8" w14:textId="77777777" w:rsidR="004421F6" w:rsidRDefault="004421F6">
            <w:pPr>
              <w:rPr>
                <w:rFonts w:ascii="宋体"/>
              </w:rPr>
            </w:pPr>
          </w:p>
        </w:tc>
        <w:tc>
          <w:tcPr>
            <w:tcW w:w="0" w:type="auto"/>
            <w:shd w:val="clear" w:color="auto" w:fill="auto"/>
          </w:tcPr>
          <w:p w14:paraId="1D025BD9" w14:textId="77777777" w:rsidR="004421F6" w:rsidRDefault="004421F6">
            <w:pPr>
              <w:rPr>
                <w:rFonts w:ascii="宋体"/>
              </w:rPr>
            </w:pPr>
          </w:p>
        </w:tc>
        <w:tc>
          <w:tcPr>
            <w:tcW w:w="0" w:type="auto"/>
            <w:shd w:val="clear" w:color="auto" w:fill="auto"/>
          </w:tcPr>
          <w:p w14:paraId="1D025BDA" w14:textId="77777777" w:rsidR="004421F6" w:rsidRDefault="004421F6">
            <w:pPr>
              <w:rPr>
                <w:rFonts w:ascii="宋体"/>
              </w:rPr>
            </w:pPr>
          </w:p>
        </w:tc>
        <w:tc>
          <w:tcPr>
            <w:tcW w:w="0" w:type="auto"/>
            <w:shd w:val="clear" w:color="auto" w:fill="auto"/>
          </w:tcPr>
          <w:p w14:paraId="1D025BDB" w14:textId="77777777" w:rsidR="004421F6" w:rsidRDefault="004421F6">
            <w:pPr>
              <w:rPr>
                <w:rFonts w:ascii="宋体"/>
              </w:rPr>
            </w:pPr>
          </w:p>
        </w:tc>
      </w:tr>
    </w:tbl>
    <w:p w14:paraId="1D025BDD" w14:textId="77777777" w:rsidR="004421F6" w:rsidRDefault="00F15622">
      <w:pPr>
        <w:spacing w:before="120"/>
      </w:pPr>
      <w:r>
        <w:rPr>
          <w:rFonts w:ascii="Arial" w:eastAsia="宋体" w:hAnsi="Arial" w:cs="Arial"/>
          <w:color w:val="000000"/>
          <w:sz w:val="17"/>
          <w:szCs w:val="17"/>
        </w:rPr>
        <w:t>The following table presents the amounts in the Unaudited Condensed Consolidated Statements of Income in which the effects of cash flow hedges are recorded and the effects of cash flow hedge activity on these line items for the three months ended August 31</w:t>
      </w:r>
      <w:r>
        <w:rPr>
          <w:rFonts w:ascii="Arial" w:eastAsia="宋体" w:hAnsi="Arial" w:cs="Arial"/>
          <w:color w:val="000000"/>
          <w:sz w:val="17"/>
          <w:szCs w:val="17"/>
        </w:rPr>
        <w:t xml:space="preserve">, 2020 and 2019: </w:t>
      </w:r>
    </w:p>
    <w:tbl>
      <w:tblPr>
        <w:tblW w:w="4985" w:type="pct"/>
        <w:tblCellMar>
          <w:top w:w="15" w:type="dxa"/>
          <w:left w:w="15" w:type="dxa"/>
          <w:bottom w:w="15" w:type="dxa"/>
          <w:right w:w="15" w:type="dxa"/>
        </w:tblCellMar>
        <w:tblLook w:val="04A0" w:firstRow="1" w:lastRow="0" w:firstColumn="1" w:lastColumn="0" w:noHBand="0" w:noVBand="1"/>
      </w:tblPr>
      <w:tblGrid>
        <w:gridCol w:w="38"/>
        <w:gridCol w:w="3702"/>
        <w:gridCol w:w="37"/>
        <w:gridCol w:w="130"/>
        <w:gridCol w:w="842"/>
        <w:gridCol w:w="41"/>
        <w:gridCol w:w="125"/>
        <w:gridCol w:w="842"/>
        <w:gridCol w:w="41"/>
        <w:gridCol w:w="36"/>
        <w:gridCol w:w="36"/>
        <w:gridCol w:w="36"/>
        <w:gridCol w:w="130"/>
        <w:gridCol w:w="792"/>
        <w:gridCol w:w="41"/>
        <w:gridCol w:w="125"/>
        <w:gridCol w:w="844"/>
        <w:gridCol w:w="41"/>
        <w:gridCol w:w="36"/>
        <w:gridCol w:w="36"/>
        <w:gridCol w:w="36"/>
        <w:gridCol w:w="36"/>
        <w:gridCol w:w="36"/>
        <w:gridCol w:w="36"/>
        <w:gridCol w:w="36"/>
        <w:gridCol w:w="36"/>
        <w:gridCol w:w="36"/>
        <w:gridCol w:w="36"/>
        <w:gridCol w:w="36"/>
        <w:gridCol w:w="36"/>
      </w:tblGrid>
      <w:tr w:rsidR="004421F6" w14:paraId="1D025BF0" w14:textId="77777777">
        <w:trPr>
          <w:gridAfter w:val="12"/>
        </w:trPr>
        <w:tc>
          <w:tcPr>
            <w:tcW w:w="50" w:type="pct"/>
            <w:shd w:val="clear" w:color="auto" w:fill="auto"/>
          </w:tcPr>
          <w:p w14:paraId="1D025BDE" w14:textId="77777777" w:rsidR="004421F6" w:rsidRDefault="004421F6">
            <w:pPr>
              <w:rPr>
                <w:rFonts w:ascii="宋体"/>
              </w:rPr>
            </w:pPr>
          </w:p>
        </w:tc>
        <w:tc>
          <w:tcPr>
            <w:tcW w:w="2398" w:type="pct"/>
            <w:shd w:val="clear" w:color="auto" w:fill="auto"/>
          </w:tcPr>
          <w:p w14:paraId="1D025BDF" w14:textId="77777777" w:rsidR="004421F6" w:rsidRDefault="004421F6">
            <w:pPr>
              <w:rPr>
                <w:rFonts w:ascii="宋体"/>
              </w:rPr>
            </w:pPr>
          </w:p>
        </w:tc>
        <w:tc>
          <w:tcPr>
            <w:tcW w:w="5" w:type="pct"/>
            <w:shd w:val="clear" w:color="auto" w:fill="auto"/>
          </w:tcPr>
          <w:p w14:paraId="1D025BE0" w14:textId="77777777" w:rsidR="004421F6" w:rsidRDefault="004421F6">
            <w:pPr>
              <w:rPr>
                <w:rFonts w:ascii="宋体"/>
              </w:rPr>
            </w:pPr>
          </w:p>
        </w:tc>
        <w:tc>
          <w:tcPr>
            <w:tcW w:w="50" w:type="pct"/>
            <w:shd w:val="clear" w:color="auto" w:fill="auto"/>
          </w:tcPr>
          <w:p w14:paraId="1D025BE1" w14:textId="77777777" w:rsidR="004421F6" w:rsidRDefault="004421F6">
            <w:pPr>
              <w:rPr>
                <w:rFonts w:ascii="宋体"/>
              </w:rPr>
            </w:pPr>
          </w:p>
        </w:tc>
        <w:tc>
          <w:tcPr>
            <w:tcW w:w="571" w:type="pct"/>
            <w:shd w:val="clear" w:color="auto" w:fill="auto"/>
          </w:tcPr>
          <w:p w14:paraId="1D025BE2" w14:textId="77777777" w:rsidR="004421F6" w:rsidRDefault="004421F6">
            <w:pPr>
              <w:rPr>
                <w:rFonts w:ascii="宋体"/>
              </w:rPr>
            </w:pPr>
          </w:p>
        </w:tc>
        <w:tc>
          <w:tcPr>
            <w:tcW w:w="5" w:type="pct"/>
            <w:shd w:val="clear" w:color="auto" w:fill="auto"/>
          </w:tcPr>
          <w:p w14:paraId="1D025BE3" w14:textId="77777777" w:rsidR="004421F6" w:rsidRDefault="004421F6">
            <w:pPr>
              <w:rPr>
                <w:rFonts w:ascii="宋体"/>
              </w:rPr>
            </w:pPr>
          </w:p>
        </w:tc>
        <w:tc>
          <w:tcPr>
            <w:tcW w:w="50" w:type="pct"/>
            <w:shd w:val="clear" w:color="auto" w:fill="auto"/>
          </w:tcPr>
          <w:p w14:paraId="1D025BE4" w14:textId="77777777" w:rsidR="004421F6" w:rsidRDefault="004421F6">
            <w:pPr>
              <w:rPr>
                <w:rFonts w:ascii="宋体"/>
              </w:rPr>
            </w:pPr>
          </w:p>
        </w:tc>
        <w:tc>
          <w:tcPr>
            <w:tcW w:w="571" w:type="pct"/>
            <w:shd w:val="clear" w:color="auto" w:fill="auto"/>
          </w:tcPr>
          <w:p w14:paraId="1D025BE5" w14:textId="77777777" w:rsidR="004421F6" w:rsidRDefault="004421F6">
            <w:pPr>
              <w:rPr>
                <w:rFonts w:ascii="宋体"/>
              </w:rPr>
            </w:pPr>
          </w:p>
        </w:tc>
        <w:tc>
          <w:tcPr>
            <w:tcW w:w="5" w:type="pct"/>
            <w:shd w:val="clear" w:color="auto" w:fill="auto"/>
          </w:tcPr>
          <w:p w14:paraId="1D025BE6" w14:textId="77777777" w:rsidR="004421F6" w:rsidRDefault="004421F6">
            <w:pPr>
              <w:rPr>
                <w:rFonts w:ascii="宋体"/>
              </w:rPr>
            </w:pPr>
          </w:p>
        </w:tc>
        <w:tc>
          <w:tcPr>
            <w:tcW w:w="5" w:type="pct"/>
            <w:shd w:val="clear" w:color="auto" w:fill="auto"/>
          </w:tcPr>
          <w:p w14:paraId="1D025BE7" w14:textId="77777777" w:rsidR="004421F6" w:rsidRDefault="004421F6">
            <w:pPr>
              <w:rPr>
                <w:rFonts w:ascii="宋体"/>
              </w:rPr>
            </w:pPr>
          </w:p>
        </w:tc>
        <w:tc>
          <w:tcPr>
            <w:tcW w:w="28" w:type="pct"/>
            <w:shd w:val="clear" w:color="auto" w:fill="auto"/>
          </w:tcPr>
          <w:p w14:paraId="1D025BE8" w14:textId="77777777" w:rsidR="004421F6" w:rsidRDefault="004421F6">
            <w:pPr>
              <w:rPr>
                <w:rFonts w:ascii="宋体"/>
              </w:rPr>
            </w:pPr>
          </w:p>
        </w:tc>
        <w:tc>
          <w:tcPr>
            <w:tcW w:w="5" w:type="pct"/>
            <w:shd w:val="clear" w:color="auto" w:fill="auto"/>
          </w:tcPr>
          <w:p w14:paraId="1D025BE9" w14:textId="77777777" w:rsidR="004421F6" w:rsidRDefault="004421F6">
            <w:pPr>
              <w:rPr>
                <w:rFonts w:ascii="宋体"/>
              </w:rPr>
            </w:pPr>
          </w:p>
        </w:tc>
        <w:tc>
          <w:tcPr>
            <w:tcW w:w="50" w:type="pct"/>
            <w:shd w:val="clear" w:color="auto" w:fill="auto"/>
          </w:tcPr>
          <w:p w14:paraId="1D025BEA" w14:textId="77777777" w:rsidR="004421F6" w:rsidRDefault="004421F6">
            <w:pPr>
              <w:rPr>
                <w:rFonts w:ascii="宋体"/>
              </w:rPr>
            </w:pPr>
          </w:p>
        </w:tc>
        <w:tc>
          <w:tcPr>
            <w:tcW w:w="571" w:type="pct"/>
            <w:shd w:val="clear" w:color="auto" w:fill="auto"/>
          </w:tcPr>
          <w:p w14:paraId="1D025BEB" w14:textId="77777777" w:rsidR="004421F6" w:rsidRDefault="004421F6">
            <w:pPr>
              <w:rPr>
                <w:rFonts w:ascii="宋体"/>
              </w:rPr>
            </w:pPr>
          </w:p>
        </w:tc>
        <w:tc>
          <w:tcPr>
            <w:tcW w:w="5" w:type="pct"/>
            <w:shd w:val="clear" w:color="auto" w:fill="auto"/>
          </w:tcPr>
          <w:p w14:paraId="1D025BEC" w14:textId="77777777" w:rsidR="004421F6" w:rsidRDefault="004421F6">
            <w:pPr>
              <w:rPr>
                <w:rFonts w:ascii="宋体"/>
              </w:rPr>
            </w:pPr>
          </w:p>
        </w:tc>
        <w:tc>
          <w:tcPr>
            <w:tcW w:w="50" w:type="pct"/>
            <w:shd w:val="clear" w:color="auto" w:fill="auto"/>
          </w:tcPr>
          <w:p w14:paraId="1D025BED" w14:textId="77777777" w:rsidR="004421F6" w:rsidRDefault="004421F6">
            <w:pPr>
              <w:rPr>
                <w:rFonts w:ascii="宋体"/>
              </w:rPr>
            </w:pPr>
          </w:p>
        </w:tc>
        <w:tc>
          <w:tcPr>
            <w:tcW w:w="572" w:type="pct"/>
            <w:shd w:val="clear" w:color="auto" w:fill="auto"/>
          </w:tcPr>
          <w:p w14:paraId="1D025BEE" w14:textId="77777777" w:rsidR="004421F6" w:rsidRDefault="004421F6">
            <w:pPr>
              <w:rPr>
                <w:rFonts w:ascii="宋体"/>
              </w:rPr>
            </w:pPr>
          </w:p>
        </w:tc>
        <w:tc>
          <w:tcPr>
            <w:tcW w:w="5" w:type="pct"/>
            <w:shd w:val="clear" w:color="auto" w:fill="auto"/>
          </w:tcPr>
          <w:p w14:paraId="1D025BEF" w14:textId="77777777" w:rsidR="004421F6" w:rsidRDefault="004421F6">
            <w:pPr>
              <w:rPr>
                <w:rFonts w:ascii="宋体"/>
              </w:rPr>
            </w:pPr>
          </w:p>
        </w:tc>
      </w:tr>
      <w:tr w:rsidR="004421F6" w14:paraId="1D025BF7" w14:textId="77777777">
        <w:tc>
          <w:tcPr>
            <w:tcW w:w="0" w:type="auto"/>
            <w:gridSpan w:val="3"/>
            <w:shd w:val="clear" w:color="auto" w:fill="auto"/>
            <w:tcMar>
              <w:left w:w="20" w:type="dxa"/>
              <w:right w:w="20" w:type="dxa"/>
            </w:tcMar>
            <w:vAlign w:val="bottom"/>
          </w:tcPr>
          <w:p w14:paraId="1D025BF1" w14:textId="77777777" w:rsidR="004421F6" w:rsidRDefault="004421F6">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1D025BF2"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5BF3" w14:textId="77777777" w:rsidR="004421F6" w:rsidRDefault="004421F6">
            <w:pPr>
              <w:rPr>
                <w:rFonts w:ascii="宋体"/>
                <w:vanish/>
              </w:rPr>
            </w:pPr>
          </w:p>
        </w:tc>
        <w:tc>
          <w:tcPr>
            <w:tcW w:w="0" w:type="auto"/>
            <w:gridSpan w:val="3"/>
            <w:shd w:val="clear" w:color="auto" w:fill="auto"/>
          </w:tcPr>
          <w:p w14:paraId="1D025BF4" w14:textId="77777777" w:rsidR="004421F6" w:rsidRDefault="004421F6">
            <w:pPr>
              <w:rPr>
                <w:rFonts w:ascii="宋体"/>
                <w:vanish/>
              </w:rPr>
            </w:pPr>
          </w:p>
        </w:tc>
        <w:tc>
          <w:tcPr>
            <w:tcW w:w="0" w:type="auto"/>
            <w:gridSpan w:val="3"/>
            <w:shd w:val="clear" w:color="auto" w:fill="auto"/>
          </w:tcPr>
          <w:p w14:paraId="1D025BF5" w14:textId="77777777" w:rsidR="004421F6" w:rsidRDefault="004421F6">
            <w:pPr>
              <w:rPr>
                <w:rFonts w:ascii="宋体"/>
                <w:vanish/>
              </w:rPr>
            </w:pPr>
          </w:p>
        </w:tc>
        <w:tc>
          <w:tcPr>
            <w:tcW w:w="0" w:type="auto"/>
            <w:gridSpan w:val="3"/>
            <w:shd w:val="clear" w:color="auto" w:fill="auto"/>
          </w:tcPr>
          <w:p w14:paraId="1D025BF6" w14:textId="77777777" w:rsidR="004421F6" w:rsidRDefault="004421F6">
            <w:pPr>
              <w:rPr>
                <w:rFonts w:ascii="宋体"/>
                <w:vanish/>
              </w:rPr>
            </w:pPr>
          </w:p>
        </w:tc>
      </w:tr>
      <w:tr w:rsidR="004421F6" w14:paraId="1D025C04" w14:textId="77777777">
        <w:tc>
          <w:tcPr>
            <w:tcW w:w="0" w:type="auto"/>
            <w:gridSpan w:val="3"/>
            <w:shd w:val="clear" w:color="auto" w:fill="auto"/>
            <w:tcMar>
              <w:left w:w="20" w:type="dxa"/>
              <w:right w:w="20" w:type="dxa"/>
            </w:tcMar>
            <w:vAlign w:val="bottom"/>
          </w:tcPr>
          <w:p w14:paraId="1D025BF8" w14:textId="77777777" w:rsidR="004421F6" w:rsidRDefault="004421F6">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D025BF9"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Pr>
          <w:p w14:paraId="1D025BFA" w14:textId="77777777" w:rsidR="004421F6" w:rsidRDefault="004421F6">
            <w:pPr>
              <w:rPr>
                <w:rFonts w:ascii="宋体"/>
                <w:vanish/>
              </w:rPr>
            </w:pPr>
          </w:p>
        </w:tc>
        <w:tc>
          <w:tcPr>
            <w:tcW w:w="0" w:type="auto"/>
            <w:gridSpan w:val="3"/>
            <w:tcBorders>
              <w:top w:val="single" w:sz="8" w:space="0" w:color="E87722"/>
            </w:tcBorders>
            <w:shd w:val="clear" w:color="auto" w:fill="auto"/>
            <w:tcMar>
              <w:left w:w="20" w:type="dxa"/>
              <w:right w:w="20" w:type="dxa"/>
            </w:tcMar>
            <w:vAlign w:val="bottom"/>
          </w:tcPr>
          <w:p w14:paraId="1D025BFB" w14:textId="77777777" w:rsidR="004421F6" w:rsidRDefault="004421F6">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D025BFC"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shd w:val="clear" w:color="auto" w:fill="auto"/>
          </w:tcPr>
          <w:p w14:paraId="1D025BFD" w14:textId="77777777" w:rsidR="004421F6" w:rsidRDefault="004421F6">
            <w:pPr>
              <w:rPr>
                <w:rFonts w:ascii="宋体"/>
                <w:vanish/>
              </w:rPr>
            </w:pPr>
          </w:p>
        </w:tc>
        <w:tc>
          <w:tcPr>
            <w:tcW w:w="0" w:type="auto"/>
            <w:shd w:val="clear" w:color="auto" w:fill="auto"/>
          </w:tcPr>
          <w:p w14:paraId="1D025BFE" w14:textId="77777777" w:rsidR="004421F6" w:rsidRDefault="004421F6">
            <w:pPr>
              <w:rPr>
                <w:rFonts w:ascii="宋体"/>
              </w:rPr>
            </w:pPr>
          </w:p>
        </w:tc>
        <w:tc>
          <w:tcPr>
            <w:tcW w:w="0" w:type="auto"/>
            <w:shd w:val="clear" w:color="auto" w:fill="auto"/>
          </w:tcPr>
          <w:p w14:paraId="1D025BFF" w14:textId="77777777" w:rsidR="004421F6" w:rsidRDefault="004421F6">
            <w:pPr>
              <w:rPr>
                <w:rFonts w:ascii="宋体"/>
              </w:rPr>
            </w:pPr>
          </w:p>
        </w:tc>
        <w:tc>
          <w:tcPr>
            <w:tcW w:w="0" w:type="auto"/>
            <w:shd w:val="clear" w:color="auto" w:fill="auto"/>
          </w:tcPr>
          <w:p w14:paraId="1D025C00" w14:textId="77777777" w:rsidR="004421F6" w:rsidRDefault="004421F6">
            <w:pPr>
              <w:rPr>
                <w:rFonts w:ascii="宋体"/>
              </w:rPr>
            </w:pPr>
          </w:p>
        </w:tc>
        <w:tc>
          <w:tcPr>
            <w:tcW w:w="0" w:type="auto"/>
            <w:shd w:val="clear" w:color="auto" w:fill="auto"/>
          </w:tcPr>
          <w:p w14:paraId="1D025C01" w14:textId="77777777" w:rsidR="004421F6" w:rsidRDefault="004421F6">
            <w:pPr>
              <w:rPr>
                <w:rFonts w:ascii="宋体"/>
              </w:rPr>
            </w:pPr>
          </w:p>
        </w:tc>
        <w:tc>
          <w:tcPr>
            <w:tcW w:w="0" w:type="auto"/>
            <w:shd w:val="clear" w:color="auto" w:fill="auto"/>
          </w:tcPr>
          <w:p w14:paraId="1D025C02" w14:textId="77777777" w:rsidR="004421F6" w:rsidRDefault="004421F6">
            <w:pPr>
              <w:rPr>
                <w:rFonts w:ascii="宋体"/>
              </w:rPr>
            </w:pPr>
          </w:p>
        </w:tc>
        <w:tc>
          <w:tcPr>
            <w:tcW w:w="0" w:type="auto"/>
            <w:shd w:val="clear" w:color="auto" w:fill="auto"/>
          </w:tcPr>
          <w:p w14:paraId="1D025C03" w14:textId="77777777" w:rsidR="004421F6" w:rsidRDefault="004421F6">
            <w:pPr>
              <w:rPr>
                <w:rFonts w:ascii="宋体"/>
              </w:rPr>
            </w:pPr>
          </w:p>
        </w:tc>
      </w:tr>
      <w:tr w:rsidR="004421F6" w14:paraId="1D025C17" w14:textId="77777777">
        <w:tc>
          <w:tcPr>
            <w:tcW w:w="0" w:type="auto"/>
            <w:gridSpan w:val="3"/>
            <w:shd w:val="clear" w:color="auto" w:fill="auto"/>
            <w:tcMar>
              <w:top w:w="40" w:type="dxa"/>
              <w:left w:w="20" w:type="dxa"/>
              <w:bottom w:w="40" w:type="dxa"/>
              <w:right w:w="20" w:type="dxa"/>
            </w:tcMar>
            <w:vAlign w:val="bottom"/>
          </w:tcPr>
          <w:p w14:paraId="1D025C05"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C06" w14:textId="77777777" w:rsidR="004421F6" w:rsidRDefault="00F15622">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C07" w14:textId="77777777" w:rsidR="004421F6" w:rsidRDefault="00F15622">
            <w:pPr>
              <w:jc w:val="right"/>
              <w:textAlignment w:val="bottom"/>
            </w:pPr>
            <w:r>
              <w:rPr>
                <w:rFonts w:ascii="sans-serif" w:eastAsia="sans-serif" w:hAnsi="sans-serif" w:cs="sans-serif"/>
                <w:b/>
                <w:bCs/>
                <w:color w:val="000000"/>
                <w:sz w:val="17"/>
                <w:szCs w:val="17"/>
              </w:rPr>
              <w:t xml:space="preserve">AMOUNT OF </w:t>
            </w:r>
            <w:r>
              <w:rPr>
                <w:rFonts w:ascii="sans-serif" w:eastAsia="sans-serif" w:hAnsi="sans-serif" w:cs="sans-serif"/>
                <w:b/>
                <w:bCs/>
                <w:color w:val="000000"/>
                <w:sz w:val="17"/>
                <w:szCs w:val="17"/>
              </w:rPr>
              <w:br/>
              <w:t xml:space="preserve">GAIN (LOSS) </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gridSpan w:val="3"/>
            <w:shd w:val="clear" w:color="auto" w:fill="auto"/>
            <w:tcMar>
              <w:left w:w="20" w:type="dxa"/>
              <w:right w:w="20" w:type="dxa"/>
            </w:tcMar>
            <w:vAlign w:val="bottom"/>
          </w:tcPr>
          <w:p w14:paraId="1D025C08" w14:textId="77777777" w:rsidR="004421F6" w:rsidRDefault="004421F6">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C09" w14:textId="77777777" w:rsidR="004421F6" w:rsidRDefault="00F15622">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C0A" w14:textId="77777777" w:rsidR="004421F6" w:rsidRDefault="00F15622">
            <w:pPr>
              <w:jc w:val="right"/>
              <w:textAlignment w:val="bottom"/>
            </w:pPr>
            <w:r>
              <w:rPr>
                <w:rFonts w:ascii="sans-serif" w:eastAsia="sans-serif" w:hAnsi="sans-serif" w:cs="sans-serif"/>
                <w:b/>
                <w:bCs/>
                <w:color w:val="000000"/>
                <w:sz w:val="17"/>
                <w:szCs w:val="17"/>
              </w:rPr>
              <w:t xml:space="preserve">AMOUNT OF </w:t>
            </w:r>
            <w:r>
              <w:rPr>
                <w:rFonts w:ascii="sans-serif" w:eastAsia="sans-serif" w:hAnsi="sans-serif" w:cs="sans-serif"/>
                <w:b/>
                <w:bCs/>
                <w:color w:val="000000"/>
                <w:sz w:val="17"/>
                <w:szCs w:val="17"/>
              </w:rPr>
              <w:br/>
              <w:t xml:space="preserve">GAIN (LOSS) </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shd w:val="clear" w:color="auto" w:fill="auto"/>
          </w:tcPr>
          <w:p w14:paraId="1D025C0B" w14:textId="77777777" w:rsidR="004421F6" w:rsidRDefault="004421F6">
            <w:pPr>
              <w:rPr>
                <w:rFonts w:ascii="宋体"/>
              </w:rPr>
            </w:pPr>
          </w:p>
        </w:tc>
        <w:tc>
          <w:tcPr>
            <w:tcW w:w="0" w:type="auto"/>
            <w:shd w:val="clear" w:color="auto" w:fill="auto"/>
          </w:tcPr>
          <w:p w14:paraId="1D025C0C" w14:textId="77777777" w:rsidR="004421F6" w:rsidRDefault="004421F6">
            <w:pPr>
              <w:rPr>
                <w:rFonts w:ascii="宋体"/>
              </w:rPr>
            </w:pPr>
          </w:p>
        </w:tc>
        <w:tc>
          <w:tcPr>
            <w:tcW w:w="0" w:type="auto"/>
            <w:shd w:val="clear" w:color="auto" w:fill="auto"/>
          </w:tcPr>
          <w:p w14:paraId="1D025C0D" w14:textId="77777777" w:rsidR="004421F6" w:rsidRDefault="004421F6">
            <w:pPr>
              <w:rPr>
                <w:rFonts w:ascii="宋体"/>
              </w:rPr>
            </w:pPr>
          </w:p>
        </w:tc>
        <w:tc>
          <w:tcPr>
            <w:tcW w:w="0" w:type="auto"/>
            <w:shd w:val="clear" w:color="auto" w:fill="auto"/>
          </w:tcPr>
          <w:p w14:paraId="1D025C0E" w14:textId="77777777" w:rsidR="004421F6" w:rsidRDefault="004421F6">
            <w:pPr>
              <w:rPr>
                <w:rFonts w:ascii="宋体"/>
              </w:rPr>
            </w:pPr>
          </w:p>
        </w:tc>
        <w:tc>
          <w:tcPr>
            <w:tcW w:w="0" w:type="auto"/>
            <w:shd w:val="clear" w:color="auto" w:fill="auto"/>
          </w:tcPr>
          <w:p w14:paraId="1D025C0F" w14:textId="77777777" w:rsidR="004421F6" w:rsidRDefault="004421F6">
            <w:pPr>
              <w:rPr>
                <w:rFonts w:ascii="宋体"/>
              </w:rPr>
            </w:pPr>
          </w:p>
        </w:tc>
        <w:tc>
          <w:tcPr>
            <w:tcW w:w="0" w:type="auto"/>
            <w:shd w:val="clear" w:color="auto" w:fill="auto"/>
          </w:tcPr>
          <w:p w14:paraId="1D025C10" w14:textId="77777777" w:rsidR="004421F6" w:rsidRDefault="004421F6">
            <w:pPr>
              <w:rPr>
                <w:rFonts w:ascii="宋体"/>
              </w:rPr>
            </w:pPr>
          </w:p>
        </w:tc>
        <w:tc>
          <w:tcPr>
            <w:tcW w:w="0" w:type="auto"/>
            <w:shd w:val="clear" w:color="auto" w:fill="auto"/>
          </w:tcPr>
          <w:p w14:paraId="1D025C11" w14:textId="77777777" w:rsidR="004421F6" w:rsidRDefault="004421F6">
            <w:pPr>
              <w:rPr>
                <w:rFonts w:ascii="宋体"/>
              </w:rPr>
            </w:pPr>
          </w:p>
        </w:tc>
        <w:tc>
          <w:tcPr>
            <w:tcW w:w="0" w:type="auto"/>
            <w:shd w:val="clear" w:color="auto" w:fill="auto"/>
          </w:tcPr>
          <w:p w14:paraId="1D025C12" w14:textId="77777777" w:rsidR="004421F6" w:rsidRDefault="004421F6">
            <w:pPr>
              <w:rPr>
                <w:rFonts w:ascii="宋体"/>
              </w:rPr>
            </w:pPr>
          </w:p>
        </w:tc>
        <w:tc>
          <w:tcPr>
            <w:tcW w:w="0" w:type="auto"/>
            <w:shd w:val="clear" w:color="auto" w:fill="auto"/>
          </w:tcPr>
          <w:p w14:paraId="1D025C13" w14:textId="77777777" w:rsidR="004421F6" w:rsidRDefault="004421F6">
            <w:pPr>
              <w:rPr>
                <w:rFonts w:ascii="宋体"/>
              </w:rPr>
            </w:pPr>
          </w:p>
        </w:tc>
        <w:tc>
          <w:tcPr>
            <w:tcW w:w="0" w:type="auto"/>
            <w:shd w:val="clear" w:color="auto" w:fill="auto"/>
          </w:tcPr>
          <w:p w14:paraId="1D025C14" w14:textId="77777777" w:rsidR="004421F6" w:rsidRDefault="004421F6">
            <w:pPr>
              <w:rPr>
                <w:rFonts w:ascii="宋体"/>
              </w:rPr>
            </w:pPr>
          </w:p>
        </w:tc>
        <w:tc>
          <w:tcPr>
            <w:tcW w:w="0" w:type="auto"/>
            <w:shd w:val="clear" w:color="auto" w:fill="auto"/>
          </w:tcPr>
          <w:p w14:paraId="1D025C15" w14:textId="77777777" w:rsidR="004421F6" w:rsidRDefault="004421F6">
            <w:pPr>
              <w:rPr>
                <w:rFonts w:ascii="宋体"/>
              </w:rPr>
            </w:pPr>
          </w:p>
        </w:tc>
        <w:tc>
          <w:tcPr>
            <w:tcW w:w="0" w:type="auto"/>
            <w:shd w:val="clear" w:color="auto" w:fill="auto"/>
          </w:tcPr>
          <w:p w14:paraId="1D025C16" w14:textId="77777777" w:rsidR="004421F6" w:rsidRDefault="004421F6">
            <w:pPr>
              <w:rPr>
                <w:rFonts w:ascii="宋体"/>
              </w:rPr>
            </w:pPr>
          </w:p>
        </w:tc>
      </w:tr>
      <w:tr w:rsidR="004421F6" w14:paraId="1D025C3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C18" w14:textId="77777777" w:rsidR="004421F6" w:rsidRDefault="00F15622">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tcMar>
            <w:vAlign w:val="bottom"/>
          </w:tcPr>
          <w:p w14:paraId="1D025C19"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5C1A" w14:textId="77777777" w:rsidR="004421F6" w:rsidRDefault="00F15622">
            <w:pPr>
              <w:jc w:val="right"/>
              <w:textAlignment w:val="bottom"/>
            </w:pPr>
            <w:r>
              <w:rPr>
                <w:rFonts w:ascii="Arial" w:eastAsia="宋体" w:hAnsi="Arial" w:cs="Arial"/>
                <w:color w:val="000000"/>
                <w:sz w:val="17"/>
                <w:szCs w:val="17"/>
              </w:rPr>
              <w:t>10,594 </w:t>
            </w:r>
          </w:p>
        </w:tc>
        <w:tc>
          <w:tcPr>
            <w:tcW w:w="0" w:type="auto"/>
            <w:tcBorders>
              <w:top w:val="single" w:sz="8" w:space="0" w:color="E87722"/>
            </w:tcBorders>
            <w:shd w:val="clear" w:color="auto" w:fill="FFF1E7"/>
            <w:tcMar>
              <w:top w:w="40" w:type="dxa"/>
              <w:bottom w:w="40" w:type="dxa"/>
              <w:right w:w="20" w:type="dxa"/>
            </w:tcMar>
            <w:vAlign w:val="bottom"/>
          </w:tcPr>
          <w:p w14:paraId="1D025C1B" w14:textId="77777777" w:rsidR="004421F6" w:rsidRDefault="004421F6">
            <w:pPr>
              <w:jc w:val="right"/>
              <w:rPr>
                <w:rFonts w:ascii="宋体"/>
              </w:rPr>
            </w:pPr>
          </w:p>
        </w:tc>
        <w:tc>
          <w:tcPr>
            <w:tcW w:w="0" w:type="auto"/>
            <w:tcBorders>
              <w:top w:val="single" w:sz="8" w:space="0" w:color="E87722"/>
            </w:tcBorders>
            <w:shd w:val="clear" w:color="auto" w:fill="FFF1E7"/>
            <w:tcMar>
              <w:top w:w="40" w:type="dxa"/>
              <w:left w:w="20" w:type="dxa"/>
              <w:bottom w:w="40" w:type="dxa"/>
            </w:tcMar>
            <w:vAlign w:val="bottom"/>
          </w:tcPr>
          <w:p w14:paraId="1D025C1C" w14:textId="77777777" w:rsidR="004421F6" w:rsidRDefault="00F15622">
            <w:pPr>
              <w:textAlignment w:val="bottom"/>
            </w:pPr>
            <w:r>
              <w:rPr>
                <w:rFonts w:ascii="Arial" w:eastAsia="宋体" w:hAnsi="Arial" w:cs="Arial"/>
                <w:color w:val="000000"/>
                <w:sz w:val="16"/>
                <w:szCs w:val="16"/>
              </w:rPr>
              <w:t>$</w:t>
            </w:r>
          </w:p>
        </w:tc>
        <w:tc>
          <w:tcPr>
            <w:tcW w:w="0" w:type="auto"/>
            <w:tcBorders>
              <w:top w:val="single" w:sz="8" w:space="0" w:color="E87722"/>
            </w:tcBorders>
            <w:shd w:val="clear" w:color="auto" w:fill="FFF1E7"/>
            <w:tcMar>
              <w:top w:w="40" w:type="dxa"/>
              <w:bottom w:w="40" w:type="dxa"/>
              <w:right w:w="0" w:type="dxa"/>
            </w:tcMar>
            <w:vAlign w:val="bottom"/>
          </w:tcPr>
          <w:p w14:paraId="1D025C1D" w14:textId="77777777" w:rsidR="004421F6" w:rsidRDefault="00F15622">
            <w:pPr>
              <w:jc w:val="right"/>
              <w:textAlignment w:val="bottom"/>
            </w:pPr>
            <w:r>
              <w:rPr>
                <w:rFonts w:ascii="Arial" w:eastAsia="宋体" w:hAnsi="Arial" w:cs="Arial"/>
                <w:color w:val="000000"/>
                <w:sz w:val="16"/>
                <w:szCs w:val="16"/>
              </w:rPr>
              <w:t>14 </w:t>
            </w:r>
          </w:p>
        </w:tc>
        <w:tc>
          <w:tcPr>
            <w:tcW w:w="0" w:type="auto"/>
            <w:tcBorders>
              <w:top w:val="single" w:sz="8" w:space="0" w:color="E87722"/>
            </w:tcBorders>
            <w:shd w:val="clear" w:color="auto" w:fill="FFF1E7"/>
            <w:tcMar>
              <w:top w:w="40" w:type="dxa"/>
              <w:bottom w:w="40" w:type="dxa"/>
              <w:right w:w="20" w:type="dxa"/>
            </w:tcMar>
            <w:vAlign w:val="bottom"/>
          </w:tcPr>
          <w:p w14:paraId="1D025C1E"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C1F" w14:textId="77777777" w:rsidR="004421F6" w:rsidRDefault="004421F6">
            <w:pPr>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C20"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C21" w14:textId="77777777" w:rsidR="004421F6" w:rsidRDefault="00F15622">
            <w:pPr>
              <w:jc w:val="right"/>
              <w:textAlignment w:val="bottom"/>
            </w:pPr>
            <w:r>
              <w:rPr>
                <w:rFonts w:ascii="Arial" w:eastAsia="宋体" w:hAnsi="Arial" w:cs="Arial"/>
                <w:color w:val="000000"/>
                <w:sz w:val="17"/>
                <w:szCs w:val="17"/>
              </w:rPr>
              <w:t>10,660 </w:t>
            </w:r>
          </w:p>
        </w:tc>
        <w:tc>
          <w:tcPr>
            <w:tcW w:w="0" w:type="auto"/>
            <w:tcBorders>
              <w:top w:val="single" w:sz="8" w:space="0" w:color="E87722"/>
            </w:tcBorders>
            <w:shd w:val="clear" w:color="auto" w:fill="auto"/>
            <w:tcMar>
              <w:top w:w="40" w:type="dxa"/>
              <w:bottom w:w="40" w:type="dxa"/>
              <w:right w:w="20" w:type="dxa"/>
            </w:tcMar>
            <w:vAlign w:val="bottom"/>
          </w:tcPr>
          <w:p w14:paraId="1D025C22"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C23" w14:textId="77777777" w:rsidR="004421F6" w:rsidRDefault="00F15622">
            <w:pPr>
              <w:textAlignment w:val="bottom"/>
            </w:pPr>
            <w:r>
              <w:rPr>
                <w:rFonts w:ascii="Arial" w:eastAsia="宋体" w:hAnsi="Arial" w:cs="Arial"/>
                <w:color w:val="000000"/>
                <w:sz w:val="16"/>
                <w:szCs w:val="16"/>
              </w:rPr>
              <w:t>$</w:t>
            </w:r>
          </w:p>
        </w:tc>
        <w:tc>
          <w:tcPr>
            <w:tcW w:w="0" w:type="auto"/>
            <w:tcBorders>
              <w:top w:val="single" w:sz="8" w:space="0" w:color="E87722"/>
            </w:tcBorders>
            <w:shd w:val="clear" w:color="auto" w:fill="auto"/>
            <w:tcMar>
              <w:top w:w="40" w:type="dxa"/>
              <w:bottom w:w="40" w:type="dxa"/>
              <w:right w:w="0" w:type="dxa"/>
            </w:tcMar>
            <w:vAlign w:val="bottom"/>
          </w:tcPr>
          <w:p w14:paraId="1D025C24" w14:textId="77777777" w:rsidR="004421F6" w:rsidRDefault="00F15622">
            <w:pPr>
              <w:jc w:val="right"/>
              <w:textAlignment w:val="bottom"/>
            </w:pPr>
            <w:r>
              <w:rPr>
                <w:rFonts w:ascii="Arial" w:eastAsia="宋体" w:hAnsi="Arial" w:cs="Arial"/>
                <w:color w:val="000000"/>
                <w:sz w:val="16"/>
                <w:szCs w:val="16"/>
              </w:rPr>
              <w:t>8 </w:t>
            </w:r>
          </w:p>
        </w:tc>
        <w:tc>
          <w:tcPr>
            <w:tcW w:w="0" w:type="auto"/>
            <w:tcBorders>
              <w:top w:val="single" w:sz="8" w:space="0" w:color="E87722"/>
            </w:tcBorders>
            <w:shd w:val="clear" w:color="auto" w:fill="auto"/>
            <w:tcMar>
              <w:top w:w="40" w:type="dxa"/>
              <w:bottom w:w="40" w:type="dxa"/>
              <w:right w:w="20" w:type="dxa"/>
            </w:tcMar>
            <w:vAlign w:val="bottom"/>
          </w:tcPr>
          <w:p w14:paraId="1D025C25" w14:textId="77777777" w:rsidR="004421F6" w:rsidRDefault="004421F6">
            <w:pPr>
              <w:jc w:val="right"/>
              <w:rPr>
                <w:rFonts w:ascii="宋体"/>
              </w:rPr>
            </w:pPr>
          </w:p>
        </w:tc>
        <w:tc>
          <w:tcPr>
            <w:tcW w:w="0" w:type="auto"/>
            <w:shd w:val="clear" w:color="auto" w:fill="auto"/>
          </w:tcPr>
          <w:p w14:paraId="1D025C26" w14:textId="77777777" w:rsidR="004421F6" w:rsidRDefault="004421F6">
            <w:pPr>
              <w:rPr>
                <w:rFonts w:ascii="宋体"/>
              </w:rPr>
            </w:pPr>
          </w:p>
        </w:tc>
        <w:tc>
          <w:tcPr>
            <w:tcW w:w="0" w:type="auto"/>
            <w:shd w:val="clear" w:color="auto" w:fill="auto"/>
          </w:tcPr>
          <w:p w14:paraId="1D025C27" w14:textId="77777777" w:rsidR="004421F6" w:rsidRDefault="004421F6">
            <w:pPr>
              <w:rPr>
                <w:rFonts w:ascii="宋体"/>
              </w:rPr>
            </w:pPr>
          </w:p>
        </w:tc>
        <w:tc>
          <w:tcPr>
            <w:tcW w:w="0" w:type="auto"/>
            <w:shd w:val="clear" w:color="auto" w:fill="auto"/>
          </w:tcPr>
          <w:p w14:paraId="1D025C28" w14:textId="77777777" w:rsidR="004421F6" w:rsidRDefault="004421F6">
            <w:pPr>
              <w:rPr>
                <w:rFonts w:ascii="宋体"/>
              </w:rPr>
            </w:pPr>
          </w:p>
        </w:tc>
        <w:tc>
          <w:tcPr>
            <w:tcW w:w="0" w:type="auto"/>
            <w:shd w:val="clear" w:color="auto" w:fill="auto"/>
          </w:tcPr>
          <w:p w14:paraId="1D025C29" w14:textId="77777777" w:rsidR="004421F6" w:rsidRDefault="004421F6">
            <w:pPr>
              <w:rPr>
                <w:rFonts w:ascii="宋体"/>
              </w:rPr>
            </w:pPr>
          </w:p>
        </w:tc>
        <w:tc>
          <w:tcPr>
            <w:tcW w:w="0" w:type="auto"/>
            <w:shd w:val="clear" w:color="auto" w:fill="auto"/>
          </w:tcPr>
          <w:p w14:paraId="1D025C2A" w14:textId="77777777" w:rsidR="004421F6" w:rsidRDefault="004421F6">
            <w:pPr>
              <w:rPr>
                <w:rFonts w:ascii="宋体"/>
              </w:rPr>
            </w:pPr>
          </w:p>
        </w:tc>
        <w:tc>
          <w:tcPr>
            <w:tcW w:w="0" w:type="auto"/>
            <w:shd w:val="clear" w:color="auto" w:fill="auto"/>
          </w:tcPr>
          <w:p w14:paraId="1D025C2B" w14:textId="77777777" w:rsidR="004421F6" w:rsidRDefault="004421F6">
            <w:pPr>
              <w:rPr>
                <w:rFonts w:ascii="宋体"/>
              </w:rPr>
            </w:pPr>
          </w:p>
        </w:tc>
        <w:tc>
          <w:tcPr>
            <w:tcW w:w="0" w:type="auto"/>
            <w:shd w:val="clear" w:color="auto" w:fill="auto"/>
          </w:tcPr>
          <w:p w14:paraId="1D025C2C" w14:textId="77777777" w:rsidR="004421F6" w:rsidRDefault="004421F6">
            <w:pPr>
              <w:rPr>
                <w:rFonts w:ascii="宋体"/>
              </w:rPr>
            </w:pPr>
          </w:p>
        </w:tc>
        <w:tc>
          <w:tcPr>
            <w:tcW w:w="0" w:type="auto"/>
            <w:shd w:val="clear" w:color="auto" w:fill="auto"/>
          </w:tcPr>
          <w:p w14:paraId="1D025C2D" w14:textId="77777777" w:rsidR="004421F6" w:rsidRDefault="004421F6">
            <w:pPr>
              <w:rPr>
                <w:rFonts w:ascii="宋体"/>
              </w:rPr>
            </w:pPr>
          </w:p>
        </w:tc>
        <w:tc>
          <w:tcPr>
            <w:tcW w:w="0" w:type="auto"/>
            <w:shd w:val="clear" w:color="auto" w:fill="auto"/>
          </w:tcPr>
          <w:p w14:paraId="1D025C2E" w14:textId="77777777" w:rsidR="004421F6" w:rsidRDefault="004421F6">
            <w:pPr>
              <w:rPr>
                <w:rFonts w:ascii="宋体"/>
              </w:rPr>
            </w:pPr>
          </w:p>
        </w:tc>
        <w:tc>
          <w:tcPr>
            <w:tcW w:w="0" w:type="auto"/>
            <w:shd w:val="clear" w:color="auto" w:fill="auto"/>
          </w:tcPr>
          <w:p w14:paraId="1D025C2F" w14:textId="77777777" w:rsidR="004421F6" w:rsidRDefault="004421F6">
            <w:pPr>
              <w:rPr>
                <w:rFonts w:ascii="宋体"/>
              </w:rPr>
            </w:pPr>
          </w:p>
        </w:tc>
        <w:tc>
          <w:tcPr>
            <w:tcW w:w="0" w:type="auto"/>
            <w:shd w:val="clear" w:color="auto" w:fill="auto"/>
          </w:tcPr>
          <w:p w14:paraId="1D025C30" w14:textId="77777777" w:rsidR="004421F6" w:rsidRDefault="004421F6">
            <w:pPr>
              <w:rPr>
                <w:rFonts w:ascii="宋体"/>
              </w:rPr>
            </w:pPr>
          </w:p>
        </w:tc>
        <w:tc>
          <w:tcPr>
            <w:tcW w:w="0" w:type="auto"/>
            <w:shd w:val="clear" w:color="auto" w:fill="auto"/>
          </w:tcPr>
          <w:p w14:paraId="1D025C31" w14:textId="77777777" w:rsidR="004421F6" w:rsidRDefault="004421F6">
            <w:pPr>
              <w:rPr>
                <w:rFonts w:ascii="宋体"/>
              </w:rPr>
            </w:pPr>
          </w:p>
        </w:tc>
      </w:tr>
      <w:tr w:rsidR="004421F6" w14:paraId="1D025C4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C33" w14:textId="77777777" w:rsidR="004421F6" w:rsidRDefault="00F15622">
            <w:pPr>
              <w:textAlignment w:val="bottom"/>
            </w:pPr>
            <w:r>
              <w:rPr>
                <w:rFonts w:ascii="Arial" w:eastAsia="宋体" w:hAnsi="Arial" w:cs="Arial"/>
                <w:color w:val="000000"/>
                <w:sz w:val="17"/>
                <w:szCs w:val="17"/>
              </w:rPr>
              <w:t>Cost of sales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C34" w14:textId="77777777" w:rsidR="004421F6" w:rsidRDefault="00F15622">
            <w:pPr>
              <w:jc w:val="right"/>
              <w:textAlignment w:val="bottom"/>
            </w:pPr>
            <w:r>
              <w:rPr>
                <w:rFonts w:ascii="Arial" w:eastAsia="宋体" w:hAnsi="Arial" w:cs="Arial"/>
                <w:color w:val="000000"/>
                <w:sz w:val="17"/>
                <w:szCs w:val="17"/>
              </w:rPr>
              <w:t>5,853 </w:t>
            </w:r>
          </w:p>
        </w:tc>
        <w:tc>
          <w:tcPr>
            <w:tcW w:w="0" w:type="auto"/>
            <w:tcBorders>
              <w:top w:val="single" w:sz="8" w:space="0" w:color="808080"/>
            </w:tcBorders>
            <w:shd w:val="clear" w:color="auto" w:fill="FFF1E7"/>
            <w:tcMar>
              <w:top w:w="40" w:type="dxa"/>
              <w:bottom w:w="40" w:type="dxa"/>
              <w:right w:w="20" w:type="dxa"/>
            </w:tcMar>
            <w:vAlign w:val="bottom"/>
          </w:tcPr>
          <w:p w14:paraId="1D025C35"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C36" w14:textId="77777777" w:rsidR="004421F6" w:rsidRDefault="00F15622">
            <w:pPr>
              <w:jc w:val="right"/>
              <w:textAlignment w:val="bottom"/>
            </w:pPr>
            <w:r>
              <w:rPr>
                <w:rFonts w:ascii="Arial" w:eastAsia="宋体" w:hAnsi="Arial" w:cs="Arial"/>
                <w:color w:val="000000"/>
                <w:sz w:val="17"/>
                <w:szCs w:val="17"/>
              </w:rPr>
              <w:t>114 </w:t>
            </w:r>
          </w:p>
        </w:tc>
        <w:tc>
          <w:tcPr>
            <w:tcW w:w="0" w:type="auto"/>
            <w:tcBorders>
              <w:top w:val="single" w:sz="8" w:space="0" w:color="808080"/>
            </w:tcBorders>
            <w:shd w:val="clear" w:color="auto" w:fill="FFF1E7"/>
            <w:tcMar>
              <w:top w:w="40" w:type="dxa"/>
              <w:bottom w:w="40" w:type="dxa"/>
              <w:right w:w="20" w:type="dxa"/>
            </w:tcMar>
            <w:vAlign w:val="bottom"/>
          </w:tcPr>
          <w:p w14:paraId="1D025C37"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C38"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C39" w14:textId="77777777" w:rsidR="004421F6" w:rsidRDefault="00F15622">
            <w:pPr>
              <w:jc w:val="right"/>
              <w:textAlignment w:val="bottom"/>
            </w:pPr>
            <w:r>
              <w:rPr>
                <w:rFonts w:ascii="Arial" w:eastAsia="宋体" w:hAnsi="Arial" w:cs="Arial"/>
                <w:color w:val="000000"/>
                <w:sz w:val="17"/>
                <w:szCs w:val="17"/>
              </w:rPr>
              <w:t>5,789 </w:t>
            </w:r>
          </w:p>
        </w:tc>
        <w:tc>
          <w:tcPr>
            <w:tcW w:w="0" w:type="auto"/>
            <w:tcBorders>
              <w:top w:val="single" w:sz="8" w:space="0" w:color="808080"/>
            </w:tcBorders>
            <w:shd w:val="clear" w:color="auto" w:fill="auto"/>
            <w:tcMar>
              <w:top w:w="40" w:type="dxa"/>
              <w:bottom w:w="40" w:type="dxa"/>
              <w:right w:w="20" w:type="dxa"/>
            </w:tcMar>
            <w:vAlign w:val="bottom"/>
          </w:tcPr>
          <w:p w14:paraId="1D025C3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C3B" w14:textId="77777777" w:rsidR="004421F6" w:rsidRDefault="00F15622">
            <w:pPr>
              <w:jc w:val="right"/>
              <w:textAlignment w:val="bottom"/>
            </w:pPr>
            <w:r>
              <w:rPr>
                <w:rFonts w:ascii="Arial" w:eastAsia="宋体" w:hAnsi="Arial" w:cs="Arial"/>
                <w:color w:val="000000"/>
                <w:sz w:val="17"/>
                <w:szCs w:val="17"/>
              </w:rPr>
              <w:t>75 </w:t>
            </w:r>
          </w:p>
        </w:tc>
        <w:tc>
          <w:tcPr>
            <w:tcW w:w="0" w:type="auto"/>
            <w:tcBorders>
              <w:top w:val="single" w:sz="8" w:space="0" w:color="808080"/>
            </w:tcBorders>
            <w:shd w:val="clear" w:color="auto" w:fill="auto"/>
            <w:tcMar>
              <w:top w:w="40" w:type="dxa"/>
              <w:bottom w:w="40" w:type="dxa"/>
              <w:right w:w="20" w:type="dxa"/>
            </w:tcMar>
            <w:vAlign w:val="bottom"/>
          </w:tcPr>
          <w:p w14:paraId="1D025C3C" w14:textId="77777777" w:rsidR="004421F6" w:rsidRDefault="004421F6">
            <w:pPr>
              <w:jc w:val="right"/>
              <w:rPr>
                <w:rFonts w:ascii="宋体"/>
              </w:rPr>
            </w:pPr>
          </w:p>
        </w:tc>
        <w:tc>
          <w:tcPr>
            <w:tcW w:w="0" w:type="auto"/>
            <w:shd w:val="clear" w:color="auto" w:fill="auto"/>
          </w:tcPr>
          <w:p w14:paraId="1D025C3D" w14:textId="77777777" w:rsidR="004421F6" w:rsidRDefault="004421F6">
            <w:pPr>
              <w:rPr>
                <w:rFonts w:ascii="宋体"/>
              </w:rPr>
            </w:pPr>
          </w:p>
        </w:tc>
        <w:tc>
          <w:tcPr>
            <w:tcW w:w="0" w:type="auto"/>
            <w:shd w:val="clear" w:color="auto" w:fill="auto"/>
          </w:tcPr>
          <w:p w14:paraId="1D025C3E" w14:textId="77777777" w:rsidR="004421F6" w:rsidRDefault="004421F6">
            <w:pPr>
              <w:rPr>
                <w:rFonts w:ascii="宋体"/>
              </w:rPr>
            </w:pPr>
          </w:p>
        </w:tc>
        <w:tc>
          <w:tcPr>
            <w:tcW w:w="0" w:type="auto"/>
            <w:shd w:val="clear" w:color="auto" w:fill="auto"/>
          </w:tcPr>
          <w:p w14:paraId="1D025C3F" w14:textId="77777777" w:rsidR="004421F6" w:rsidRDefault="004421F6">
            <w:pPr>
              <w:rPr>
                <w:rFonts w:ascii="宋体"/>
              </w:rPr>
            </w:pPr>
          </w:p>
        </w:tc>
        <w:tc>
          <w:tcPr>
            <w:tcW w:w="0" w:type="auto"/>
            <w:shd w:val="clear" w:color="auto" w:fill="auto"/>
          </w:tcPr>
          <w:p w14:paraId="1D025C40" w14:textId="77777777" w:rsidR="004421F6" w:rsidRDefault="004421F6">
            <w:pPr>
              <w:rPr>
                <w:rFonts w:ascii="宋体"/>
              </w:rPr>
            </w:pPr>
          </w:p>
        </w:tc>
        <w:tc>
          <w:tcPr>
            <w:tcW w:w="0" w:type="auto"/>
            <w:shd w:val="clear" w:color="auto" w:fill="auto"/>
          </w:tcPr>
          <w:p w14:paraId="1D025C41" w14:textId="77777777" w:rsidR="004421F6" w:rsidRDefault="004421F6">
            <w:pPr>
              <w:rPr>
                <w:rFonts w:ascii="宋体"/>
              </w:rPr>
            </w:pPr>
          </w:p>
        </w:tc>
        <w:tc>
          <w:tcPr>
            <w:tcW w:w="0" w:type="auto"/>
            <w:shd w:val="clear" w:color="auto" w:fill="auto"/>
          </w:tcPr>
          <w:p w14:paraId="1D025C42" w14:textId="77777777" w:rsidR="004421F6" w:rsidRDefault="004421F6">
            <w:pPr>
              <w:rPr>
                <w:rFonts w:ascii="宋体"/>
              </w:rPr>
            </w:pPr>
          </w:p>
        </w:tc>
        <w:tc>
          <w:tcPr>
            <w:tcW w:w="0" w:type="auto"/>
            <w:shd w:val="clear" w:color="auto" w:fill="auto"/>
          </w:tcPr>
          <w:p w14:paraId="1D025C43" w14:textId="77777777" w:rsidR="004421F6" w:rsidRDefault="004421F6">
            <w:pPr>
              <w:rPr>
                <w:rFonts w:ascii="宋体"/>
              </w:rPr>
            </w:pPr>
          </w:p>
        </w:tc>
        <w:tc>
          <w:tcPr>
            <w:tcW w:w="0" w:type="auto"/>
            <w:shd w:val="clear" w:color="auto" w:fill="auto"/>
          </w:tcPr>
          <w:p w14:paraId="1D025C44" w14:textId="77777777" w:rsidR="004421F6" w:rsidRDefault="004421F6">
            <w:pPr>
              <w:rPr>
                <w:rFonts w:ascii="宋体"/>
              </w:rPr>
            </w:pPr>
          </w:p>
        </w:tc>
        <w:tc>
          <w:tcPr>
            <w:tcW w:w="0" w:type="auto"/>
            <w:shd w:val="clear" w:color="auto" w:fill="auto"/>
          </w:tcPr>
          <w:p w14:paraId="1D025C45" w14:textId="77777777" w:rsidR="004421F6" w:rsidRDefault="004421F6">
            <w:pPr>
              <w:rPr>
                <w:rFonts w:ascii="宋体"/>
              </w:rPr>
            </w:pPr>
          </w:p>
        </w:tc>
        <w:tc>
          <w:tcPr>
            <w:tcW w:w="0" w:type="auto"/>
            <w:shd w:val="clear" w:color="auto" w:fill="auto"/>
          </w:tcPr>
          <w:p w14:paraId="1D025C46" w14:textId="77777777" w:rsidR="004421F6" w:rsidRDefault="004421F6">
            <w:pPr>
              <w:rPr>
                <w:rFonts w:ascii="宋体"/>
              </w:rPr>
            </w:pPr>
          </w:p>
        </w:tc>
        <w:tc>
          <w:tcPr>
            <w:tcW w:w="0" w:type="auto"/>
            <w:shd w:val="clear" w:color="auto" w:fill="auto"/>
          </w:tcPr>
          <w:p w14:paraId="1D025C47" w14:textId="77777777" w:rsidR="004421F6" w:rsidRDefault="004421F6">
            <w:pPr>
              <w:rPr>
                <w:rFonts w:ascii="宋体"/>
              </w:rPr>
            </w:pPr>
          </w:p>
        </w:tc>
        <w:tc>
          <w:tcPr>
            <w:tcW w:w="0" w:type="auto"/>
            <w:shd w:val="clear" w:color="auto" w:fill="auto"/>
          </w:tcPr>
          <w:p w14:paraId="1D025C48" w14:textId="77777777" w:rsidR="004421F6" w:rsidRDefault="004421F6">
            <w:pPr>
              <w:rPr>
                <w:rFonts w:ascii="宋体"/>
              </w:rPr>
            </w:pPr>
          </w:p>
        </w:tc>
      </w:tr>
      <w:tr w:rsidR="004421F6" w14:paraId="1D025C6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C4A" w14:textId="77777777" w:rsidR="004421F6" w:rsidRDefault="00F15622">
            <w:pPr>
              <w:textAlignment w:val="bottom"/>
            </w:pPr>
            <w:r>
              <w:rPr>
                <w:rFonts w:ascii="Arial" w:eastAsia="宋体" w:hAnsi="Arial" w:cs="Arial"/>
                <w:color w:val="000000"/>
                <w:sz w:val="17"/>
                <w:szCs w:val="17"/>
              </w:rPr>
              <w:t>Demand creation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C4B" w14:textId="77777777" w:rsidR="004421F6" w:rsidRDefault="00F15622">
            <w:pPr>
              <w:jc w:val="right"/>
              <w:textAlignment w:val="bottom"/>
            </w:pPr>
            <w:r>
              <w:rPr>
                <w:rFonts w:ascii="Arial" w:eastAsia="宋体" w:hAnsi="Arial" w:cs="Arial"/>
                <w:color w:val="000000"/>
                <w:sz w:val="17"/>
                <w:szCs w:val="17"/>
              </w:rPr>
              <w:t>677 </w:t>
            </w:r>
          </w:p>
        </w:tc>
        <w:tc>
          <w:tcPr>
            <w:tcW w:w="0" w:type="auto"/>
            <w:tcBorders>
              <w:top w:val="single" w:sz="8" w:space="0" w:color="808080"/>
            </w:tcBorders>
            <w:shd w:val="clear" w:color="auto" w:fill="FFF1E7"/>
            <w:tcMar>
              <w:top w:w="40" w:type="dxa"/>
              <w:bottom w:w="40" w:type="dxa"/>
              <w:right w:w="20" w:type="dxa"/>
            </w:tcMar>
            <w:vAlign w:val="bottom"/>
          </w:tcPr>
          <w:p w14:paraId="1D025C4C"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C4D"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bottom w:w="40" w:type="dxa"/>
              <w:right w:w="20" w:type="dxa"/>
            </w:tcMar>
            <w:vAlign w:val="bottom"/>
          </w:tcPr>
          <w:p w14:paraId="1D025C4E"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C4F"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C50" w14:textId="77777777" w:rsidR="004421F6" w:rsidRDefault="00F15622">
            <w:pPr>
              <w:jc w:val="right"/>
              <w:textAlignment w:val="bottom"/>
            </w:pPr>
            <w:r>
              <w:rPr>
                <w:rFonts w:ascii="Arial" w:eastAsia="宋体" w:hAnsi="Arial" w:cs="Arial"/>
                <w:color w:val="000000"/>
                <w:sz w:val="17"/>
                <w:szCs w:val="17"/>
              </w:rPr>
              <w:t>1,018 </w:t>
            </w:r>
          </w:p>
        </w:tc>
        <w:tc>
          <w:tcPr>
            <w:tcW w:w="0" w:type="auto"/>
            <w:tcBorders>
              <w:top w:val="single" w:sz="8" w:space="0" w:color="808080"/>
            </w:tcBorders>
            <w:shd w:val="clear" w:color="auto" w:fill="auto"/>
            <w:tcMar>
              <w:top w:w="40" w:type="dxa"/>
              <w:bottom w:w="40" w:type="dxa"/>
              <w:right w:w="20" w:type="dxa"/>
            </w:tcMar>
            <w:vAlign w:val="bottom"/>
          </w:tcPr>
          <w:p w14:paraId="1D025C5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C52"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5C53" w14:textId="77777777" w:rsidR="004421F6" w:rsidRDefault="004421F6">
            <w:pPr>
              <w:jc w:val="right"/>
              <w:rPr>
                <w:rFonts w:ascii="宋体"/>
              </w:rPr>
            </w:pPr>
          </w:p>
        </w:tc>
        <w:tc>
          <w:tcPr>
            <w:tcW w:w="0" w:type="auto"/>
            <w:shd w:val="clear" w:color="auto" w:fill="auto"/>
          </w:tcPr>
          <w:p w14:paraId="1D025C54" w14:textId="77777777" w:rsidR="004421F6" w:rsidRDefault="004421F6">
            <w:pPr>
              <w:rPr>
                <w:rFonts w:ascii="宋体"/>
              </w:rPr>
            </w:pPr>
          </w:p>
        </w:tc>
        <w:tc>
          <w:tcPr>
            <w:tcW w:w="0" w:type="auto"/>
            <w:shd w:val="clear" w:color="auto" w:fill="auto"/>
          </w:tcPr>
          <w:p w14:paraId="1D025C55" w14:textId="77777777" w:rsidR="004421F6" w:rsidRDefault="004421F6">
            <w:pPr>
              <w:rPr>
                <w:rFonts w:ascii="宋体"/>
              </w:rPr>
            </w:pPr>
          </w:p>
        </w:tc>
        <w:tc>
          <w:tcPr>
            <w:tcW w:w="0" w:type="auto"/>
            <w:shd w:val="clear" w:color="auto" w:fill="auto"/>
          </w:tcPr>
          <w:p w14:paraId="1D025C56" w14:textId="77777777" w:rsidR="004421F6" w:rsidRDefault="004421F6">
            <w:pPr>
              <w:rPr>
                <w:rFonts w:ascii="宋体"/>
              </w:rPr>
            </w:pPr>
          </w:p>
        </w:tc>
        <w:tc>
          <w:tcPr>
            <w:tcW w:w="0" w:type="auto"/>
            <w:shd w:val="clear" w:color="auto" w:fill="auto"/>
          </w:tcPr>
          <w:p w14:paraId="1D025C57" w14:textId="77777777" w:rsidR="004421F6" w:rsidRDefault="004421F6">
            <w:pPr>
              <w:rPr>
                <w:rFonts w:ascii="宋体"/>
              </w:rPr>
            </w:pPr>
          </w:p>
        </w:tc>
        <w:tc>
          <w:tcPr>
            <w:tcW w:w="0" w:type="auto"/>
            <w:shd w:val="clear" w:color="auto" w:fill="auto"/>
          </w:tcPr>
          <w:p w14:paraId="1D025C58" w14:textId="77777777" w:rsidR="004421F6" w:rsidRDefault="004421F6">
            <w:pPr>
              <w:rPr>
                <w:rFonts w:ascii="宋体"/>
              </w:rPr>
            </w:pPr>
          </w:p>
        </w:tc>
        <w:tc>
          <w:tcPr>
            <w:tcW w:w="0" w:type="auto"/>
            <w:shd w:val="clear" w:color="auto" w:fill="auto"/>
          </w:tcPr>
          <w:p w14:paraId="1D025C59" w14:textId="77777777" w:rsidR="004421F6" w:rsidRDefault="004421F6">
            <w:pPr>
              <w:rPr>
                <w:rFonts w:ascii="宋体"/>
              </w:rPr>
            </w:pPr>
          </w:p>
        </w:tc>
        <w:tc>
          <w:tcPr>
            <w:tcW w:w="0" w:type="auto"/>
            <w:shd w:val="clear" w:color="auto" w:fill="auto"/>
          </w:tcPr>
          <w:p w14:paraId="1D025C5A" w14:textId="77777777" w:rsidR="004421F6" w:rsidRDefault="004421F6">
            <w:pPr>
              <w:rPr>
                <w:rFonts w:ascii="宋体"/>
              </w:rPr>
            </w:pPr>
          </w:p>
        </w:tc>
        <w:tc>
          <w:tcPr>
            <w:tcW w:w="0" w:type="auto"/>
            <w:shd w:val="clear" w:color="auto" w:fill="auto"/>
          </w:tcPr>
          <w:p w14:paraId="1D025C5B" w14:textId="77777777" w:rsidR="004421F6" w:rsidRDefault="004421F6">
            <w:pPr>
              <w:rPr>
                <w:rFonts w:ascii="宋体"/>
              </w:rPr>
            </w:pPr>
          </w:p>
        </w:tc>
        <w:tc>
          <w:tcPr>
            <w:tcW w:w="0" w:type="auto"/>
            <w:shd w:val="clear" w:color="auto" w:fill="auto"/>
          </w:tcPr>
          <w:p w14:paraId="1D025C5C" w14:textId="77777777" w:rsidR="004421F6" w:rsidRDefault="004421F6">
            <w:pPr>
              <w:rPr>
                <w:rFonts w:ascii="宋体"/>
              </w:rPr>
            </w:pPr>
          </w:p>
        </w:tc>
        <w:tc>
          <w:tcPr>
            <w:tcW w:w="0" w:type="auto"/>
            <w:shd w:val="clear" w:color="auto" w:fill="auto"/>
          </w:tcPr>
          <w:p w14:paraId="1D025C5D" w14:textId="77777777" w:rsidR="004421F6" w:rsidRDefault="004421F6">
            <w:pPr>
              <w:rPr>
                <w:rFonts w:ascii="宋体"/>
              </w:rPr>
            </w:pPr>
          </w:p>
        </w:tc>
        <w:tc>
          <w:tcPr>
            <w:tcW w:w="0" w:type="auto"/>
            <w:shd w:val="clear" w:color="auto" w:fill="auto"/>
          </w:tcPr>
          <w:p w14:paraId="1D025C5E" w14:textId="77777777" w:rsidR="004421F6" w:rsidRDefault="004421F6">
            <w:pPr>
              <w:rPr>
                <w:rFonts w:ascii="宋体"/>
              </w:rPr>
            </w:pPr>
          </w:p>
        </w:tc>
        <w:tc>
          <w:tcPr>
            <w:tcW w:w="0" w:type="auto"/>
            <w:shd w:val="clear" w:color="auto" w:fill="auto"/>
          </w:tcPr>
          <w:p w14:paraId="1D025C5F" w14:textId="77777777" w:rsidR="004421F6" w:rsidRDefault="004421F6">
            <w:pPr>
              <w:rPr>
                <w:rFonts w:ascii="宋体"/>
              </w:rPr>
            </w:pPr>
          </w:p>
        </w:tc>
      </w:tr>
      <w:tr w:rsidR="004421F6" w14:paraId="1D025C7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C61" w14:textId="77777777" w:rsidR="004421F6" w:rsidRDefault="00F15622">
            <w:pPr>
              <w:textAlignment w:val="bottom"/>
            </w:pPr>
            <w:r>
              <w:rPr>
                <w:rFonts w:ascii="Arial" w:eastAsia="宋体" w:hAnsi="Arial" w:cs="Arial"/>
                <w:color w:val="000000"/>
                <w:sz w:val="17"/>
                <w:szCs w:val="17"/>
              </w:rPr>
              <w:t>Other (income) expense,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C62" w14:textId="77777777" w:rsidR="004421F6" w:rsidRDefault="00F15622">
            <w:pPr>
              <w:jc w:val="right"/>
              <w:textAlignment w:val="bottom"/>
            </w:pPr>
            <w:r>
              <w:rPr>
                <w:rFonts w:ascii="Arial" w:eastAsia="宋体" w:hAnsi="Arial" w:cs="Arial"/>
                <w:color w:val="000000"/>
                <w:sz w:val="17"/>
                <w:szCs w:val="17"/>
              </w:rPr>
              <w:t>(14)</w:t>
            </w:r>
          </w:p>
        </w:tc>
        <w:tc>
          <w:tcPr>
            <w:tcW w:w="0" w:type="auto"/>
            <w:tcBorders>
              <w:top w:val="single" w:sz="8" w:space="0" w:color="808080"/>
            </w:tcBorders>
            <w:shd w:val="clear" w:color="auto" w:fill="FFF1E7"/>
            <w:tcMar>
              <w:top w:w="40" w:type="dxa"/>
              <w:bottom w:w="40" w:type="dxa"/>
              <w:right w:w="20" w:type="dxa"/>
            </w:tcMar>
            <w:vAlign w:val="bottom"/>
          </w:tcPr>
          <w:p w14:paraId="1D025C63"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C64" w14:textId="77777777" w:rsidR="004421F6" w:rsidRDefault="00F1562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FFF1E7"/>
            <w:tcMar>
              <w:top w:w="40" w:type="dxa"/>
              <w:bottom w:w="40" w:type="dxa"/>
              <w:right w:w="20" w:type="dxa"/>
            </w:tcMar>
            <w:vAlign w:val="bottom"/>
          </w:tcPr>
          <w:p w14:paraId="1D025C65"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C66"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C67" w14:textId="77777777" w:rsidR="004421F6" w:rsidRDefault="00F15622">
            <w:pPr>
              <w:jc w:val="right"/>
              <w:textAlignment w:val="bottom"/>
            </w:pPr>
            <w:r>
              <w:rPr>
                <w:rFonts w:ascii="Arial" w:eastAsia="宋体" w:hAnsi="Arial" w:cs="Arial"/>
                <w:color w:val="000000"/>
                <w:sz w:val="17"/>
                <w:szCs w:val="17"/>
              </w:rPr>
              <w:t>(33)</w:t>
            </w:r>
          </w:p>
        </w:tc>
        <w:tc>
          <w:tcPr>
            <w:tcW w:w="0" w:type="auto"/>
            <w:tcBorders>
              <w:top w:val="single" w:sz="8" w:space="0" w:color="808080"/>
            </w:tcBorders>
            <w:shd w:val="clear" w:color="auto" w:fill="auto"/>
            <w:tcMar>
              <w:top w:w="40" w:type="dxa"/>
              <w:bottom w:w="40" w:type="dxa"/>
              <w:right w:w="20" w:type="dxa"/>
            </w:tcMar>
            <w:vAlign w:val="bottom"/>
          </w:tcPr>
          <w:p w14:paraId="1D025C68"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C69" w14:textId="77777777" w:rsidR="004421F6" w:rsidRDefault="00F15622">
            <w:pPr>
              <w:jc w:val="right"/>
              <w:textAlignment w:val="bottom"/>
            </w:pPr>
            <w:r>
              <w:rPr>
                <w:rFonts w:ascii="Arial" w:eastAsia="宋体" w:hAnsi="Arial" w:cs="Arial"/>
                <w:color w:val="000000"/>
                <w:sz w:val="17"/>
                <w:szCs w:val="17"/>
              </w:rPr>
              <w:t>46 </w:t>
            </w:r>
          </w:p>
        </w:tc>
        <w:tc>
          <w:tcPr>
            <w:tcW w:w="0" w:type="auto"/>
            <w:tcBorders>
              <w:top w:val="single" w:sz="8" w:space="0" w:color="808080"/>
            </w:tcBorders>
            <w:shd w:val="clear" w:color="auto" w:fill="auto"/>
            <w:tcMar>
              <w:top w:w="40" w:type="dxa"/>
              <w:bottom w:w="40" w:type="dxa"/>
              <w:right w:w="20" w:type="dxa"/>
            </w:tcMar>
            <w:vAlign w:val="bottom"/>
          </w:tcPr>
          <w:p w14:paraId="1D025C6A" w14:textId="77777777" w:rsidR="004421F6" w:rsidRDefault="004421F6">
            <w:pPr>
              <w:jc w:val="right"/>
              <w:rPr>
                <w:rFonts w:ascii="宋体"/>
              </w:rPr>
            </w:pPr>
          </w:p>
        </w:tc>
        <w:tc>
          <w:tcPr>
            <w:tcW w:w="0" w:type="auto"/>
            <w:shd w:val="clear" w:color="auto" w:fill="auto"/>
          </w:tcPr>
          <w:p w14:paraId="1D025C6B" w14:textId="77777777" w:rsidR="004421F6" w:rsidRDefault="004421F6">
            <w:pPr>
              <w:rPr>
                <w:rFonts w:ascii="宋体"/>
              </w:rPr>
            </w:pPr>
          </w:p>
        </w:tc>
        <w:tc>
          <w:tcPr>
            <w:tcW w:w="0" w:type="auto"/>
            <w:shd w:val="clear" w:color="auto" w:fill="auto"/>
          </w:tcPr>
          <w:p w14:paraId="1D025C6C" w14:textId="77777777" w:rsidR="004421F6" w:rsidRDefault="004421F6">
            <w:pPr>
              <w:rPr>
                <w:rFonts w:ascii="宋体"/>
              </w:rPr>
            </w:pPr>
          </w:p>
        </w:tc>
        <w:tc>
          <w:tcPr>
            <w:tcW w:w="0" w:type="auto"/>
            <w:shd w:val="clear" w:color="auto" w:fill="auto"/>
          </w:tcPr>
          <w:p w14:paraId="1D025C6D" w14:textId="77777777" w:rsidR="004421F6" w:rsidRDefault="004421F6">
            <w:pPr>
              <w:rPr>
                <w:rFonts w:ascii="宋体"/>
              </w:rPr>
            </w:pPr>
          </w:p>
        </w:tc>
        <w:tc>
          <w:tcPr>
            <w:tcW w:w="0" w:type="auto"/>
            <w:shd w:val="clear" w:color="auto" w:fill="auto"/>
          </w:tcPr>
          <w:p w14:paraId="1D025C6E" w14:textId="77777777" w:rsidR="004421F6" w:rsidRDefault="004421F6">
            <w:pPr>
              <w:rPr>
                <w:rFonts w:ascii="宋体"/>
              </w:rPr>
            </w:pPr>
          </w:p>
        </w:tc>
        <w:tc>
          <w:tcPr>
            <w:tcW w:w="0" w:type="auto"/>
            <w:shd w:val="clear" w:color="auto" w:fill="auto"/>
          </w:tcPr>
          <w:p w14:paraId="1D025C6F" w14:textId="77777777" w:rsidR="004421F6" w:rsidRDefault="004421F6">
            <w:pPr>
              <w:rPr>
                <w:rFonts w:ascii="宋体"/>
              </w:rPr>
            </w:pPr>
          </w:p>
        </w:tc>
        <w:tc>
          <w:tcPr>
            <w:tcW w:w="0" w:type="auto"/>
            <w:shd w:val="clear" w:color="auto" w:fill="auto"/>
          </w:tcPr>
          <w:p w14:paraId="1D025C70" w14:textId="77777777" w:rsidR="004421F6" w:rsidRDefault="004421F6">
            <w:pPr>
              <w:rPr>
                <w:rFonts w:ascii="宋体"/>
              </w:rPr>
            </w:pPr>
          </w:p>
        </w:tc>
        <w:tc>
          <w:tcPr>
            <w:tcW w:w="0" w:type="auto"/>
            <w:shd w:val="clear" w:color="auto" w:fill="auto"/>
          </w:tcPr>
          <w:p w14:paraId="1D025C71" w14:textId="77777777" w:rsidR="004421F6" w:rsidRDefault="004421F6">
            <w:pPr>
              <w:rPr>
                <w:rFonts w:ascii="宋体"/>
              </w:rPr>
            </w:pPr>
          </w:p>
        </w:tc>
        <w:tc>
          <w:tcPr>
            <w:tcW w:w="0" w:type="auto"/>
            <w:shd w:val="clear" w:color="auto" w:fill="auto"/>
          </w:tcPr>
          <w:p w14:paraId="1D025C72" w14:textId="77777777" w:rsidR="004421F6" w:rsidRDefault="004421F6">
            <w:pPr>
              <w:rPr>
                <w:rFonts w:ascii="宋体"/>
              </w:rPr>
            </w:pPr>
          </w:p>
        </w:tc>
        <w:tc>
          <w:tcPr>
            <w:tcW w:w="0" w:type="auto"/>
            <w:shd w:val="clear" w:color="auto" w:fill="auto"/>
          </w:tcPr>
          <w:p w14:paraId="1D025C73" w14:textId="77777777" w:rsidR="004421F6" w:rsidRDefault="004421F6">
            <w:pPr>
              <w:rPr>
                <w:rFonts w:ascii="宋体"/>
              </w:rPr>
            </w:pPr>
          </w:p>
        </w:tc>
        <w:tc>
          <w:tcPr>
            <w:tcW w:w="0" w:type="auto"/>
            <w:shd w:val="clear" w:color="auto" w:fill="auto"/>
          </w:tcPr>
          <w:p w14:paraId="1D025C74" w14:textId="77777777" w:rsidR="004421F6" w:rsidRDefault="004421F6">
            <w:pPr>
              <w:rPr>
                <w:rFonts w:ascii="宋体"/>
              </w:rPr>
            </w:pPr>
          </w:p>
        </w:tc>
        <w:tc>
          <w:tcPr>
            <w:tcW w:w="0" w:type="auto"/>
            <w:shd w:val="clear" w:color="auto" w:fill="auto"/>
          </w:tcPr>
          <w:p w14:paraId="1D025C75" w14:textId="77777777" w:rsidR="004421F6" w:rsidRDefault="004421F6">
            <w:pPr>
              <w:rPr>
                <w:rFonts w:ascii="宋体"/>
              </w:rPr>
            </w:pPr>
          </w:p>
        </w:tc>
        <w:tc>
          <w:tcPr>
            <w:tcW w:w="0" w:type="auto"/>
            <w:shd w:val="clear" w:color="auto" w:fill="auto"/>
          </w:tcPr>
          <w:p w14:paraId="1D025C76" w14:textId="77777777" w:rsidR="004421F6" w:rsidRDefault="004421F6">
            <w:pPr>
              <w:rPr>
                <w:rFonts w:ascii="宋体"/>
              </w:rPr>
            </w:pPr>
          </w:p>
        </w:tc>
      </w:tr>
      <w:tr w:rsidR="004421F6" w14:paraId="1D025C8E"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1D025C78" w14:textId="77777777" w:rsidR="004421F6" w:rsidRDefault="00F15622">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1D025C79" w14:textId="77777777" w:rsidR="004421F6" w:rsidRDefault="00F15622">
            <w:pPr>
              <w:jc w:val="right"/>
              <w:textAlignment w:val="bottom"/>
            </w:pPr>
            <w:r>
              <w:rPr>
                <w:rFonts w:ascii="Arial" w:eastAsia="宋体" w:hAnsi="Arial" w:cs="Arial"/>
                <w:color w:val="000000"/>
                <w:sz w:val="17"/>
                <w:szCs w:val="17"/>
              </w:rPr>
              <w:t>65 </w:t>
            </w:r>
          </w:p>
        </w:tc>
        <w:tc>
          <w:tcPr>
            <w:tcW w:w="0" w:type="auto"/>
            <w:tcBorders>
              <w:top w:val="single" w:sz="8" w:space="0" w:color="808080"/>
              <w:bottom w:val="single" w:sz="8" w:space="0" w:color="E87722"/>
            </w:tcBorders>
            <w:shd w:val="clear" w:color="auto" w:fill="FFF1E7"/>
            <w:tcMar>
              <w:top w:w="40" w:type="dxa"/>
              <w:bottom w:w="40" w:type="dxa"/>
              <w:right w:w="20" w:type="dxa"/>
            </w:tcMar>
            <w:vAlign w:val="bottom"/>
          </w:tcPr>
          <w:p w14:paraId="1D025C7A" w14:textId="77777777" w:rsidR="004421F6" w:rsidRDefault="004421F6">
            <w:pPr>
              <w:jc w:val="right"/>
              <w:rPr>
                <w:rFonts w:ascii="宋体"/>
              </w:rPr>
            </w:pP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1D025C7B" w14:textId="77777777" w:rsidR="004421F6" w:rsidRDefault="00F15622">
            <w:pPr>
              <w:jc w:val="right"/>
              <w:textAlignment w:val="bottom"/>
            </w:pPr>
            <w:r>
              <w:rPr>
                <w:rFonts w:ascii="Arial" w:eastAsia="宋体" w:hAnsi="Arial" w:cs="Arial"/>
                <w:color w:val="000000"/>
                <w:sz w:val="17"/>
                <w:szCs w:val="17"/>
              </w:rPr>
              <w:t>(2)</w:t>
            </w:r>
          </w:p>
        </w:tc>
        <w:tc>
          <w:tcPr>
            <w:tcW w:w="0" w:type="auto"/>
            <w:tcBorders>
              <w:top w:val="single" w:sz="8" w:space="0" w:color="808080"/>
              <w:bottom w:val="single" w:sz="8" w:space="0" w:color="E87722"/>
            </w:tcBorders>
            <w:shd w:val="clear" w:color="auto" w:fill="FFF1E7"/>
            <w:tcMar>
              <w:top w:w="40" w:type="dxa"/>
              <w:bottom w:w="40" w:type="dxa"/>
              <w:right w:w="20" w:type="dxa"/>
            </w:tcMar>
            <w:vAlign w:val="bottom"/>
          </w:tcPr>
          <w:p w14:paraId="1D025C7C" w14:textId="77777777" w:rsidR="004421F6" w:rsidRDefault="004421F6">
            <w:pPr>
              <w:jc w:val="right"/>
              <w:rPr>
                <w:rFonts w:ascii="宋体"/>
              </w:rPr>
            </w:pPr>
          </w:p>
        </w:tc>
        <w:tc>
          <w:tcPr>
            <w:tcW w:w="0" w:type="auto"/>
            <w:gridSpan w:val="3"/>
            <w:tcBorders>
              <w:top w:val="single" w:sz="8" w:space="0" w:color="808080"/>
              <w:bottom w:val="single" w:sz="8" w:space="0" w:color="E87722"/>
            </w:tcBorders>
            <w:shd w:val="clear" w:color="auto" w:fill="auto"/>
            <w:tcMar>
              <w:left w:w="20" w:type="dxa"/>
              <w:right w:w="20" w:type="dxa"/>
            </w:tcMar>
            <w:vAlign w:val="bottom"/>
          </w:tcPr>
          <w:p w14:paraId="1D025C7D" w14:textId="77777777" w:rsidR="004421F6" w:rsidRDefault="004421F6">
            <w:pPr>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1D025C7E" w14:textId="77777777" w:rsidR="004421F6" w:rsidRDefault="00F15622">
            <w:pPr>
              <w:jc w:val="right"/>
              <w:textAlignment w:val="bottom"/>
            </w:pPr>
            <w:r>
              <w:rPr>
                <w:rFonts w:ascii="Arial" w:eastAsia="宋体" w:hAnsi="Arial" w:cs="Arial"/>
                <w:color w:val="000000"/>
                <w:sz w:val="17"/>
                <w:szCs w:val="17"/>
              </w:rPr>
              <w:t>15 </w:t>
            </w:r>
          </w:p>
        </w:tc>
        <w:tc>
          <w:tcPr>
            <w:tcW w:w="0" w:type="auto"/>
            <w:tcBorders>
              <w:top w:val="single" w:sz="8" w:space="0" w:color="808080"/>
              <w:bottom w:val="single" w:sz="8" w:space="0" w:color="E87722"/>
            </w:tcBorders>
            <w:shd w:val="clear" w:color="auto" w:fill="auto"/>
            <w:tcMar>
              <w:top w:w="40" w:type="dxa"/>
              <w:bottom w:w="40" w:type="dxa"/>
              <w:right w:w="20" w:type="dxa"/>
            </w:tcMar>
            <w:vAlign w:val="bottom"/>
          </w:tcPr>
          <w:p w14:paraId="1D025C7F" w14:textId="77777777" w:rsidR="004421F6" w:rsidRDefault="004421F6">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1D025C80" w14:textId="77777777" w:rsidR="004421F6" w:rsidRDefault="00F15622">
            <w:pPr>
              <w:jc w:val="right"/>
              <w:textAlignment w:val="bottom"/>
            </w:pPr>
            <w:r>
              <w:rPr>
                <w:rFonts w:ascii="Arial" w:eastAsia="宋体" w:hAnsi="Arial" w:cs="Arial"/>
                <w:color w:val="000000"/>
                <w:sz w:val="17"/>
                <w:szCs w:val="17"/>
              </w:rPr>
              <w:t>(2)</w:t>
            </w:r>
          </w:p>
        </w:tc>
        <w:tc>
          <w:tcPr>
            <w:tcW w:w="0" w:type="auto"/>
            <w:tcBorders>
              <w:top w:val="single" w:sz="8" w:space="0" w:color="808080"/>
              <w:bottom w:val="single" w:sz="8" w:space="0" w:color="E87722"/>
            </w:tcBorders>
            <w:shd w:val="clear" w:color="auto" w:fill="auto"/>
            <w:tcMar>
              <w:top w:w="40" w:type="dxa"/>
              <w:bottom w:w="40" w:type="dxa"/>
              <w:right w:w="20" w:type="dxa"/>
            </w:tcMar>
            <w:vAlign w:val="bottom"/>
          </w:tcPr>
          <w:p w14:paraId="1D025C81" w14:textId="77777777" w:rsidR="004421F6" w:rsidRDefault="004421F6">
            <w:pPr>
              <w:jc w:val="right"/>
              <w:rPr>
                <w:rFonts w:ascii="宋体"/>
              </w:rPr>
            </w:pPr>
          </w:p>
        </w:tc>
        <w:tc>
          <w:tcPr>
            <w:tcW w:w="0" w:type="auto"/>
            <w:shd w:val="clear" w:color="auto" w:fill="auto"/>
          </w:tcPr>
          <w:p w14:paraId="1D025C82" w14:textId="77777777" w:rsidR="004421F6" w:rsidRDefault="004421F6">
            <w:pPr>
              <w:rPr>
                <w:rFonts w:ascii="宋体"/>
              </w:rPr>
            </w:pPr>
          </w:p>
        </w:tc>
        <w:tc>
          <w:tcPr>
            <w:tcW w:w="0" w:type="auto"/>
            <w:shd w:val="clear" w:color="auto" w:fill="auto"/>
          </w:tcPr>
          <w:p w14:paraId="1D025C83" w14:textId="77777777" w:rsidR="004421F6" w:rsidRDefault="004421F6">
            <w:pPr>
              <w:rPr>
                <w:rFonts w:ascii="宋体"/>
              </w:rPr>
            </w:pPr>
          </w:p>
        </w:tc>
        <w:tc>
          <w:tcPr>
            <w:tcW w:w="0" w:type="auto"/>
            <w:shd w:val="clear" w:color="auto" w:fill="auto"/>
          </w:tcPr>
          <w:p w14:paraId="1D025C84" w14:textId="77777777" w:rsidR="004421F6" w:rsidRDefault="004421F6">
            <w:pPr>
              <w:rPr>
                <w:rFonts w:ascii="宋体"/>
              </w:rPr>
            </w:pPr>
          </w:p>
        </w:tc>
        <w:tc>
          <w:tcPr>
            <w:tcW w:w="0" w:type="auto"/>
            <w:shd w:val="clear" w:color="auto" w:fill="auto"/>
          </w:tcPr>
          <w:p w14:paraId="1D025C85" w14:textId="77777777" w:rsidR="004421F6" w:rsidRDefault="004421F6">
            <w:pPr>
              <w:rPr>
                <w:rFonts w:ascii="宋体"/>
              </w:rPr>
            </w:pPr>
          </w:p>
        </w:tc>
        <w:tc>
          <w:tcPr>
            <w:tcW w:w="0" w:type="auto"/>
            <w:shd w:val="clear" w:color="auto" w:fill="auto"/>
          </w:tcPr>
          <w:p w14:paraId="1D025C86" w14:textId="77777777" w:rsidR="004421F6" w:rsidRDefault="004421F6">
            <w:pPr>
              <w:rPr>
                <w:rFonts w:ascii="宋体"/>
              </w:rPr>
            </w:pPr>
          </w:p>
        </w:tc>
        <w:tc>
          <w:tcPr>
            <w:tcW w:w="0" w:type="auto"/>
            <w:shd w:val="clear" w:color="auto" w:fill="auto"/>
          </w:tcPr>
          <w:p w14:paraId="1D025C87" w14:textId="77777777" w:rsidR="004421F6" w:rsidRDefault="004421F6">
            <w:pPr>
              <w:rPr>
                <w:rFonts w:ascii="宋体"/>
              </w:rPr>
            </w:pPr>
          </w:p>
        </w:tc>
        <w:tc>
          <w:tcPr>
            <w:tcW w:w="0" w:type="auto"/>
            <w:shd w:val="clear" w:color="auto" w:fill="auto"/>
          </w:tcPr>
          <w:p w14:paraId="1D025C88" w14:textId="77777777" w:rsidR="004421F6" w:rsidRDefault="004421F6">
            <w:pPr>
              <w:rPr>
                <w:rFonts w:ascii="宋体"/>
              </w:rPr>
            </w:pPr>
          </w:p>
        </w:tc>
        <w:tc>
          <w:tcPr>
            <w:tcW w:w="0" w:type="auto"/>
            <w:shd w:val="clear" w:color="auto" w:fill="auto"/>
          </w:tcPr>
          <w:p w14:paraId="1D025C89" w14:textId="77777777" w:rsidR="004421F6" w:rsidRDefault="004421F6">
            <w:pPr>
              <w:rPr>
                <w:rFonts w:ascii="宋体"/>
              </w:rPr>
            </w:pPr>
          </w:p>
        </w:tc>
        <w:tc>
          <w:tcPr>
            <w:tcW w:w="0" w:type="auto"/>
            <w:shd w:val="clear" w:color="auto" w:fill="auto"/>
          </w:tcPr>
          <w:p w14:paraId="1D025C8A" w14:textId="77777777" w:rsidR="004421F6" w:rsidRDefault="004421F6">
            <w:pPr>
              <w:rPr>
                <w:rFonts w:ascii="宋体"/>
              </w:rPr>
            </w:pPr>
          </w:p>
        </w:tc>
        <w:tc>
          <w:tcPr>
            <w:tcW w:w="0" w:type="auto"/>
            <w:shd w:val="clear" w:color="auto" w:fill="auto"/>
          </w:tcPr>
          <w:p w14:paraId="1D025C8B" w14:textId="77777777" w:rsidR="004421F6" w:rsidRDefault="004421F6">
            <w:pPr>
              <w:rPr>
                <w:rFonts w:ascii="宋体"/>
              </w:rPr>
            </w:pPr>
          </w:p>
        </w:tc>
        <w:tc>
          <w:tcPr>
            <w:tcW w:w="0" w:type="auto"/>
            <w:shd w:val="clear" w:color="auto" w:fill="auto"/>
          </w:tcPr>
          <w:p w14:paraId="1D025C8C" w14:textId="77777777" w:rsidR="004421F6" w:rsidRDefault="004421F6">
            <w:pPr>
              <w:rPr>
                <w:rFonts w:ascii="宋体"/>
              </w:rPr>
            </w:pPr>
          </w:p>
        </w:tc>
        <w:tc>
          <w:tcPr>
            <w:tcW w:w="0" w:type="auto"/>
            <w:shd w:val="clear" w:color="auto" w:fill="auto"/>
          </w:tcPr>
          <w:p w14:paraId="1D025C8D" w14:textId="77777777" w:rsidR="004421F6" w:rsidRDefault="004421F6">
            <w:pPr>
              <w:rPr>
                <w:rFonts w:ascii="宋体"/>
              </w:rPr>
            </w:pPr>
          </w:p>
        </w:tc>
      </w:tr>
    </w:tbl>
    <w:p w14:paraId="1D025C8F" w14:textId="77777777" w:rsidR="004421F6" w:rsidRDefault="00F15622">
      <w:pPr>
        <w:spacing w:before="120" w:after="120"/>
      </w:pPr>
      <w:r>
        <w:rPr>
          <w:rFonts w:ascii="Arial" w:eastAsia="宋体" w:hAnsi="Arial" w:cs="Arial"/>
          <w:color w:val="E87722"/>
          <w:sz w:val="17"/>
          <w:szCs w:val="17"/>
        </w:rPr>
        <w:t>12</w:t>
      </w:r>
      <w:r>
        <w:rPr>
          <w:rFonts w:ascii="sans-serif" w:eastAsia="sans-serif" w:hAnsi="sans-serif" w:cs="sans-serif"/>
          <w:color w:val="000000"/>
          <w:sz w:val="17"/>
          <w:szCs w:val="17"/>
        </w:rPr>
        <w:t xml:space="preserve"> </w:t>
      </w:r>
    </w:p>
    <w:p w14:paraId="1D025C90" w14:textId="77777777" w:rsidR="004421F6" w:rsidRDefault="00F15622">
      <w:r>
        <w:pict w14:anchorId="1D027287">
          <v:rect id="_x0000_i1038" style="width:415.3pt;height:1.5pt" o:hralign="center" o:hrstd="t" o:hr="t" fillcolor="#a0a0a0" stroked="f"/>
        </w:pict>
      </w:r>
    </w:p>
    <w:p w14:paraId="1D025C91" w14:textId="77777777" w:rsidR="004421F6" w:rsidRDefault="004421F6"/>
    <w:p w14:paraId="1D025C92" w14:textId="77777777" w:rsidR="004421F6" w:rsidRDefault="00F15622">
      <w:hyperlink r:id="rId83" w:anchor="i3e524f2e23844e81ba9d33a05ac3917c_7" w:history="1">
        <w:r>
          <w:rPr>
            <w:rStyle w:val="a5"/>
            <w:rFonts w:ascii="sans-serif" w:eastAsia="sans-serif" w:hAnsi="sans-serif" w:cs="sans-serif"/>
            <w:sz w:val="17"/>
            <w:szCs w:val="17"/>
          </w:rPr>
          <w:t>Table of Contents</w:t>
        </w:r>
      </w:hyperlink>
    </w:p>
    <w:p w14:paraId="1D025C93" w14:textId="77777777" w:rsidR="004421F6" w:rsidRDefault="004421F6"/>
    <w:p w14:paraId="1D025C94" w14:textId="77777777" w:rsidR="004421F6" w:rsidRDefault="00F15622">
      <w:r>
        <w:rPr>
          <w:rFonts w:ascii="Arial" w:eastAsia="宋体" w:hAnsi="Arial" w:cs="Arial"/>
          <w:color w:val="000000"/>
          <w:sz w:val="17"/>
          <w:szCs w:val="17"/>
        </w:rPr>
        <w:t xml:space="preserve">The following tables present the </w:t>
      </w:r>
      <w:r>
        <w:rPr>
          <w:rFonts w:ascii="Arial" w:eastAsia="宋体" w:hAnsi="Arial" w:cs="Arial"/>
          <w:color w:val="000000"/>
          <w:sz w:val="17"/>
          <w:szCs w:val="17"/>
        </w:rPr>
        <w:t>amounts affecting the Unaudited Condensed Consolidated Statements of Income for the three months ended August 31, 2020 and 2019:</w:t>
      </w:r>
    </w:p>
    <w:tbl>
      <w:tblPr>
        <w:tblW w:w="5000" w:type="pct"/>
        <w:tblCellMar>
          <w:top w:w="15" w:type="dxa"/>
          <w:left w:w="15" w:type="dxa"/>
          <w:bottom w:w="15" w:type="dxa"/>
          <w:right w:w="15" w:type="dxa"/>
        </w:tblCellMar>
        <w:tblLook w:val="04A0" w:firstRow="1" w:lastRow="0" w:firstColumn="1" w:lastColumn="0" w:noHBand="0" w:noVBand="1"/>
      </w:tblPr>
      <w:tblGrid>
        <w:gridCol w:w="39"/>
        <w:gridCol w:w="1320"/>
        <w:gridCol w:w="38"/>
        <w:gridCol w:w="131"/>
        <w:gridCol w:w="573"/>
        <w:gridCol w:w="42"/>
        <w:gridCol w:w="131"/>
        <w:gridCol w:w="572"/>
        <w:gridCol w:w="41"/>
        <w:gridCol w:w="51"/>
        <w:gridCol w:w="284"/>
        <w:gridCol w:w="50"/>
        <w:gridCol w:w="37"/>
        <w:gridCol w:w="1457"/>
        <w:gridCol w:w="36"/>
        <w:gridCol w:w="36"/>
        <w:gridCol w:w="36"/>
        <w:gridCol w:w="36"/>
        <w:gridCol w:w="131"/>
        <w:gridCol w:w="1146"/>
        <w:gridCol w:w="41"/>
        <w:gridCol w:w="130"/>
        <w:gridCol w:w="346"/>
        <w:gridCol w:w="41"/>
        <w:gridCol w:w="330"/>
        <w:gridCol w:w="330"/>
        <w:gridCol w:w="330"/>
        <w:gridCol w:w="129"/>
        <w:gridCol w:w="128"/>
        <w:gridCol w:w="128"/>
        <w:gridCol w:w="36"/>
        <w:gridCol w:w="36"/>
        <w:gridCol w:w="36"/>
        <w:gridCol w:w="36"/>
        <w:gridCol w:w="36"/>
        <w:gridCol w:w="36"/>
      </w:tblGrid>
      <w:tr w:rsidR="004421F6" w14:paraId="1D025CAD" w14:textId="77777777">
        <w:trPr>
          <w:gridAfter w:val="12"/>
        </w:trPr>
        <w:tc>
          <w:tcPr>
            <w:tcW w:w="50" w:type="pct"/>
            <w:shd w:val="clear" w:color="auto" w:fill="auto"/>
          </w:tcPr>
          <w:p w14:paraId="1D025C95" w14:textId="77777777" w:rsidR="004421F6" w:rsidRDefault="004421F6">
            <w:pPr>
              <w:rPr>
                <w:rFonts w:ascii="宋体"/>
              </w:rPr>
            </w:pPr>
          </w:p>
        </w:tc>
        <w:tc>
          <w:tcPr>
            <w:tcW w:w="1208" w:type="pct"/>
            <w:shd w:val="clear" w:color="auto" w:fill="auto"/>
          </w:tcPr>
          <w:p w14:paraId="1D025C96" w14:textId="77777777" w:rsidR="004421F6" w:rsidRDefault="004421F6">
            <w:pPr>
              <w:rPr>
                <w:rFonts w:ascii="宋体"/>
              </w:rPr>
            </w:pPr>
          </w:p>
        </w:tc>
        <w:tc>
          <w:tcPr>
            <w:tcW w:w="5" w:type="pct"/>
            <w:shd w:val="clear" w:color="auto" w:fill="auto"/>
          </w:tcPr>
          <w:p w14:paraId="1D025C97" w14:textId="77777777" w:rsidR="004421F6" w:rsidRDefault="004421F6">
            <w:pPr>
              <w:rPr>
                <w:rFonts w:ascii="宋体"/>
              </w:rPr>
            </w:pPr>
          </w:p>
        </w:tc>
        <w:tc>
          <w:tcPr>
            <w:tcW w:w="50" w:type="pct"/>
            <w:shd w:val="clear" w:color="auto" w:fill="auto"/>
          </w:tcPr>
          <w:p w14:paraId="1D025C98" w14:textId="77777777" w:rsidR="004421F6" w:rsidRDefault="004421F6">
            <w:pPr>
              <w:rPr>
                <w:rFonts w:ascii="宋体"/>
              </w:rPr>
            </w:pPr>
          </w:p>
        </w:tc>
        <w:tc>
          <w:tcPr>
            <w:tcW w:w="491" w:type="pct"/>
            <w:shd w:val="clear" w:color="auto" w:fill="auto"/>
          </w:tcPr>
          <w:p w14:paraId="1D025C99" w14:textId="77777777" w:rsidR="004421F6" w:rsidRDefault="004421F6">
            <w:pPr>
              <w:rPr>
                <w:rFonts w:ascii="宋体"/>
              </w:rPr>
            </w:pPr>
          </w:p>
        </w:tc>
        <w:tc>
          <w:tcPr>
            <w:tcW w:w="5" w:type="pct"/>
            <w:shd w:val="clear" w:color="auto" w:fill="auto"/>
          </w:tcPr>
          <w:p w14:paraId="1D025C9A" w14:textId="77777777" w:rsidR="004421F6" w:rsidRDefault="004421F6">
            <w:pPr>
              <w:rPr>
                <w:rFonts w:ascii="宋体"/>
              </w:rPr>
            </w:pPr>
          </w:p>
        </w:tc>
        <w:tc>
          <w:tcPr>
            <w:tcW w:w="50" w:type="pct"/>
            <w:shd w:val="clear" w:color="auto" w:fill="auto"/>
          </w:tcPr>
          <w:p w14:paraId="1D025C9B" w14:textId="77777777" w:rsidR="004421F6" w:rsidRDefault="004421F6">
            <w:pPr>
              <w:rPr>
                <w:rFonts w:ascii="宋体"/>
              </w:rPr>
            </w:pPr>
          </w:p>
        </w:tc>
        <w:tc>
          <w:tcPr>
            <w:tcW w:w="491" w:type="pct"/>
            <w:shd w:val="clear" w:color="auto" w:fill="auto"/>
          </w:tcPr>
          <w:p w14:paraId="1D025C9C" w14:textId="77777777" w:rsidR="004421F6" w:rsidRDefault="004421F6">
            <w:pPr>
              <w:rPr>
                <w:rFonts w:ascii="宋体"/>
              </w:rPr>
            </w:pPr>
          </w:p>
        </w:tc>
        <w:tc>
          <w:tcPr>
            <w:tcW w:w="5" w:type="pct"/>
            <w:shd w:val="clear" w:color="auto" w:fill="auto"/>
          </w:tcPr>
          <w:p w14:paraId="1D025C9D" w14:textId="77777777" w:rsidR="004421F6" w:rsidRDefault="004421F6">
            <w:pPr>
              <w:rPr>
                <w:rFonts w:ascii="宋体"/>
              </w:rPr>
            </w:pPr>
          </w:p>
        </w:tc>
        <w:tc>
          <w:tcPr>
            <w:tcW w:w="5" w:type="pct"/>
            <w:shd w:val="clear" w:color="auto" w:fill="auto"/>
          </w:tcPr>
          <w:p w14:paraId="1D025C9E" w14:textId="77777777" w:rsidR="004421F6" w:rsidRDefault="004421F6">
            <w:pPr>
              <w:rPr>
                <w:rFonts w:ascii="宋体"/>
              </w:rPr>
            </w:pPr>
          </w:p>
        </w:tc>
        <w:tc>
          <w:tcPr>
            <w:tcW w:w="28" w:type="pct"/>
            <w:shd w:val="clear" w:color="auto" w:fill="auto"/>
          </w:tcPr>
          <w:p w14:paraId="1D025C9F" w14:textId="77777777" w:rsidR="004421F6" w:rsidRDefault="004421F6">
            <w:pPr>
              <w:rPr>
                <w:rFonts w:ascii="宋体"/>
              </w:rPr>
            </w:pPr>
          </w:p>
        </w:tc>
        <w:tc>
          <w:tcPr>
            <w:tcW w:w="5" w:type="pct"/>
            <w:shd w:val="clear" w:color="auto" w:fill="auto"/>
          </w:tcPr>
          <w:p w14:paraId="1D025CA0" w14:textId="77777777" w:rsidR="004421F6" w:rsidRDefault="004421F6">
            <w:pPr>
              <w:rPr>
                <w:rFonts w:ascii="宋体"/>
              </w:rPr>
            </w:pPr>
          </w:p>
        </w:tc>
        <w:tc>
          <w:tcPr>
            <w:tcW w:w="50" w:type="pct"/>
            <w:shd w:val="clear" w:color="auto" w:fill="auto"/>
          </w:tcPr>
          <w:p w14:paraId="1D025CA1" w14:textId="77777777" w:rsidR="004421F6" w:rsidRDefault="004421F6">
            <w:pPr>
              <w:rPr>
                <w:rFonts w:ascii="宋体"/>
              </w:rPr>
            </w:pPr>
          </w:p>
        </w:tc>
        <w:tc>
          <w:tcPr>
            <w:tcW w:w="1416" w:type="pct"/>
            <w:shd w:val="clear" w:color="auto" w:fill="auto"/>
          </w:tcPr>
          <w:p w14:paraId="1D025CA2" w14:textId="77777777" w:rsidR="004421F6" w:rsidRDefault="004421F6">
            <w:pPr>
              <w:rPr>
                <w:rFonts w:ascii="宋体"/>
              </w:rPr>
            </w:pPr>
          </w:p>
        </w:tc>
        <w:tc>
          <w:tcPr>
            <w:tcW w:w="5" w:type="pct"/>
            <w:shd w:val="clear" w:color="auto" w:fill="auto"/>
          </w:tcPr>
          <w:p w14:paraId="1D025CA3" w14:textId="77777777" w:rsidR="004421F6" w:rsidRDefault="004421F6">
            <w:pPr>
              <w:rPr>
                <w:rFonts w:ascii="宋体"/>
              </w:rPr>
            </w:pPr>
          </w:p>
        </w:tc>
        <w:tc>
          <w:tcPr>
            <w:tcW w:w="5" w:type="pct"/>
            <w:shd w:val="clear" w:color="auto" w:fill="auto"/>
          </w:tcPr>
          <w:p w14:paraId="1D025CA4" w14:textId="77777777" w:rsidR="004421F6" w:rsidRDefault="004421F6">
            <w:pPr>
              <w:rPr>
                <w:rFonts w:ascii="宋体"/>
              </w:rPr>
            </w:pPr>
          </w:p>
        </w:tc>
        <w:tc>
          <w:tcPr>
            <w:tcW w:w="28" w:type="pct"/>
            <w:shd w:val="clear" w:color="auto" w:fill="auto"/>
          </w:tcPr>
          <w:p w14:paraId="1D025CA5" w14:textId="77777777" w:rsidR="004421F6" w:rsidRDefault="004421F6">
            <w:pPr>
              <w:rPr>
                <w:rFonts w:ascii="宋体"/>
              </w:rPr>
            </w:pPr>
          </w:p>
        </w:tc>
        <w:tc>
          <w:tcPr>
            <w:tcW w:w="5" w:type="pct"/>
            <w:shd w:val="clear" w:color="auto" w:fill="auto"/>
          </w:tcPr>
          <w:p w14:paraId="1D025CA6" w14:textId="77777777" w:rsidR="004421F6" w:rsidRDefault="004421F6">
            <w:pPr>
              <w:rPr>
                <w:rFonts w:ascii="宋体"/>
              </w:rPr>
            </w:pPr>
          </w:p>
        </w:tc>
        <w:tc>
          <w:tcPr>
            <w:tcW w:w="50" w:type="pct"/>
            <w:shd w:val="clear" w:color="auto" w:fill="auto"/>
          </w:tcPr>
          <w:p w14:paraId="1D025CA7" w14:textId="77777777" w:rsidR="004421F6" w:rsidRDefault="004421F6">
            <w:pPr>
              <w:rPr>
                <w:rFonts w:ascii="宋体"/>
              </w:rPr>
            </w:pPr>
          </w:p>
        </w:tc>
        <w:tc>
          <w:tcPr>
            <w:tcW w:w="491" w:type="pct"/>
            <w:shd w:val="clear" w:color="auto" w:fill="auto"/>
          </w:tcPr>
          <w:p w14:paraId="1D025CA8" w14:textId="77777777" w:rsidR="004421F6" w:rsidRDefault="004421F6">
            <w:pPr>
              <w:rPr>
                <w:rFonts w:ascii="宋体"/>
              </w:rPr>
            </w:pPr>
          </w:p>
        </w:tc>
        <w:tc>
          <w:tcPr>
            <w:tcW w:w="5" w:type="pct"/>
            <w:shd w:val="clear" w:color="auto" w:fill="auto"/>
          </w:tcPr>
          <w:p w14:paraId="1D025CA9" w14:textId="77777777" w:rsidR="004421F6" w:rsidRDefault="004421F6">
            <w:pPr>
              <w:rPr>
                <w:rFonts w:ascii="宋体"/>
              </w:rPr>
            </w:pPr>
          </w:p>
        </w:tc>
        <w:tc>
          <w:tcPr>
            <w:tcW w:w="50" w:type="pct"/>
            <w:shd w:val="clear" w:color="auto" w:fill="auto"/>
          </w:tcPr>
          <w:p w14:paraId="1D025CAA" w14:textId="77777777" w:rsidR="004421F6" w:rsidRDefault="004421F6">
            <w:pPr>
              <w:rPr>
                <w:rFonts w:ascii="宋体"/>
              </w:rPr>
            </w:pPr>
          </w:p>
        </w:tc>
        <w:tc>
          <w:tcPr>
            <w:tcW w:w="492" w:type="pct"/>
            <w:shd w:val="clear" w:color="auto" w:fill="auto"/>
          </w:tcPr>
          <w:p w14:paraId="1D025CAB" w14:textId="77777777" w:rsidR="004421F6" w:rsidRDefault="004421F6">
            <w:pPr>
              <w:rPr>
                <w:rFonts w:ascii="宋体"/>
              </w:rPr>
            </w:pPr>
          </w:p>
        </w:tc>
        <w:tc>
          <w:tcPr>
            <w:tcW w:w="5" w:type="pct"/>
            <w:shd w:val="clear" w:color="auto" w:fill="auto"/>
          </w:tcPr>
          <w:p w14:paraId="1D025CAC" w14:textId="77777777" w:rsidR="004421F6" w:rsidRDefault="004421F6">
            <w:pPr>
              <w:rPr>
                <w:rFonts w:ascii="宋体"/>
              </w:rPr>
            </w:pPr>
          </w:p>
        </w:tc>
      </w:tr>
      <w:tr w:rsidR="004421F6" w14:paraId="1D025CB7" w14:textId="77777777">
        <w:tc>
          <w:tcPr>
            <w:tcW w:w="0" w:type="auto"/>
            <w:gridSpan w:val="3"/>
            <w:vMerge w:val="restart"/>
            <w:shd w:val="clear" w:color="auto" w:fill="auto"/>
            <w:tcMar>
              <w:top w:w="40" w:type="dxa"/>
              <w:left w:w="20" w:type="dxa"/>
              <w:bottom w:w="40" w:type="dxa"/>
              <w:right w:w="20" w:type="dxa"/>
            </w:tcMar>
            <w:vAlign w:val="bottom"/>
          </w:tcPr>
          <w:p w14:paraId="1D025CAE" w14:textId="77777777" w:rsidR="004421F6" w:rsidRDefault="004421F6">
            <w:pPr>
              <w:textAlignment w:val="bottom"/>
            </w:pPr>
          </w:p>
          <w:p w14:paraId="1D025CAF"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1D025CB0" w14:textId="77777777" w:rsidR="004421F6" w:rsidRDefault="00F15622">
            <w:pPr>
              <w:jc w:val="center"/>
              <w:textAlignment w:val="bottom"/>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9"/>
                <w:szCs w:val="9"/>
              </w:rPr>
              <w:t>(1)</w:t>
            </w:r>
          </w:p>
        </w:tc>
        <w:tc>
          <w:tcPr>
            <w:tcW w:w="0" w:type="auto"/>
            <w:gridSpan w:val="3"/>
            <w:shd w:val="clear" w:color="auto" w:fill="auto"/>
          </w:tcPr>
          <w:p w14:paraId="1D025CB1" w14:textId="77777777" w:rsidR="004421F6" w:rsidRDefault="004421F6">
            <w:pPr>
              <w:rPr>
                <w:rFonts w:ascii="宋体"/>
                <w:vanish/>
              </w:rPr>
            </w:pPr>
          </w:p>
        </w:tc>
        <w:tc>
          <w:tcPr>
            <w:tcW w:w="0" w:type="auto"/>
            <w:gridSpan w:val="3"/>
            <w:shd w:val="clear" w:color="auto" w:fill="auto"/>
            <w:tcMar>
              <w:left w:w="20" w:type="dxa"/>
              <w:right w:w="20" w:type="dxa"/>
            </w:tcMar>
            <w:vAlign w:val="bottom"/>
          </w:tcPr>
          <w:p w14:paraId="1D025CB2" w14:textId="77777777" w:rsidR="004421F6" w:rsidRDefault="004421F6">
            <w:pPr>
              <w:rPr>
                <w:rFonts w:ascii="宋体"/>
              </w:rPr>
            </w:pPr>
          </w:p>
        </w:tc>
        <w:tc>
          <w:tcPr>
            <w:tcW w:w="0" w:type="auto"/>
            <w:gridSpan w:val="12"/>
            <w:tcBorders>
              <w:bottom w:val="single" w:sz="8" w:space="0" w:color="E87722"/>
            </w:tcBorders>
            <w:shd w:val="clear" w:color="auto" w:fill="auto"/>
            <w:tcMar>
              <w:top w:w="40" w:type="dxa"/>
              <w:left w:w="20" w:type="dxa"/>
              <w:bottom w:w="40" w:type="dxa"/>
              <w:right w:w="20" w:type="dxa"/>
            </w:tcMar>
            <w:vAlign w:val="bottom"/>
          </w:tcPr>
          <w:p w14:paraId="1D025CB3" w14:textId="77777777" w:rsidR="004421F6" w:rsidRDefault="00F15622">
            <w:pPr>
              <w:jc w:val="center"/>
              <w:textAlignment w:val="bottom"/>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w:t>
            </w:r>
            <w:r>
              <w:rPr>
                <w:rFonts w:ascii="sans-serif" w:eastAsia="sans-serif" w:hAnsi="sans-serif" w:cs="sans-serif"/>
                <w:b/>
                <w:bCs/>
                <w:color w:val="000000"/>
                <w:sz w:val="17"/>
                <w:szCs w:val="17"/>
              </w:rPr>
              <w:br/>
              <w:t>INCOME (LOSS) INT</w:t>
            </w:r>
            <w:r>
              <w:rPr>
                <w:rFonts w:ascii="sans-serif" w:eastAsia="sans-serif" w:hAnsi="sans-serif" w:cs="sans-serif"/>
                <w:b/>
                <w:bCs/>
                <w:color w:val="000000"/>
                <w:sz w:val="17"/>
                <w:szCs w:val="17"/>
              </w:rPr>
              <w:t>O INCOME</w:t>
            </w:r>
            <w:r>
              <w:rPr>
                <w:rFonts w:ascii="sans-serif" w:eastAsia="sans-serif" w:hAnsi="sans-serif" w:cs="sans-serif"/>
                <w:b/>
                <w:bCs/>
                <w:color w:val="000000"/>
                <w:sz w:val="9"/>
                <w:szCs w:val="9"/>
              </w:rPr>
              <w:t>(1)</w:t>
            </w:r>
          </w:p>
        </w:tc>
        <w:tc>
          <w:tcPr>
            <w:tcW w:w="0" w:type="auto"/>
            <w:gridSpan w:val="3"/>
            <w:shd w:val="clear" w:color="auto" w:fill="auto"/>
          </w:tcPr>
          <w:p w14:paraId="1D025CB4" w14:textId="77777777" w:rsidR="004421F6" w:rsidRDefault="004421F6">
            <w:pPr>
              <w:rPr>
                <w:rFonts w:ascii="宋体"/>
                <w:vanish/>
              </w:rPr>
            </w:pPr>
          </w:p>
        </w:tc>
        <w:tc>
          <w:tcPr>
            <w:tcW w:w="0" w:type="auto"/>
            <w:gridSpan w:val="3"/>
            <w:shd w:val="clear" w:color="auto" w:fill="auto"/>
          </w:tcPr>
          <w:p w14:paraId="1D025CB5" w14:textId="77777777" w:rsidR="004421F6" w:rsidRDefault="004421F6">
            <w:pPr>
              <w:rPr>
                <w:rFonts w:ascii="宋体"/>
                <w:vanish/>
              </w:rPr>
            </w:pPr>
          </w:p>
        </w:tc>
        <w:tc>
          <w:tcPr>
            <w:tcW w:w="0" w:type="auto"/>
            <w:gridSpan w:val="3"/>
            <w:shd w:val="clear" w:color="auto" w:fill="auto"/>
          </w:tcPr>
          <w:p w14:paraId="1D025CB6" w14:textId="77777777" w:rsidR="004421F6" w:rsidRDefault="004421F6">
            <w:pPr>
              <w:rPr>
                <w:rFonts w:ascii="宋体"/>
                <w:vanish/>
              </w:rPr>
            </w:pPr>
          </w:p>
        </w:tc>
      </w:tr>
      <w:tr w:rsidR="004421F6" w14:paraId="1D025CC4" w14:textId="77777777">
        <w:tc>
          <w:tcPr>
            <w:tcW w:w="0" w:type="auto"/>
            <w:gridSpan w:val="3"/>
            <w:vMerge/>
            <w:shd w:val="clear" w:color="auto" w:fill="auto"/>
            <w:tcMar>
              <w:top w:w="40" w:type="dxa"/>
              <w:left w:w="20" w:type="dxa"/>
              <w:bottom w:w="40" w:type="dxa"/>
              <w:right w:w="20" w:type="dxa"/>
            </w:tcMar>
            <w:vAlign w:val="bottom"/>
          </w:tcPr>
          <w:p w14:paraId="1D025CB8" w14:textId="77777777" w:rsidR="004421F6" w:rsidRDefault="004421F6">
            <w:pPr>
              <w:rPr>
                <w:rFonts w:ascii="宋体"/>
              </w:rPr>
            </w:pPr>
          </w:p>
        </w:tc>
        <w:tc>
          <w:tcPr>
            <w:tcW w:w="0" w:type="auto"/>
            <w:gridSpan w:val="3"/>
            <w:shd w:val="clear" w:color="auto" w:fill="auto"/>
          </w:tcPr>
          <w:p w14:paraId="1D025CB9" w14:textId="77777777" w:rsidR="004421F6" w:rsidRDefault="004421F6">
            <w:pPr>
              <w:rPr>
                <w:rFonts w:ascii="宋体"/>
                <w:vanish/>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D025CBA"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5CBB" w14:textId="77777777" w:rsidR="004421F6" w:rsidRDefault="004421F6">
            <w:pPr>
              <w:rPr>
                <w:rFonts w:ascii="宋体"/>
                <w:vanish/>
              </w:rPr>
            </w:pPr>
          </w:p>
        </w:tc>
        <w:tc>
          <w:tcPr>
            <w:tcW w:w="0" w:type="auto"/>
            <w:gridSpan w:val="3"/>
            <w:shd w:val="clear" w:color="auto" w:fill="auto"/>
            <w:tcMar>
              <w:left w:w="20" w:type="dxa"/>
              <w:right w:w="20" w:type="dxa"/>
            </w:tcMar>
            <w:vAlign w:val="bottom"/>
          </w:tcPr>
          <w:p w14:paraId="1D025CBC" w14:textId="77777777" w:rsidR="004421F6" w:rsidRDefault="004421F6">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1D025CBD" w14:textId="77777777" w:rsidR="004421F6" w:rsidRDefault="00F15622">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gridSpan w:val="3"/>
            <w:tcBorders>
              <w:top w:val="single" w:sz="8" w:space="0" w:color="E87722"/>
            </w:tcBorders>
            <w:shd w:val="clear" w:color="auto" w:fill="auto"/>
            <w:tcMar>
              <w:left w:w="20" w:type="dxa"/>
              <w:right w:w="20" w:type="dxa"/>
            </w:tcMar>
            <w:vAlign w:val="bottom"/>
          </w:tcPr>
          <w:p w14:paraId="1D025CBE" w14:textId="77777777" w:rsidR="004421F6" w:rsidRDefault="004421F6">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D025CBF"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5CC0" w14:textId="77777777" w:rsidR="004421F6" w:rsidRDefault="004421F6">
            <w:pPr>
              <w:rPr>
                <w:rFonts w:ascii="宋体"/>
                <w:vanish/>
              </w:rPr>
            </w:pPr>
          </w:p>
        </w:tc>
        <w:tc>
          <w:tcPr>
            <w:tcW w:w="0" w:type="auto"/>
            <w:shd w:val="clear" w:color="auto" w:fill="auto"/>
          </w:tcPr>
          <w:p w14:paraId="1D025CC1" w14:textId="77777777" w:rsidR="004421F6" w:rsidRDefault="004421F6">
            <w:pPr>
              <w:rPr>
                <w:rFonts w:ascii="宋体"/>
              </w:rPr>
            </w:pPr>
          </w:p>
        </w:tc>
        <w:tc>
          <w:tcPr>
            <w:tcW w:w="0" w:type="auto"/>
            <w:shd w:val="clear" w:color="auto" w:fill="auto"/>
          </w:tcPr>
          <w:p w14:paraId="1D025CC2" w14:textId="77777777" w:rsidR="004421F6" w:rsidRDefault="004421F6">
            <w:pPr>
              <w:rPr>
                <w:rFonts w:ascii="宋体"/>
              </w:rPr>
            </w:pPr>
          </w:p>
        </w:tc>
        <w:tc>
          <w:tcPr>
            <w:tcW w:w="0" w:type="auto"/>
            <w:shd w:val="clear" w:color="auto" w:fill="auto"/>
          </w:tcPr>
          <w:p w14:paraId="1D025CC3" w14:textId="77777777" w:rsidR="004421F6" w:rsidRDefault="004421F6">
            <w:pPr>
              <w:rPr>
                <w:rFonts w:ascii="宋体"/>
              </w:rPr>
            </w:pPr>
          </w:p>
        </w:tc>
      </w:tr>
      <w:tr w:rsidR="004421F6" w14:paraId="1D025CD5" w14:textId="77777777">
        <w:tc>
          <w:tcPr>
            <w:tcW w:w="0" w:type="auto"/>
            <w:gridSpan w:val="3"/>
            <w:vMerge/>
            <w:shd w:val="clear" w:color="auto" w:fill="auto"/>
            <w:tcMar>
              <w:top w:w="40" w:type="dxa"/>
              <w:left w:w="20" w:type="dxa"/>
              <w:bottom w:w="40" w:type="dxa"/>
              <w:right w:w="20" w:type="dxa"/>
            </w:tcMar>
            <w:vAlign w:val="bottom"/>
          </w:tcPr>
          <w:p w14:paraId="1D025CC5" w14:textId="77777777" w:rsidR="004421F6" w:rsidRDefault="004421F6">
            <w:pPr>
              <w:rPr>
                <w:rFonts w:ascii="宋体"/>
              </w:rPr>
            </w:pPr>
          </w:p>
        </w:tc>
        <w:tc>
          <w:tcPr>
            <w:tcW w:w="0" w:type="auto"/>
            <w:gridSpan w:val="3"/>
            <w:shd w:val="clear" w:color="auto" w:fill="auto"/>
          </w:tcPr>
          <w:p w14:paraId="1D025CC6" w14:textId="77777777" w:rsidR="004421F6" w:rsidRDefault="004421F6">
            <w:pPr>
              <w:rPr>
                <w:rFonts w:ascii="宋体"/>
                <w:vanish/>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CC7"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CC8"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shd w:val="clear" w:color="auto" w:fill="auto"/>
            <w:tcMar>
              <w:left w:w="20" w:type="dxa"/>
              <w:right w:w="20" w:type="dxa"/>
            </w:tcMar>
            <w:vAlign w:val="bottom"/>
          </w:tcPr>
          <w:p w14:paraId="1D025CC9" w14:textId="77777777" w:rsidR="004421F6" w:rsidRDefault="004421F6">
            <w:pPr>
              <w:rPr>
                <w:rFonts w:ascii="宋体"/>
              </w:rPr>
            </w:pPr>
          </w:p>
        </w:tc>
        <w:tc>
          <w:tcPr>
            <w:tcW w:w="0" w:type="auto"/>
            <w:gridSpan w:val="3"/>
            <w:shd w:val="clear" w:color="auto" w:fill="auto"/>
          </w:tcPr>
          <w:p w14:paraId="1D025CCA" w14:textId="77777777" w:rsidR="004421F6" w:rsidRDefault="004421F6">
            <w:pPr>
              <w:rPr>
                <w:rFonts w:ascii="宋体"/>
                <w:vanish/>
              </w:rPr>
            </w:pP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1D025CCB" w14:textId="77777777" w:rsidR="004421F6" w:rsidRDefault="004421F6">
            <w:pPr>
              <w:jc w:val="right"/>
              <w:rPr>
                <w:rFonts w:ascii="宋体"/>
              </w:rPr>
            </w:pPr>
          </w:p>
        </w:tc>
        <w:tc>
          <w:tcPr>
            <w:tcW w:w="0" w:type="auto"/>
            <w:gridSpan w:val="3"/>
            <w:shd w:val="clear" w:color="auto" w:fill="auto"/>
            <w:tcMar>
              <w:left w:w="20" w:type="dxa"/>
              <w:right w:w="20" w:type="dxa"/>
            </w:tcMar>
            <w:vAlign w:val="bottom"/>
          </w:tcPr>
          <w:p w14:paraId="1D025CCC" w14:textId="77777777" w:rsidR="004421F6" w:rsidRDefault="004421F6">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CCD"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CCE"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shd w:val="clear" w:color="auto" w:fill="auto"/>
          </w:tcPr>
          <w:p w14:paraId="1D025CCF" w14:textId="77777777" w:rsidR="004421F6" w:rsidRDefault="004421F6">
            <w:pPr>
              <w:rPr>
                <w:rFonts w:ascii="宋体"/>
              </w:rPr>
            </w:pPr>
          </w:p>
        </w:tc>
        <w:tc>
          <w:tcPr>
            <w:tcW w:w="0" w:type="auto"/>
            <w:shd w:val="clear" w:color="auto" w:fill="auto"/>
          </w:tcPr>
          <w:p w14:paraId="1D025CD0" w14:textId="77777777" w:rsidR="004421F6" w:rsidRDefault="004421F6">
            <w:pPr>
              <w:rPr>
                <w:rFonts w:ascii="宋体"/>
              </w:rPr>
            </w:pPr>
          </w:p>
        </w:tc>
        <w:tc>
          <w:tcPr>
            <w:tcW w:w="0" w:type="auto"/>
            <w:shd w:val="clear" w:color="auto" w:fill="auto"/>
          </w:tcPr>
          <w:p w14:paraId="1D025CD1" w14:textId="77777777" w:rsidR="004421F6" w:rsidRDefault="004421F6">
            <w:pPr>
              <w:rPr>
                <w:rFonts w:ascii="宋体"/>
              </w:rPr>
            </w:pPr>
          </w:p>
        </w:tc>
        <w:tc>
          <w:tcPr>
            <w:tcW w:w="0" w:type="auto"/>
            <w:shd w:val="clear" w:color="auto" w:fill="auto"/>
          </w:tcPr>
          <w:p w14:paraId="1D025CD2" w14:textId="77777777" w:rsidR="004421F6" w:rsidRDefault="004421F6">
            <w:pPr>
              <w:rPr>
                <w:rFonts w:ascii="宋体"/>
              </w:rPr>
            </w:pPr>
          </w:p>
        </w:tc>
        <w:tc>
          <w:tcPr>
            <w:tcW w:w="0" w:type="auto"/>
            <w:shd w:val="clear" w:color="auto" w:fill="auto"/>
          </w:tcPr>
          <w:p w14:paraId="1D025CD3" w14:textId="77777777" w:rsidR="004421F6" w:rsidRDefault="004421F6">
            <w:pPr>
              <w:rPr>
                <w:rFonts w:ascii="宋体"/>
              </w:rPr>
            </w:pPr>
          </w:p>
        </w:tc>
        <w:tc>
          <w:tcPr>
            <w:tcW w:w="0" w:type="auto"/>
            <w:shd w:val="clear" w:color="auto" w:fill="auto"/>
          </w:tcPr>
          <w:p w14:paraId="1D025CD4" w14:textId="77777777" w:rsidR="004421F6" w:rsidRDefault="004421F6">
            <w:pPr>
              <w:rPr>
                <w:rFonts w:ascii="宋体"/>
              </w:rPr>
            </w:pPr>
          </w:p>
        </w:tc>
      </w:tr>
      <w:tr w:rsidR="004421F6" w14:paraId="1D025CE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CD6" w14:textId="77777777" w:rsidR="004421F6" w:rsidRDefault="00F15622">
            <w:pPr>
              <w:textAlignment w:val="bottom"/>
            </w:pPr>
            <w:r>
              <w:rPr>
                <w:rFonts w:ascii="Arial" w:eastAsia="宋体" w:hAnsi="Arial" w:cs="Arial"/>
                <w:color w:val="000000"/>
                <w:sz w:val="17"/>
                <w:szCs w:val="17"/>
              </w:rPr>
              <w:t xml:space="preserve">Derivatives designated as </w:t>
            </w:r>
            <w:r>
              <w:rPr>
                <w:rFonts w:ascii="sans-serif" w:eastAsia="sans-serif" w:hAnsi="sans-serif" w:cs="sans-serif"/>
                <w:b/>
                <w:bCs/>
                <w:color w:val="000000"/>
                <w:sz w:val="17"/>
                <w:szCs w:val="17"/>
              </w:rPr>
              <w:br/>
            </w:r>
            <w:r>
              <w:rPr>
                <w:rFonts w:ascii="Arial" w:eastAsia="宋体" w:hAnsi="Arial" w:cs="Arial"/>
                <w:color w:val="000000"/>
                <w:sz w:val="17"/>
                <w:szCs w:val="17"/>
              </w:rPr>
              <w:t>cash flow hedges:</w:t>
            </w:r>
          </w:p>
        </w:tc>
        <w:tc>
          <w:tcPr>
            <w:tcW w:w="0" w:type="auto"/>
            <w:gridSpan w:val="3"/>
            <w:tcBorders>
              <w:top w:val="single" w:sz="8" w:space="0" w:color="E87722"/>
            </w:tcBorders>
            <w:shd w:val="clear" w:color="auto" w:fill="FFF1E7"/>
            <w:tcMar>
              <w:left w:w="20" w:type="dxa"/>
              <w:right w:w="20" w:type="dxa"/>
            </w:tcMar>
            <w:vAlign w:val="bottom"/>
          </w:tcPr>
          <w:p w14:paraId="1D025CD7"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CD8"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CD9"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CDA"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CDB"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CDC"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CDD" w14:textId="77777777" w:rsidR="004421F6" w:rsidRDefault="004421F6">
            <w:pPr>
              <w:rPr>
                <w:rFonts w:ascii="宋体"/>
              </w:rPr>
            </w:pPr>
          </w:p>
        </w:tc>
        <w:tc>
          <w:tcPr>
            <w:tcW w:w="0" w:type="auto"/>
            <w:shd w:val="clear" w:color="auto" w:fill="auto"/>
          </w:tcPr>
          <w:p w14:paraId="1D025CDE" w14:textId="77777777" w:rsidR="004421F6" w:rsidRDefault="004421F6">
            <w:pPr>
              <w:rPr>
                <w:rFonts w:ascii="宋体"/>
              </w:rPr>
            </w:pPr>
          </w:p>
        </w:tc>
        <w:tc>
          <w:tcPr>
            <w:tcW w:w="0" w:type="auto"/>
            <w:shd w:val="clear" w:color="auto" w:fill="auto"/>
          </w:tcPr>
          <w:p w14:paraId="1D025CDF" w14:textId="77777777" w:rsidR="004421F6" w:rsidRDefault="004421F6">
            <w:pPr>
              <w:rPr>
                <w:rFonts w:ascii="宋体"/>
              </w:rPr>
            </w:pPr>
          </w:p>
        </w:tc>
        <w:tc>
          <w:tcPr>
            <w:tcW w:w="0" w:type="auto"/>
            <w:shd w:val="clear" w:color="auto" w:fill="auto"/>
          </w:tcPr>
          <w:p w14:paraId="1D025CE0" w14:textId="77777777" w:rsidR="004421F6" w:rsidRDefault="004421F6">
            <w:pPr>
              <w:rPr>
                <w:rFonts w:ascii="宋体"/>
              </w:rPr>
            </w:pPr>
          </w:p>
        </w:tc>
        <w:tc>
          <w:tcPr>
            <w:tcW w:w="0" w:type="auto"/>
            <w:shd w:val="clear" w:color="auto" w:fill="auto"/>
          </w:tcPr>
          <w:p w14:paraId="1D025CE1" w14:textId="77777777" w:rsidR="004421F6" w:rsidRDefault="004421F6">
            <w:pPr>
              <w:rPr>
                <w:rFonts w:ascii="宋体"/>
              </w:rPr>
            </w:pPr>
          </w:p>
        </w:tc>
        <w:tc>
          <w:tcPr>
            <w:tcW w:w="0" w:type="auto"/>
            <w:shd w:val="clear" w:color="auto" w:fill="auto"/>
          </w:tcPr>
          <w:p w14:paraId="1D025CE2" w14:textId="77777777" w:rsidR="004421F6" w:rsidRDefault="004421F6">
            <w:pPr>
              <w:rPr>
                <w:rFonts w:ascii="宋体"/>
              </w:rPr>
            </w:pPr>
          </w:p>
        </w:tc>
        <w:tc>
          <w:tcPr>
            <w:tcW w:w="0" w:type="auto"/>
            <w:shd w:val="clear" w:color="auto" w:fill="auto"/>
          </w:tcPr>
          <w:p w14:paraId="1D025CE3" w14:textId="77777777" w:rsidR="004421F6" w:rsidRDefault="004421F6">
            <w:pPr>
              <w:rPr>
                <w:rFonts w:ascii="宋体"/>
              </w:rPr>
            </w:pPr>
          </w:p>
        </w:tc>
        <w:tc>
          <w:tcPr>
            <w:tcW w:w="0" w:type="auto"/>
            <w:shd w:val="clear" w:color="auto" w:fill="auto"/>
          </w:tcPr>
          <w:p w14:paraId="1D025CE4" w14:textId="77777777" w:rsidR="004421F6" w:rsidRDefault="004421F6">
            <w:pPr>
              <w:rPr>
                <w:rFonts w:ascii="宋体"/>
              </w:rPr>
            </w:pPr>
          </w:p>
        </w:tc>
        <w:tc>
          <w:tcPr>
            <w:tcW w:w="0" w:type="auto"/>
            <w:shd w:val="clear" w:color="auto" w:fill="auto"/>
          </w:tcPr>
          <w:p w14:paraId="1D025CE5" w14:textId="77777777" w:rsidR="004421F6" w:rsidRDefault="004421F6">
            <w:pPr>
              <w:rPr>
                <w:rFonts w:ascii="宋体"/>
              </w:rPr>
            </w:pPr>
          </w:p>
        </w:tc>
        <w:tc>
          <w:tcPr>
            <w:tcW w:w="0" w:type="auto"/>
            <w:shd w:val="clear" w:color="auto" w:fill="auto"/>
          </w:tcPr>
          <w:p w14:paraId="1D025CE6" w14:textId="77777777" w:rsidR="004421F6" w:rsidRDefault="004421F6">
            <w:pPr>
              <w:rPr>
                <w:rFonts w:ascii="宋体"/>
              </w:rPr>
            </w:pPr>
          </w:p>
        </w:tc>
        <w:tc>
          <w:tcPr>
            <w:tcW w:w="0" w:type="auto"/>
            <w:shd w:val="clear" w:color="auto" w:fill="auto"/>
          </w:tcPr>
          <w:p w14:paraId="1D025CE7" w14:textId="77777777" w:rsidR="004421F6" w:rsidRDefault="004421F6">
            <w:pPr>
              <w:rPr>
                <w:rFonts w:ascii="宋体"/>
              </w:rPr>
            </w:pPr>
          </w:p>
        </w:tc>
        <w:tc>
          <w:tcPr>
            <w:tcW w:w="0" w:type="auto"/>
            <w:shd w:val="clear" w:color="auto" w:fill="auto"/>
          </w:tcPr>
          <w:p w14:paraId="1D025CE8" w14:textId="77777777" w:rsidR="004421F6" w:rsidRDefault="004421F6">
            <w:pPr>
              <w:rPr>
                <w:rFonts w:ascii="宋体"/>
              </w:rPr>
            </w:pPr>
          </w:p>
        </w:tc>
        <w:tc>
          <w:tcPr>
            <w:tcW w:w="0" w:type="auto"/>
            <w:shd w:val="clear" w:color="auto" w:fill="auto"/>
          </w:tcPr>
          <w:p w14:paraId="1D025CE9" w14:textId="77777777" w:rsidR="004421F6" w:rsidRDefault="004421F6">
            <w:pPr>
              <w:rPr>
                <w:rFonts w:ascii="宋体"/>
              </w:rPr>
            </w:pPr>
          </w:p>
        </w:tc>
      </w:tr>
      <w:tr w:rsidR="004421F6" w14:paraId="1D025D0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CEB" w14:textId="77777777" w:rsidR="004421F6" w:rsidRDefault="00F15622">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tcBorders>
              <w:top w:val="single" w:sz="8" w:space="0" w:color="808080"/>
            </w:tcBorders>
            <w:shd w:val="clear" w:color="auto" w:fill="FFF1E7"/>
            <w:tcMar>
              <w:top w:w="40" w:type="dxa"/>
              <w:left w:w="20" w:type="dxa"/>
              <w:bottom w:w="40" w:type="dxa"/>
            </w:tcMar>
            <w:vAlign w:val="bottom"/>
          </w:tcPr>
          <w:p w14:paraId="1D025CEC"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5CED"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5CEE"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5CEF"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5CF0" w14:textId="77777777" w:rsidR="004421F6" w:rsidRDefault="00F15622">
            <w:pPr>
              <w:jc w:val="right"/>
              <w:textAlignment w:val="bottom"/>
            </w:pPr>
            <w:r>
              <w:rPr>
                <w:rFonts w:ascii="Arial" w:eastAsia="宋体" w:hAnsi="Arial" w:cs="Arial"/>
                <w:color w:val="000000"/>
                <w:sz w:val="17"/>
                <w:szCs w:val="17"/>
              </w:rPr>
              <w:t>21 </w:t>
            </w:r>
          </w:p>
        </w:tc>
        <w:tc>
          <w:tcPr>
            <w:tcW w:w="0" w:type="auto"/>
            <w:tcBorders>
              <w:top w:val="single" w:sz="8" w:space="0" w:color="808080"/>
            </w:tcBorders>
            <w:shd w:val="clear" w:color="auto" w:fill="auto"/>
            <w:tcMar>
              <w:top w:w="40" w:type="dxa"/>
              <w:bottom w:w="40" w:type="dxa"/>
              <w:right w:w="20" w:type="dxa"/>
            </w:tcMar>
            <w:vAlign w:val="bottom"/>
          </w:tcPr>
          <w:p w14:paraId="1D025CF1"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CF2" w14:textId="77777777" w:rsidR="004421F6" w:rsidRDefault="004421F6">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CF3" w14:textId="77777777" w:rsidR="004421F6" w:rsidRDefault="00F15622">
            <w:pPr>
              <w:jc w:val="right"/>
              <w:textAlignment w:val="bottom"/>
            </w:pPr>
            <w:r>
              <w:rPr>
                <w:rFonts w:ascii="Arial" w:eastAsia="宋体" w:hAnsi="Arial" w:cs="Arial"/>
                <w:color w:val="000000"/>
                <w:sz w:val="17"/>
                <w:szCs w:val="17"/>
              </w:rPr>
              <w:t>Revenues</w:t>
            </w:r>
          </w:p>
        </w:tc>
        <w:tc>
          <w:tcPr>
            <w:tcW w:w="0" w:type="auto"/>
            <w:gridSpan w:val="3"/>
            <w:tcBorders>
              <w:top w:val="single" w:sz="8" w:space="0" w:color="808080"/>
            </w:tcBorders>
            <w:shd w:val="clear" w:color="auto" w:fill="auto"/>
            <w:tcMar>
              <w:left w:w="20" w:type="dxa"/>
              <w:right w:w="20" w:type="dxa"/>
            </w:tcMar>
            <w:vAlign w:val="bottom"/>
          </w:tcPr>
          <w:p w14:paraId="1D025CF4" w14:textId="77777777" w:rsidR="004421F6" w:rsidRDefault="004421F6">
            <w:pPr>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5CF5"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5CF6" w14:textId="77777777" w:rsidR="004421F6" w:rsidRDefault="00F15622">
            <w:pPr>
              <w:jc w:val="right"/>
              <w:textAlignment w:val="bottom"/>
            </w:pPr>
            <w:r>
              <w:rPr>
                <w:rFonts w:ascii="Arial" w:eastAsia="宋体" w:hAnsi="Arial" w:cs="Arial"/>
                <w:color w:val="000000"/>
                <w:sz w:val="17"/>
                <w:szCs w:val="17"/>
              </w:rPr>
              <w:t>14 </w:t>
            </w:r>
          </w:p>
        </w:tc>
        <w:tc>
          <w:tcPr>
            <w:tcW w:w="0" w:type="auto"/>
            <w:tcBorders>
              <w:top w:val="single" w:sz="8" w:space="0" w:color="808080"/>
            </w:tcBorders>
            <w:shd w:val="clear" w:color="auto" w:fill="FFF1E7"/>
            <w:tcMar>
              <w:top w:w="40" w:type="dxa"/>
              <w:bottom w:w="40" w:type="dxa"/>
              <w:right w:w="20" w:type="dxa"/>
            </w:tcMar>
            <w:vAlign w:val="bottom"/>
          </w:tcPr>
          <w:p w14:paraId="1D025CF7"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5CF8"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5CF9" w14:textId="77777777" w:rsidR="004421F6" w:rsidRDefault="00F1562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bottom w:w="40" w:type="dxa"/>
              <w:right w:w="20" w:type="dxa"/>
            </w:tcMar>
            <w:vAlign w:val="bottom"/>
          </w:tcPr>
          <w:p w14:paraId="1D025CFA" w14:textId="77777777" w:rsidR="004421F6" w:rsidRDefault="004421F6">
            <w:pPr>
              <w:jc w:val="right"/>
              <w:rPr>
                <w:rFonts w:ascii="宋体"/>
              </w:rPr>
            </w:pPr>
          </w:p>
        </w:tc>
        <w:tc>
          <w:tcPr>
            <w:tcW w:w="0" w:type="auto"/>
            <w:shd w:val="clear" w:color="auto" w:fill="auto"/>
          </w:tcPr>
          <w:p w14:paraId="1D025CFB" w14:textId="77777777" w:rsidR="004421F6" w:rsidRDefault="004421F6">
            <w:pPr>
              <w:rPr>
                <w:rFonts w:ascii="宋体"/>
              </w:rPr>
            </w:pPr>
          </w:p>
        </w:tc>
        <w:tc>
          <w:tcPr>
            <w:tcW w:w="0" w:type="auto"/>
            <w:shd w:val="clear" w:color="auto" w:fill="auto"/>
          </w:tcPr>
          <w:p w14:paraId="1D025CFC" w14:textId="77777777" w:rsidR="004421F6" w:rsidRDefault="004421F6">
            <w:pPr>
              <w:rPr>
                <w:rFonts w:ascii="宋体"/>
              </w:rPr>
            </w:pPr>
          </w:p>
        </w:tc>
        <w:tc>
          <w:tcPr>
            <w:tcW w:w="0" w:type="auto"/>
            <w:shd w:val="clear" w:color="auto" w:fill="auto"/>
          </w:tcPr>
          <w:p w14:paraId="1D025CFD" w14:textId="77777777" w:rsidR="004421F6" w:rsidRDefault="004421F6">
            <w:pPr>
              <w:rPr>
                <w:rFonts w:ascii="宋体"/>
              </w:rPr>
            </w:pPr>
          </w:p>
        </w:tc>
        <w:tc>
          <w:tcPr>
            <w:tcW w:w="0" w:type="auto"/>
            <w:shd w:val="clear" w:color="auto" w:fill="auto"/>
          </w:tcPr>
          <w:p w14:paraId="1D025CFE" w14:textId="77777777" w:rsidR="004421F6" w:rsidRDefault="004421F6">
            <w:pPr>
              <w:rPr>
                <w:rFonts w:ascii="宋体"/>
              </w:rPr>
            </w:pPr>
          </w:p>
        </w:tc>
        <w:tc>
          <w:tcPr>
            <w:tcW w:w="0" w:type="auto"/>
            <w:shd w:val="clear" w:color="auto" w:fill="auto"/>
          </w:tcPr>
          <w:p w14:paraId="1D025CFF" w14:textId="77777777" w:rsidR="004421F6" w:rsidRDefault="004421F6">
            <w:pPr>
              <w:rPr>
                <w:rFonts w:ascii="宋体"/>
              </w:rPr>
            </w:pPr>
          </w:p>
        </w:tc>
        <w:tc>
          <w:tcPr>
            <w:tcW w:w="0" w:type="auto"/>
            <w:shd w:val="clear" w:color="auto" w:fill="auto"/>
          </w:tcPr>
          <w:p w14:paraId="1D025D00" w14:textId="77777777" w:rsidR="004421F6" w:rsidRDefault="004421F6">
            <w:pPr>
              <w:rPr>
                <w:rFonts w:ascii="宋体"/>
              </w:rPr>
            </w:pPr>
          </w:p>
        </w:tc>
        <w:tc>
          <w:tcPr>
            <w:tcW w:w="0" w:type="auto"/>
            <w:shd w:val="clear" w:color="auto" w:fill="auto"/>
          </w:tcPr>
          <w:p w14:paraId="1D025D01" w14:textId="77777777" w:rsidR="004421F6" w:rsidRDefault="004421F6">
            <w:pPr>
              <w:rPr>
                <w:rFonts w:ascii="宋体"/>
              </w:rPr>
            </w:pPr>
          </w:p>
        </w:tc>
        <w:tc>
          <w:tcPr>
            <w:tcW w:w="0" w:type="auto"/>
            <w:shd w:val="clear" w:color="auto" w:fill="auto"/>
          </w:tcPr>
          <w:p w14:paraId="1D025D02" w14:textId="77777777" w:rsidR="004421F6" w:rsidRDefault="004421F6">
            <w:pPr>
              <w:rPr>
                <w:rFonts w:ascii="宋体"/>
              </w:rPr>
            </w:pPr>
          </w:p>
        </w:tc>
        <w:tc>
          <w:tcPr>
            <w:tcW w:w="0" w:type="auto"/>
            <w:shd w:val="clear" w:color="auto" w:fill="auto"/>
          </w:tcPr>
          <w:p w14:paraId="1D025D03" w14:textId="77777777" w:rsidR="004421F6" w:rsidRDefault="004421F6">
            <w:pPr>
              <w:rPr>
                <w:rFonts w:ascii="宋体"/>
              </w:rPr>
            </w:pPr>
          </w:p>
        </w:tc>
        <w:tc>
          <w:tcPr>
            <w:tcW w:w="0" w:type="auto"/>
            <w:shd w:val="clear" w:color="auto" w:fill="auto"/>
          </w:tcPr>
          <w:p w14:paraId="1D025D04" w14:textId="77777777" w:rsidR="004421F6" w:rsidRDefault="004421F6">
            <w:pPr>
              <w:rPr>
                <w:rFonts w:ascii="宋体"/>
              </w:rPr>
            </w:pPr>
          </w:p>
        </w:tc>
        <w:tc>
          <w:tcPr>
            <w:tcW w:w="0" w:type="auto"/>
            <w:shd w:val="clear" w:color="auto" w:fill="auto"/>
          </w:tcPr>
          <w:p w14:paraId="1D025D05" w14:textId="77777777" w:rsidR="004421F6" w:rsidRDefault="004421F6">
            <w:pPr>
              <w:rPr>
                <w:rFonts w:ascii="宋体"/>
              </w:rPr>
            </w:pPr>
          </w:p>
        </w:tc>
        <w:tc>
          <w:tcPr>
            <w:tcW w:w="0" w:type="auto"/>
            <w:shd w:val="clear" w:color="auto" w:fill="auto"/>
          </w:tcPr>
          <w:p w14:paraId="1D025D06" w14:textId="77777777" w:rsidR="004421F6" w:rsidRDefault="004421F6">
            <w:pPr>
              <w:rPr>
                <w:rFonts w:ascii="宋体"/>
              </w:rPr>
            </w:pPr>
          </w:p>
        </w:tc>
      </w:tr>
      <w:tr w:rsidR="004421F6" w14:paraId="1D025D2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D08" w14:textId="77777777" w:rsidR="004421F6" w:rsidRDefault="00F15622">
            <w:pPr>
              <w:textAlignment w:val="bottom"/>
            </w:pPr>
            <w:r>
              <w:rPr>
                <w:rFonts w:ascii="Arial" w:eastAsia="宋体" w:hAnsi="Arial" w:cs="Arial"/>
                <w:color w:val="000000"/>
                <w:sz w:val="17"/>
                <w:szCs w:val="17"/>
              </w:rPr>
              <w:t>Foreign exchange forwards</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D09" w14:textId="77777777" w:rsidR="004421F6" w:rsidRDefault="00F15622">
            <w:pPr>
              <w:jc w:val="right"/>
              <w:textAlignment w:val="bottom"/>
            </w:pPr>
            <w:r>
              <w:rPr>
                <w:rFonts w:ascii="Arial" w:eastAsia="宋体" w:hAnsi="Arial" w:cs="Arial"/>
                <w:color w:val="000000"/>
                <w:sz w:val="17"/>
                <w:szCs w:val="17"/>
              </w:rPr>
              <w:t>(371)</w:t>
            </w:r>
          </w:p>
        </w:tc>
        <w:tc>
          <w:tcPr>
            <w:tcW w:w="0" w:type="auto"/>
            <w:tcBorders>
              <w:top w:val="single" w:sz="8" w:space="0" w:color="808080"/>
            </w:tcBorders>
            <w:shd w:val="clear" w:color="auto" w:fill="FFF1E7"/>
            <w:tcMar>
              <w:top w:w="40" w:type="dxa"/>
              <w:bottom w:w="40" w:type="dxa"/>
              <w:right w:w="20" w:type="dxa"/>
            </w:tcMar>
            <w:vAlign w:val="bottom"/>
          </w:tcPr>
          <w:p w14:paraId="1D025D0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D0B" w14:textId="77777777" w:rsidR="004421F6" w:rsidRDefault="00F15622">
            <w:pPr>
              <w:jc w:val="right"/>
              <w:textAlignment w:val="bottom"/>
            </w:pPr>
            <w:r>
              <w:rPr>
                <w:rFonts w:ascii="Arial" w:eastAsia="宋体" w:hAnsi="Arial" w:cs="Arial"/>
                <w:color w:val="000000"/>
                <w:sz w:val="17"/>
                <w:szCs w:val="17"/>
              </w:rPr>
              <w:t>109 </w:t>
            </w:r>
          </w:p>
        </w:tc>
        <w:tc>
          <w:tcPr>
            <w:tcW w:w="0" w:type="auto"/>
            <w:tcBorders>
              <w:top w:val="single" w:sz="8" w:space="0" w:color="808080"/>
            </w:tcBorders>
            <w:shd w:val="clear" w:color="auto" w:fill="auto"/>
            <w:tcMar>
              <w:top w:w="40" w:type="dxa"/>
              <w:bottom w:w="40" w:type="dxa"/>
              <w:right w:w="20" w:type="dxa"/>
            </w:tcMar>
            <w:vAlign w:val="bottom"/>
          </w:tcPr>
          <w:p w14:paraId="1D025D0C"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D0D" w14:textId="77777777" w:rsidR="004421F6" w:rsidRDefault="004421F6">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D0E" w14:textId="77777777" w:rsidR="004421F6" w:rsidRDefault="00F15622">
            <w:pPr>
              <w:jc w:val="right"/>
              <w:textAlignment w:val="bottom"/>
            </w:pPr>
            <w:r>
              <w:rPr>
                <w:rFonts w:ascii="Arial" w:eastAsia="宋体" w:hAnsi="Arial" w:cs="Arial"/>
                <w:color w:val="000000"/>
                <w:sz w:val="17"/>
                <w:szCs w:val="17"/>
              </w:rPr>
              <w:t>Cost of sales</w:t>
            </w:r>
          </w:p>
        </w:tc>
        <w:tc>
          <w:tcPr>
            <w:tcW w:w="0" w:type="auto"/>
            <w:gridSpan w:val="3"/>
            <w:tcBorders>
              <w:top w:val="single" w:sz="8" w:space="0" w:color="808080"/>
            </w:tcBorders>
            <w:shd w:val="clear" w:color="auto" w:fill="auto"/>
            <w:tcMar>
              <w:left w:w="20" w:type="dxa"/>
              <w:right w:w="20" w:type="dxa"/>
            </w:tcMar>
            <w:vAlign w:val="bottom"/>
          </w:tcPr>
          <w:p w14:paraId="1D025D0F" w14:textId="77777777" w:rsidR="004421F6" w:rsidRDefault="004421F6">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D10" w14:textId="77777777" w:rsidR="004421F6" w:rsidRDefault="00F15622">
            <w:pPr>
              <w:jc w:val="right"/>
              <w:textAlignment w:val="bottom"/>
            </w:pPr>
            <w:r>
              <w:rPr>
                <w:rFonts w:ascii="Arial" w:eastAsia="宋体" w:hAnsi="Arial" w:cs="Arial"/>
                <w:color w:val="000000"/>
                <w:sz w:val="17"/>
                <w:szCs w:val="17"/>
              </w:rPr>
              <w:t>114 </w:t>
            </w:r>
          </w:p>
        </w:tc>
        <w:tc>
          <w:tcPr>
            <w:tcW w:w="0" w:type="auto"/>
            <w:tcBorders>
              <w:top w:val="single" w:sz="8" w:space="0" w:color="808080"/>
            </w:tcBorders>
            <w:shd w:val="clear" w:color="auto" w:fill="FFF1E7"/>
            <w:tcMar>
              <w:top w:w="40" w:type="dxa"/>
              <w:bottom w:w="40" w:type="dxa"/>
              <w:right w:w="20" w:type="dxa"/>
            </w:tcMar>
            <w:vAlign w:val="bottom"/>
          </w:tcPr>
          <w:p w14:paraId="1D025D1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D12" w14:textId="77777777" w:rsidR="004421F6" w:rsidRDefault="00F15622">
            <w:pPr>
              <w:jc w:val="right"/>
              <w:textAlignment w:val="bottom"/>
            </w:pPr>
            <w:r>
              <w:rPr>
                <w:rFonts w:ascii="Arial" w:eastAsia="宋体" w:hAnsi="Arial" w:cs="Arial"/>
                <w:color w:val="000000"/>
                <w:sz w:val="17"/>
                <w:szCs w:val="17"/>
              </w:rPr>
              <w:t>75 </w:t>
            </w:r>
          </w:p>
        </w:tc>
        <w:tc>
          <w:tcPr>
            <w:tcW w:w="0" w:type="auto"/>
            <w:tcBorders>
              <w:top w:val="single" w:sz="8" w:space="0" w:color="808080"/>
            </w:tcBorders>
            <w:shd w:val="clear" w:color="auto" w:fill="auto"/>
            <w:tcMar>
              <w:top w:w="40" w:type="dxa"/>
              <w:bottom w:w="40" w:type="dxa"/>
              <w:right w:w="20" w:type="dxa"/>
            </w:tcMar>
            <w:vAlign w:val="bottom"/>
          </w:tcPr>
          <w:p w14:paraId="1D025D13" w14:textId="77777777" w:rsidR="004421F6" w:rsidRDefault="004421F6">
            <w:pPr>
              <w:jc w:val="right"/>
              <w:rPr>
                <w:rFonts w:ascii="宋体"/>
              </w:rPr>
            </w:pPr>
          </w:p>
        </w:tc>
        <w:tc>
          <w:tcPr>
            <w:tcW w:w="0" w:type="auto"/>
            <w:shd w:val="clear" w:color="auto" w:fill="auto"/>
          </w:tcPr>
          <w:p w14:paraId="1D025D14" w14:textId="77777777" w:rsidR="004421F6" w:rsidRDefault="004421F6">
            <w:pPr>
              <w:rPr>
                <w:rFonts w:ascii="宋体"/>
              </w:rPr>
            </w:pPr>
          </w:p>
        </w:tc>
        <w:tc>
          <w:tcPr>
            <w:tcW w:w="0" w:type="auto"/>
            <w:shd w:val="clear" w:color="auto" w:fill="auto"/>
          </w:tcPr>
          <w:p w14:paraId="1D025D15" w14:textId="77777777" w:rsidR="004421F6" w:rsidRDefault="004421F6">
            <w:pPr>
              <w:rPr>
                <w:rFonts w:ascii="宋体"/>
              </w:rPr>
            </w:pPr>
          </w:p>
        </w:tc>
        <w:tc>
          <w:tcPr>
            <w:tcW w:w="0" w:type="auto"/>
            <w:shd w:val="clear" w:color="auto" w:fill="auto"/>
          </w:tcPr>
          <w:p w14:paraId="1D025D16" w14:textId="77777777" w:rsidR="004421F6" w:rsidRDefault="004421F6">
            <w:pPr>
              <w:rPr>
                <w:rFonts w:ascii="宋体"/>
              </w:rPr>
            </w:pPr>
          </w:p>
        </w:tc>
        <w:tc>
          <w:tcPr>
            <w:tcW w:w="0" w:type="auto"/>
            <w:shd w:val="clear" w:color="auto" w:fill="auto"/>
          </w:tcPr>
          <w:p w14:paraId="1D025D17" w14:textId="77777777" w:rsidR="004421F6" w:rsidRDefault="004421F6">
            <w:pPr>
              <w:rPr>
                <w:rFonts w:ascii="宋体"/>
              </w:rPr>
            </w:pPr>
          </w:p>
        </w:tc>
        <w:tc>
          <w:tcPr>
            <w:tcW w:w="0" w:type="auto"/>
            <w:shd w:val="clear" w:color="auto" w:fill="auto"/>
          </w:tcPr>
          <w:p w14:paraId="1D025D18" w14:textId="77777777" w:rsidR="004421F6" w:rsidRDefault="004421F6">
            <w:pPr>
              <w:rPr>
                <w:rFonts w:ascii="宋体"/>
              </w:rPr>
            </w:pPr>
          </w:p>
        </w:tc>
        <w:tc>
          <w:tcPr>
            <w:tcW w:w="0" w:type="auto"/>
            <w:shd w:val="clear" w:color="auto" w:fill="auto"/>
          </w:tcPr>
          <w:p w14:paraId="1D025D19" w14:textId="77777777" w:rsidR="004421F6" w:rsidRDefault="004421F6">
            <w:pPr>
              <w:rPr>
                <w:rFonts w:ascii="宋体"/>
              </w:rPr>
            </w:pPr>
          </w:p>
        </w:tc>
        <w:tc>
          <w:tcPr>
            <w:tcW w:w="0" w:type="auto"/>
            <w:shd w:val="clear" w:color="auto" w:fill="auto"/>
          </w:tcPr>
          <w:p w14:paraId="1D025D1A" w14:textId="77777777" w:rsidR="004421F6" w:rsidRDefault="004421F6">
            <w:pPr>
              <w:rPr>
                <w:rFonts w:ascii="宋体"/>
              </w:rPr>
            </w:pPr>
          </w:p>
        </w:tc>
        <w:tc>
          <w:tcPr>
            <w:tcW w:w="0" w:type="auto"/>
            <w:shd w:val="clear" w:color="auto" w:fill="auto"/>
          </w:tcPr>
          <w:p w14:paraId="1D025D1B" w14:textId="77777777" w:rsidR="004421F6" w:rsidRDefault="004421F6">
            <w:pPr>
              <w:rPr>
                <w:rFonts w:ascii="宋体"/>
              </w:rPr>
            </w:pPr>
          </w:p>
        </w:tc>
        <w:tc>
          <w:tcPr>
            <w:tcW w:w="0" w:type="auto"/>
            <w:shd w:val="clear" w:color="auto" w:fill="auto"/>
          </w:tcPr>
          <w:p w14:paraId="1D025D1C" w14:textId="77777777" w:rsidR="004421F6" w:rsidRDefault="004421F6">
            <w:pPr>
              <w:rPr>
                <w:rFonts w:ascii="宋体"/>
              </w:rPr>
            </w:pPr>
          </w:p>
        </w:tc>
        <w:tc>
          <w:tcPr>
            <w:tcW w:w="0" w:type="auto"/>
            <w:shd w:val="clear" w:color="auto" w:fill="auto"/>
          </w:tcPr>
          <w:p w14:paraId="1D025D1D" w14:textId="77777777" w:rsidR="004421F6" w:rsidRDefault="004421F6">
            <w:pPr>
              <w:rPr>
                <w:rFonts w:ascii="宋体"/>
              </w:rPr>
            </w:pPr>
          </w:p>
        </w:tc>
        <w:tc>
          <w:tcPr>
            <w:tcW w:w="0" w:type="auto"/>
            <w:shd w:val="clear" w:color="auto" w:fill="auto"/>
          </w:tcPr>
          <w:p w14:paraId="1D025D1E" w14:textId="77777777" w:rsidR="004421F6" w:rsidRDefault="004421F6">
            <w:pPr>
              <w:rPr>
                <w:rFonts w:ascii="宋体"/>
              </w:rPr>
            </w:pPr>
          </w:p>
        </w:tc>
        <w:tc>
          <w:tcPr>
            <w:tcW w:w="0" w:type="auto"/>
            <w:shd w:val="clear" w:color="auto" w:fill="auto"/>
          </w:tcPr>
          <w:p w14:paraId="1D025D1F" w14:textId="77777777" w:rsidR="004421F6" w:rsidRDefault="004421F6">
            <w:pPr>
              <w:rPr>
                <w:rFonts w:ascii="宋体"/>
              </w:rPr>
            </w:pPr>
          </w:p>
        </w:tc>
      </w:tr>
      <w:tr w:rsidR="004421F6" w14:paraId="1D025D39"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1D025D21" w14:textId="77777777" w:rsidR="004421F6" w:rsidRDefault="00F15622">
            <w:pPr>
              <w:textAlignment w:val="center"/>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D22"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bottom w:w="40" w:type="dxa"/>
              <w:right w:w="20" w:type="dxa"/>
            </w:tcMar>
            <w:vAlign w:val="bottom"/>
          </w:tcPr>
          <w:p w14:paraId="1D025D23"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D24" w14:textId="77777777" w:rsidR="004421F6" w:rsidRDefault="00F15622">
            <w:pPr>
              <w:jc w:val="right"/>
              <w:textAlignment w:val="bottom"/>
            </w:pPr>
            <w:r>
              <w:rPr>
                <w:rFonts w:ascii="Arial" w:eastAsia="宋体" w:hAnsi="Arial" w:cs="Arial"/>
                <w:color w:val="000000"/>
                <w:sz w:val="17"/>
                <w:szCs w:val="17"/>
              </w:rPr>
              <w:t>33 </w:t>
            </w:r>
          </w:p>
        </w:tc>
        <w:tc>
          <w:tcPr>
            <w:tcW w:w="0" w:type="auto"/>
            <w:tcBorders>
              <w:top w:val="single" w:sz="8" w:space="0" w:color="808080"/>
            </w:tcBorders>
            <w:shd w:val="clear" w:color="auto" w:fill="auto"/>
            <w:tcMar>
              <w:top w:w="40" w:type="dxa"/>
              <w:bottom w:w="40" w:type="dxa"/>
              <w:right w:w="20" w:type="dxa"/>
            </w:tcMar>
            <w:vAlign w:val="bottom"/>
          </w:tcPr>
          <w:p w14:paraId="1D025D25"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D26" w14:textId="77777777" w:rsidR="004421F6" w:rsidRDefault="004421F6">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D27" w14:textId="77777777" w:rsidR="004421F6" w:rsidRDefault="00F15622">
            <w:pPr>
              <w:jc w:val="right"/>
              <w:textAlignment w:val="bottom"/>
            </w:pPr>
            <w:r>
              <w:rPr>
                <w:rFonts w:ascii="Arial" w:eastAsia="宋体" w:hAnsi="Arial" w:cs="Arial"/>
                <w:color w:val="000000"/>
                <w:sz w:val="17"/>
                <w:szCs w:val="17"/>
              </w:rPr>
              <w:t>Demand creation expense</w:t>
            </w:r>
          </w:p>
        </w:tc>
        <w:tc>
          <w:tcPr>
            <w:tcW w:w="0" w:type="auto"/>
            <w:gridSpan w:val="3"/>
            <w:tcBorders>
              <w:top w:val="single" w:sz="8" w:space="0" w:color="808080"/>
            </w:tcBorders>
            <w:shd w:val="clear" w:color="auto" w:fill="auto"/>
            <w:tcMar>
              <w:left w:w="20" w:type="dxa"/>
              <w:right w:w="20" w:type="dxa"/>
            </w:tcMar>
            <w:vAlign w:val="bottom"/>
          </w:tcPr>
          <w:p w14:paraId="1D025D28" w14:textId="77777777" w:rsidR="004421F6" w:rsidRDefault="004421F6">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D29"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bottom w:w="40" w:type="dxa"/>
              <w:right w:w="20" w:type="dxa"/>
            </w:tcMar>
            <w:vAlign w:val="bottom"/>
          </w:tcPr>
          <w:p w14:paraId="1D025D2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D2B"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5D2C" w14:textId="77777777" w:rsidR="004421F6" w:rsidRDefault="004421F6">
            <w:pPr>
              <w:jc w:val="right"/>
              <w:rPr>
                <w:rFonts w:ascii="宋体"/>
              </w:rPr>
            </w:pPr>
          </w:p>
        </w:tc>
        <w:tc>
          <w:tcPr>
            <w:tcW w:w="0" w:type="auto"/>
            <w:shd w:val="clear" w:color="auto" w:fill="auto"/>
          </w:tcPr>
          <w:p w14:paraId="1D025D2D" w14:textId="77777777" w:rsidR="004421F6" w:rsidRDefault="004421F6">
            <w:pPr>
              <w:rPr>
                <w:rFonts w:ascii="宋体"/>
              </w:rPr>
            </w:pPr>
          </w:p>
        </w:tc>
        <w:tc>
          <w:tcPr>
            <w:tcW w:w="0" w:type="auto"/>
            <w:shd w:val="clear" w:color="auto" w:fill="auto"/>
          </w:tcPr>
          <w:p w14:paraId="1D025D2E" w14:textId="77777777" w:rsidR="004421F6" w:rsidRDefault="004421F6">
            <w:pPr>
              <w:rPr>
                <w:rFonts w:ascii="宋体"/>
              </w:rPr>
            </w:pPr>
          </w:p>
        </w:tc>
        <w:tc>
          <w:tcPr>
            <w:tcW w:w="0" w:type="auto"/>
            <w:shd w:val="clear" w:color="auto" w:fill="auto"/>
          </w:tcPr>
          <w:p w14:paraId="1D025D2F" w14:textId="77777777" w:rsidR="004421F6" w:rsidRDefault="004421F6">
            <w:pPr>
              <w:rPr>
                <w:rFonts w:ascii="宋体"/>
              </w:rPr>
            </w:pPr>
          </w:p>
        </w:tc>
        <w:tc>
          <w:tcPr>
            <w:tcW w:w="0" w:type="auto"/>
            <w:shd w:val="clear" w:color="auto" w:fill="auto"/>
          </w:tcPr>
          <w:p w14:paraId="1D025D30" w14:textId="77777777" w:rsidR="004421F6" w:rsidRDefault="004421F6">
            <w:pPr>
              <w:rPr>
                <w:rFonts w:ascii="宋体"/>
              </w:rPr>
            </w:pPr>
          </w:p>
        </w:tc>
        <w:tc>
          <w:tcPr>
            <w:tcW w:w="0" w:type="auto"/>
            <w:shd w:val="clear" w:color="auto" w:fill="auto"/>
          </w:tcPr>
          <w:p w14:paraId="1D025D31" w14:textId="77777777" w:rsidR="004421F6" w:rsidRDefault="004421F6">
            <w:pPr>
              <w:rPr>
                <w:rFonts w:ascii="宋体"/>
              </w:rPr>
            </w:pPr>
          </w:p>
        </w:tc>
        <w:tc>
          <w:tcPr>
            <w:tcW w:w="0" w:type="auto"/>
            <w:shd w:val="clear" w:color="auto" w:fill="auto"/>
          </w:tcPr>
          <w:p w14:paraId="1D025D32" w14:textId="77777777" w:rsidR="004421F6" w:rsidRDefault="004421F6">
            <w:pPr>
              <w:rPr>
                <w:rFonts w:ascii="宋体"/>
              </w:rPr>
            </w:pPr>
          </w:p>
        </w:tc>
        <w:tc>
          <w:tcPr>
            <w:tcW w:w="0" w:type="auto"/>
            <w:shd w:val="clear" w:color="auto" w:fill="auto"/>
          </w:tcPr>
          <w:p w14:paraId="1D025D33" w14:textId="77777777" w:rsidR="004421F6" w:rsidRDefault="004421F6">
            <w:pPr>
              <w:rPr>
                <w:rFonts w:ascii="宋体"/>
              </w:rPr>
            </w:pPr>
          </w:p>
        </w:tc>
        <w:tc>
          <w:tcPr>
            <w:tcW w:w="0" w:type="auto"/>
            <w:shd w:val="clear" w:color="auto" w:fill="auto"/>
          </w:tcPr>
          <w:p w14:paraId="1D025D34" w14:textId="77777777" w:rsidR="004421F6" w:rsidRDefault="004421F6">
            <w:pPr>
              <w:rPr>
                <w:rFonts w:ascii="宋体"/>
              </w:rPr>
            </w:pPr>
          </w:p>
        </w:tc>
        <w:tc>
          <w:tcPr>
            <w:tcW w:w="0" w:type="auto"/>
            <w:shd w:val="clear" w:color="auto" w:fill="auto"/>
          </w:tcPr>
          <w:p w14:paraId="1D025D35" w14:textId="77777777" w:rsidR="004421F6" w:rsidRDefault="004421F6">
            <w:pPr>
              <w:rPr>
                <w:rFonts w:ascii="宋体"/>
              </w:rPr>
            </w:pPr>
          </w:p>
        </w:tc>
        <w:tc>
          <w:tcPr>
            <w:tcW w:w="0" w:type="auto"/>
            <w:shd w:val="clear" w:color="auto" w:fill="auto"/>
          </w:tcPr>
          <w:p w14:paraId="1D025D36" w14:textId="77777777" w:rsidR="004421F6" w:rsidRDefault="004421F6">
            <w:pPr>
              <w:rPr>
                <w:rFonts w:ascii="宋体"/>
              </w:rPr>
            </w:pPr>
          </w:p>
        </w:tc>
        <w:tc>
          <w:tcPr>
            <w:tcW w:w="0" w:type="auto"/>
            <w:shd w:val="clear" w:color="auto" w:fill="auto"/>
          </w:tcPr>
          <w:p w14:paraId="1D025D37" w14:textId="77777777" w:rsidR="004421F6" w:rsidRDefault="004421F6">
            <w:pPr>
              <w:rPr>
                <w:rFonts w:ascii="宋体"/>
              </w:rPr>
            </w:pPr>
          </w:p>
        </w:tc>
        <w:tc>
          <w:tcPr>
            <w:tcW w:w="0" w:type="auto"/>
            <w:shd w:val="clear" w:color="auto" w:fill="auto"/>
          </w:tcPr>
          <w:p w14:paraId="1D025D38" w14:textId="77777777" w:rsidR="004421F6" w:rsidRDefault="004421F6">
            <w:pPr>
              <w:rPr>
                <w:rFonts w:ascii="宋体"/>
              </w:rPr>
            </w:pPr>
          </w:p>
        </w:tc>
      </w:tr>
      <w:tr w:rsidR="004421F6" w14:paraId="1D025D52"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D3A" w14:textId="77777777" w:rsidR="004421F6" w:rsidRDefault="00F15622">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D3B" w14:textId="77777777" w:rsidR="004421F6" w:rsidRDefault="00F15622">
            <w:pPr>
              <w:jc w:val="right"/>
              <w:textAlignment w:val="bottom"/>
            </w:pPr>
            <w:r>
              <w:rPr>
                <w:rFonts w:ascii="Arial" w:eastAsia="宋体" w:hAnsi="Arial" w:cs="Arial"/>
                <w:color w:val="000000"/>
                <w:sz w:val="17"/>
                <w:szCs w:val="17"/>
              </w:rPr>
              <w:t>(160)</w:t>
            </w:r>
          </w:p>
        </w:tc>
        <w:tc>
          <w:tcPr>
            <w:tcW w:w="0" w:type="auto"/>
            <w:tcBorders>
              <w:top w:val="single" w:sz="8" w:space="0" w:color="808080"/>
            </w:tcBorders>
            <w:shd w:val="clear" w:color="auto" w:fill="FFF1E7"/>
            <w:tcMar>
              <w:top w:w="40" w:type="dxa"/>
              <w:bottom w:w="40" w:type="dxa"/>
              <w:right w:w="20" w:type="dxa"/>
            </w:tcMar>
            <w:vAlign w:val="bottom"/>
          </w:tcPr>
          <w:p w14:paraId="1D025D3C"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D3D"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5D3E"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D3F" w14:textId="77777777" w:rsidR="004421F6" w:rsidRDefault="004421F6">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D40" w14:textId="77777777" w:rsidR="004421F6" w:rsidRDefault="00F15622">
            <w:pPr>
              <w:jc w:val="right"/>
              <w:textAlignment w:val="bottom"/>
            </w:pPr>
            <w:r>
              <w:rPr>
                <w:rFonts w:ascii="Arial" w:eastAsia="宋体" w:hAnsi="Arial" w:cs="Arial"/>
                <w:color w:val="000000"/>
                <w:sz w:val="17"/>
                <w:szCs w:val="17"/>
              </w:rPr>
              <w:t>Other (income) expense, net</w:t>
            </w:r>
          </w:p>
        </w:tc>
        <w:tc>
          <w:tcPr>
            <w:tcW w:w="0" w:type="auto"/>
            <w:gridSpan w:val="3"/>
            <w:tcBorders>
              <w:top w:val="single" w:sz="8" w:space="0" w:color="808080"/>
            </w:tcBorders>
            <w:shd w:val="clear" w:color="auto" w:fill="auto"/>
            <w:tcMar>
              <w:left w:w="20" w:type="dxa"/>
              <w:right w:w="20" w:type="dxa"/>
            </w:tcMar>
            <w:vAlign w:val="bottom"/>
          </w:tcPr>
          <w:p w14:paraId="1D025D41" w14:textId="77777777" w:rsidR="004421F6" w:rsidRDefault="004421F6">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D42" w14:textId="77777777" w:rsidR="004421F6" w:rsidRDefault="00F1562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FFF1E7"/>
            <w:tcMar>
              <w:top w:w="40" w:type="dxa"/>
              <w:bottom w:w="40" w:type="dxa"/>
              <w:right w:w="20" w:type="dxa"/>
            </w:tcMar>
            <w:vAlign w:val="bottom"/>
          </w:tcPr>
          <w:p w14:paraId="1D025D43"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D44" w14:textId="77777777" w:rsidR="004421F6" w:rsidRDefault="00F15622">
            <w:pPr>
              <w:jc w:val="right"/>
              <w:textAlignment w:val="bottom"/>
            </w:pPr>
            <w:r>
              <w:rPr>
                <w:rFonts w:ascii="Arial" w:eastAsia="宋体" w:hAnsi="Arial" w:cs="Arial"/>
                <w:color w:val="000000"/>
                <w:sz w:val="17"/>
                <w:szCs w:val="17"/>
              </w:rPr>
              <w:t>46 </w:t>
            </w:r>
          </w:p>
        </w:tc>
        <w:tc>
          <w:tcPr>
            <w:tcW w:w="0" w:type="auto"/>
            <w:tcBorders>
              <w:top w:val="single" w:sz="8" w:space="0" w:color="808080"/>
            </w:tcBorders>
            <w:shd w:val="clear" w:color="auto" w:fill="auto"/>
            <w:tcMar>
              <w:top w:w="40" w:type="dxa"/>
              <w:bottom w:w="40" w:type="dxa"/>
              <w:right w:w="20" w:type="dxa"/>
            </w:tcMar>
            <w:vAlign w:val="bottom"/>
          </w:tcPr>
          <w:p w14:paraId="1D025D45" w14:textId="77777777" w:rsidR="004421F6" w:rsidRDefault="004421F6">
            <w:pPr>
              <w:jc w:val="right"/>
              <w:rPr>
                <w:rFonts w:ascii="宋体"/>
              </w:rPr>
            </w:pPr>
          </w:p>
        </w:tc>
        <w:tc>
          <w:tcPr>
            <w:tcW w:w="0" w:type="auto"/>
            <w:shd w:val="clear" w:color="auto" w:fill="auto"/>
          </w:tcPr>
          <w:p w14:paraId="1D025D46" w14:textId="77777777" w:rsidR="004421F6" w:rsidRDefault="004421F6">
            <w:pPr>
              <w:rPr>
                <w:rFonts w:ascii="宋体"/>
              </w:rPr>
            </w:pPr>
          </w:p>
        </w:tc>
        <w:tc>
          <w:tcPr>
            <w:tcW w:w="0" w:type="auto"/>
            <w:shd w:val="clear" w:color="auto" w:fill="auto"/>
          </w:tcPr>
          <w:p w14:paraId="1D025D47" w14:textId="77777777" w:rsidR="004421F6" w:rsidRDefault="004421F6">
            <w:pPr>
              <w:rPr>
                <w:rFonts w:ascii="宋体"/>
              </w:rPr>
            </w:pPr>
          </w:p>
        </w:tc>
        <w:tc>
          <w:tcPr>
            <w:tcW w:w="0" w:type="auto"/>
            <w:shd w:val="clear" w:color="auto" w:fill="auto"/>
          </w:tcPr>
          <w:p w14:paraId="1D025D48" w14:textId="77777777" w:rsidR="004421F6" w:rsidRDefault="004421F6">
            <w:pPr>
              <w:rPr>
                <w:rFonts w:ascii="宋体"/>
              </w:rPr>
            </w:pPr>
          </w:p>
        </w:tc>
        <w:tc>
          <w:tcPr>
            <w:tcW w:w="0" w:type="auto"/>
            <w:shd w:val="clear" w:color="auto" w:fill="auto"/>
          </w:tcPr>
          <w:p w14:paraId="1D025D49" w14:textId="77777777" w:rsidR="004421F6" w:rsidRDefault="004421F6">
            <w:pPr>
              <w:rPr>
                <w:rFonts w:ascii="宋体"/>
              </w:rPr>
            </w:pPr>
          </w:p>
        </w:tc>
        <w:tc>
          <w:tcPr>
            <w:tcW w:w="0" w:type="auto"/>
            <w:shd w:val="clear" w:color="auto" w:fill="auto"/>
          </w:tcPr>
          <w:p w14:paraId="1D025D4A" w14:textId="77777777" w:rsidR="004421F6" w:rsidRDefault="004421F6">
            <w:pPr>
              <w:rPr>
                <w:rFonts w:ascii="宋体"/>
              </w:rPr>
            </w:pPr>
          </w:p>
        </w:tc>
        <w:tc>
          <w:tcPr>
            <w:tcW w:w="0" w:type="auto"/>
            <w:shd w:val="clear" w:color="auto" w:fill="auto"/>
          </w:tcPr>
          <w:p w14:paraId="1D025D4B" w14:textId="77777777" w:rsidR="004421F6" w:rsidRDefault="004421F6">
            <w:pPr>
              <w:rPr>
                <w:rFonts w:ascii="宋体"/>
              </w:rPr>
            </w:pPr>
          </w:p>
        </w:tc>
        <w:tc>
          <w:tcPr>
            <w:tcW w:w="0" w:type="auto"/>
            <w:shd w:val="clear" w:color="auto" w:fill="auto"/>
          </w:tcPr>
          <w:p w14:paraId="1D025D4C" w14:textId="77777777" w:rsidR="004421F6" w:rsidRDefault="004421F6">
            <w:pPr>
              <w:rPr>
                <w:rFonts w:ascii="宋体"/>
              </w:rPr>
            </w:pPr>
          </w:p>
        </w:tc>
        <w:tc>
          <w:tcPr>
            <w:tcW w:w="0" w:type="auto"/>
            <w:shd w:val="clear" w:color="auto" w:fill="auto"/>
          </w:tcPr>
          <w:p w14:paraId="1D025D4D" w14:textId="77777777" w:rsidR="004421F6" w:rsidRDefault="004421F6">
            <w:pPr>
              <w:rPr>
                <w:rFonts w:ascii="宋体"/>
              </w:rPr>
            </w:pPr>
          </w:p>
        </w:tc>
        <w:tc>
          <w:tcPr>
            <w:tcW w:w="0" w:type="auto"/>
            <w:shd w:val="clear" w:color="auto" w:fill="auto"/>
          </w:tcPr>
          <w:p w14:paraId="1D025D4E" w14:textId="77777777" w:rsidR="004421F6" w:rsidRDefault="004421F6">
            <w:pPr>
              <w:rPr>
                <w:rFonts w:ascii="宋体"/>
              </w:rPr>
            </w:pPr>
          </w:p>
        </w:tc>
        <w:tc>
          <w:tcPr>
            <w:tcW w:w="0" w:type="auto"/>
            <w:shd w:val="clear" w:color="auto" w:fill="auto"/>
          </w:tcPr>
          <w:p w14:paraId="1D025D4F" w14:textId="77777777" w:rsidR="004421F6" w:rsidRDefault="004421F6">
            <w:pPr>
              <w:rPr>
                <w:rFonts w:ascii="宋体"/>
              </w:rPr>
            </w:pPr>
          </w:p>
        </w:tc>
        <w:tc>
          <w:tcPr>
            <w:tcW w:w="0" w:type="auto"/>
            <w:shd w:val="clear" w:color="auto" w:fill="auto"/>
          </w:tcPr>
          <w:p w14:paraId="1D025D50" w14:textId="77777777" w:rsidR="004421F6" w:rsidRDefault="004421F6">
            <w:pPr>
              <w:rPr>
                <w:rFonts w:ascii="宋体"/>
              </w:rPr>
            </w:pPr>
          </w:p>
        </w:tc>
        <w:tc>
          <w:tcPr>
            <w:tcW w:w="0" w:type="auto"/>
            <w:shd w:val="clear" w:color="auto" w:fill="auto"/>
          </w:tcPr>
          <w:p w14:paraId="1D025D51" w14:textId="77777777" w:rsidR="004421F6" w:rsidRDefault="004421F6">
            <w:pPr>
              <w:rPr>
                <w:rFonts w:ascii="宋体"/>
              </w:rPr>
            </w:pPr>
          </w:p>
        </w:tc>
      </w:tr>
      <w:tr w:rsidR="004421F6" w14:paraId="1D025D6B"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D53" w14:textId="77777777" w:rsidR="004421F6" w:rsidRDefault="00F15622">
            <w:pPr>
              <w:textAlignment w:val="bottom"/>
            </w:pPr>
            <w:r>
              <w:rPr>
                <w:rFonts w:ascii="Arial" w:eastAsia="宋体" w:hAnsi="Arial" w:cs="Arial"/>
                <w:color w:val="000000"/>
                <w:sz w:val="17"/>
                <w:szCs w:val="17"/>
              </w:rPr>
              <w:t>Interest rate swaps</w:t>
            </w:r>
            <w:r>
              <w:rPr>
                <w:rFonts w:ascii="Arial" w:eastAsia="宋体" w:hAnsi="Arial" w:cs="Arial"/>
                <w:color w:val="000000"/>
                <w:sz w:val="9"/>
                <w:szCs w:val="9"/>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D54"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5D55"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D56"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5D57"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D58" w14:textId="77777777" w:rsidR="004421F6" w:rsidRDefault="004421F6">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D59" w14:textId="77777777" w:rsidR="004421F6" w:rsidRDefault="00F15622">
            <w:pPr>
              <w:jc w:val="right"/>
              <w:textAlignment w:val="bottom"/>
            </w:pPr>
            <w:r>
              <w:rPr>
                <w:rFonts w:ascii="Arial" w:eastAsia="宋体" w:hAnsi="Arial" w:cs="Arial"/>
                <w:color w:val="000000"/>
                <w:sz w:val="17"/>
                <w:szCs w:val="17"/>
              </w:rPr>
              <w:t>Interest expense (income), net</w:t>
            </w:r>
          </w:p>
        </w:tc>
        <w:tc>
          <w:tcPr>
            <w:tcW w:w="0" w:type="auto"/>
            <w:gridSpan w:val="3"/>
            <w:tcBorders>
              <w:top w:val="single" w:sz="8" w:space="0" w:color="808080"/>
            </w:tcBorders>
            <w:shd w:val="clear" w:color="auto" w:fill="auto"/>
            <w:tcMar>
              <w:left w:w="20" w:type="dxa"/>
              <w:right w:w="20" w:type="dxa"/>
            </w:tcMar>
            <w:vAlign w:val="bottom"/>
          </w:tcPr>
          <w:p w14:paraId="1D025D5A" w14:textId="77777777" w:rsidR="004421F6" w:rsidRDefault="004421F6">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D5B" w14:textId="77777777" w:rsidR="004421F6" w:rsidRDefault="00F15622">
            <w:pPr>
              <w:jc w:val="right"/>
              <w:textAlignment w:val="bottom"/>
            </w:pPr>
            <w:r>
              <w:rPr>
                <w:rFonts w:ascii="Arial" w:eastAsia="宋体" w:hAnsi="Arial" w:cs="Arial"/>
                <w:color w:val="000000"/>
                <w:sz w:val="17"/>
                <w:szCs w:val="17"/>
              </w:rPr>
              <w:t>(2)</w:t>
            </w:r>
          </w:p>
        </w:tc>
        <w:tc>
          <w:tcPr>
            <w:tcW w:w="0" w:type="auto"/>
            <w:tcBorders>
              <w:top w:val="single" w:sz="8" w:space="0" w:color="808080"/>
            </w:tcBorders>
            <w:shd w:val="clear" w:color="auto" w:fill="FFF1E7"/>
            <w:tcMar>
              <w:top w:w="40" w:type="dxa"/>
              <w:bottom w:w="40" w:type="dxa"/>
              <w:right w:w="20" w:type="dxa"/>
            </w:tcMar>
            <w:vAlign w:val="bottom"/>
          </w:tcPr>
          <w:p w14:paraId="1D025D5C"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D5D" w14:textId="77777777" w:rsidR="004421F6" w:rsidRDefault="00F15622">
            <w:pPr>
              <w:jc w:val="right"/>
              <w:textAlignment w:val="bottom"/>
            </w:pPr>
            <w:r>
              <w:rPr>
                <w:rFonts w:ascii="Arial" w:eastAsia="宋体" w:hAnsi="Arial" w:cs="Arial"/>
                <w:color w:val="000000"/>
                <w:sz w:val="17"/>
                <w:szCs w:val="17"/>
              </w:rPr>
              <w:t>(2)</w:t>
            </w:r>
          </w:p>
        </w:tc>
        <w:tc>
          <w:tcPr>
            <w:tcW w:w="0" w:type="auto"/>
            <w:tcBorders>
              <w:top w:val="single" w:sz="8" w:space="0" w:color="808080"/>
            </w:tcBorders>
            <w:shd w:val="clear" w:color="auto" w:fill="auto"/>
            <w:tcMar>
              <w:top w:w="40" w:type="dxa"/>
              <w:bottom w:w="40" w:type="dxa"/>
              <w:right w:w="20" w:type="dxa"/>
            </w:tcMar>
            <w:vAlign w:val="bottom"/>
          </w:tcPr>
          <w:p w14:paraId="1D025D5E" w14:textId="77777777" w:rsidR="004421F6" w:rsidRDefault="004421F6">
            <w:pPr>
              <w:jc w:val="right"/>
              <w:rPr>
                <w:rFonts w:ascii="宋体"/>
              </w:rPr>
            </w:pPr>
          </w:p>
        </w:tc>
        <w:tc>
          <w:tcPr>
            <w:tcW w:w="0" w:type="auto"/>
            <w:shd w:val="clear" w:color="auto" w:fill="auto"/>
          </w:tcPr>
          <w:p w14:paraId="1D025D5F" w14:textId="77777777" w:rsidR="004421F6" w:rsidRDefault="004421F6">
            <w:pPr>
              <w:rPr>
                <w:rFonts w:ascii="宋体"/>
              </w:rPr>
            </w:pPr>
          </w:p>
        </w:tc>
        <w:tc>
          <w:tcPr>
            <w:tcW w:w="0" w:type="auto"/>
            <w:shd w:val="clear" w:color="auto" w:fill="auto"/>
          </w:tcPr>
          <w:p w14:paraId="1D025D60" w14:textId="77777777" w:rsidR="004421F6" w:rsidRDefault="004421F6">
            <w:pPr>
              <w:rPr>
                <w:rFonts w:ascii="宋体"/>
              </w:rPr>
            </w:pPr>
          </w:p>
        </w:tc>
        <w:tc>
          <w:tcPr>
            <w:tcW w:w="0" w:type="auto"/>
            <w:shd w:val="clear" w:color="auto" w:fill="auto"/>
          </w:tcPr>
          <w:p w14:paraId="1D025D61" w14:textId="77777777" w:rsidR="004421F6" w:rsidRDefault="004421F6">
            <w:pPr>
              <w:rPr>
                <w:rFonts w:ascii="宋体"/>
              </w:rPr>
            </w:pPr>
          </w:p>
        </w:tc>
        <w:tc>
          <w:tcPr>
            <w:tcW w:w="0" w:type="auto"/>
            <w:shd w:val="clear" w:color="auto" w:fill="auto"/>
          </w:tcPr>
          <w:p w14:paraId="1D025D62" w14:textId="77777777" w:rsidR="004421F6" w:rsidRDefault="004421F6">
            <w:pPr>
              <w:rPr>
                <w:rFonts w:ascii="宋体"/>
              </w:rPr>
            </w:pPr>
          </w:p>
        </w:tc>
        <w:tc>
          <w:tcPr>
            <w:tcW w:w="0" w:type="auto"/>
            <w:shd w:val="clear" w:color="auto" w:fill="auto"/>
          </w:tcPr>
          <w:p w14:paraId="1D025D63" w14:textId="77777777" w:rsidR="004421F6" w:rsidRDefault="004421F6">
            <w:pPr>
              <w:rPr>
                <w:rFonts w:ascii="宋体"/>
              </w:rPr>
            </w:pPr>
          </w:p>
        </w:tc>
        <w:tc>
          <w:tcPr>
            <w:tcW w:w="0" w:type="auto"/>
            <w:shd w:val="clear" w:color="auto" w:fill="auto"/>
          </w:tcPr>
          <w:p w14:paraId="1D025D64" w14:textId="77777777" w:rsidR="004421F6" w:rsidRDefault="004421F6">
            <w:pPr>
              <w:rPr>
                <w:rFonts w:ascii="宋体"/>
              </w:rPr>
            </w:pPr>
          </w:p>
        </w:tc>
        <w:tc>
          <w:tcPr>
            <w:tcW w:w="0" w:type="auto"/>
            <w:shd w:val="clear" w:color="auto" w:fill="auto"/>
          </w:tcPr>
          <w:p w14:paraId="1D025D65" w14:textId="77777777" w:rsidR="004421F6" w:rsidRDefault="004421F6">
            <w:pPr>
              <w:rPr>
                <w:rFonts w:ascii="宋体"/>
              </w:rPr>
            </w:pPr>
          </w:p>
        </w:tc>
        <w:tc>
          <w:tcPr>
            <w:tcW w:w="0" w:type="auto"/>
            <w:shd w:val="clear" w:color="auto" w:fill="auto"/>
          </w:tcPr>
          <w:p w14:paraId="1D025D66" w14:textId="77777777" w:rsidR="004421F6" w:rsidRDefault="004421F6">
            <w:pPr>
              <w:rPr>
                <w:rFonts w:ascii="宋体"/>
              </w:rPr>
            </w:pPr>
          </w:p>
        </w:tc>
        <w:tc>
          <w:tcPr>
            <w:tcW w:w="0" w:type="auto"/>
            <w:shd w:val="clear" w:color="auto" w:fill="auto"/>
          </w:tcPr>
          <w:p w14:paraId="1D025D67" w14:textId="77777777" w:rsidR="004421F6" w:rsidRDefault="004421F6">
            <w:pPr>
              <w:rPr>
                <w:rFonts w:ascii="宋体"/>
              </w:rPr>
            </w:pPr>
          </w:p>
        </w:tc>
        <w:tc>
          <w:tcPr>
            <w:tcW w:w="0" w:type="auto"/>
            <w:shd w:val="clear" w:color="auto" w:fill="auto"/>
          </w:tcPr>
          <w:p w14:paraId="1D025D68" w14:textId="77777777" w:rsidR="004421F6" w:rsidRDefault="004421F6">
            <w:pPr>
              <w:rPr>
                <w:rFonts w:ascii="宋体"/>
              </w:rPr>
            </w:pPr>
          </w:p>
        </w:tc>
        <w:tc>
          <w:tcPr>
            <w:tcW w:w="0" w:type="auto"/>
            <w:shd w:val="clear" w:color="auto" w:fill="auto"/>
          </w:tcPr>
          <w:p w14:paraId="1D025D69" w14:textId="77777777" w:rsidR="004421F6" w:rsidRDefault="004421F6">
            <w:pPr>
              <w:rPr>
                <w:rFonts w:ascii="宋体"/>
              </w:rPr>
            </w:pPr>
          </w:p>
        </w:tc>
        <w:tc>
          <w:tcPr>
            <w:tcW w:w="0" w:type="auto"/>
            <w:shd w:val="clear" w:color="auto" w:fill="auto"/>
          </w:tcPr>
          <w:p w14:paraId="1D025D6A" w14:textId="77777777" w:rsidR="004421F6" w:rsidRDefault="004421F6">
            <w:pPr>
              <w:rPr>
                <w:rFonts w:ascii="宋体"/>
              </w:rPr>
            </w:pPr>
          </w:p>
        </w:tc>
      </w:tr>
      <w:tr w:rsidR="004421F6" w14:paraId="1D025D88"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D6C" w14:textId="77777777" w:rsidR="004421F6" w:rsidRDefault="00F15622">
            <w:pPr>
              <w:textAlignment w:val="bottom"/>
            </w:pPr>
            <w:r>
              <w:rPr>
                <w:rFonts w:ascii="Arial" w:eastAsia="宋体" w:hAnsi="Arial" w:cs="Arial"/>
                <w:b/>
                <w:bCs/>
                <w:color w:val="000000"/>
                <w:sz w:val="17"/>
                <w:szCs w:val="17"/>
              </w:rPr>
              <w:t xml:space="preserve">Total designated cash </w:t>
            </w:r>
            <w:r>
              <w:rPr>
                <w:rFonts w:ascii="Arial" w:eastAsia="宋体" w:hAnsi="Arial" w:cs="Arial"/>
                <w:b/>
                <w:bCs/>
                <w:color w:val="000000"/>
                <w:sz w:val="17"/>
                <w:szCs w:val="17"/>
              </w:rPr>
              <w:br/>
              <w:t>flow hedges</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D6D"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D6E" w14:textId="77777777" w:rsidR="004421F6" w:rsidRDefault="00F15622">
            <w:pPr>
              <w:jc w:val="right"/>
              <w:textAlignment w:val="bottom"/>
            </w:pPr>
            <w:r>
              <w:rPr>
                <w:rFonts w:ascii="Arial" w:eastAsia="宋体" w:hAnsi="Arial" w:cs="Arial"/>
                <w:b/>
                <w:bCs/>
                <w:color w:val="000000"/>
                <w:sz w:val="17"/>
                <w:szCs w:val="17"/>
              </w:rPr>
              <w:t>(530)</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D6F"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D70"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D71" w14:textId="77777777" w:rsidR="004421F6" w:rsidRDefault="00F15622">
            <w:pPr>
              <w:jc w:val="right"/>
              <w:textAlignment w:val="bottom"/>
            </w:pPr>
            <w:r>
              <w:rPr>
                <w:rFonts w:ascii="Arial" w:eastAsia="宋体" w:hAnsi="Arial" w:cs="Arial"/>
                <w:b/>
                <w:bCs/>
                <w:color w:val="000000"/>
                <w:sz w:val="17"/>
                <w:szCs w:val="17"/>
              </w:rPr>
              <w:t>163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D72" w14:textId="77777777" w:rsidR="004421F6" w:rsidRDefault="004421F6">
            <w:pPr>
              <w:jc w:val="right"/>
              <w:rPr>
                <w:rFonts w:ascii="宋体"/>
              </w:rPr>
            </w:pPr>
          </w:p>
        </w:tc>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5D73" w14:textId="77777777" w:rsidR="004421F6" w:rsidRDefault="004421F6">
            <w:pPr>
              <w:rPr>
                <w:rFonts w:ascii="宋体"/>
              </w:rPr>
            </w:pPr>
          </w:p>
        </w:tc>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5D74" w14:textId="77777777" w:rsidR="004421F6" w:rsidRDefault="004421F6">
            <w:pPr>
              <w:rPr>
                <w:rFonts w:ascii="宋体"/>
              </w:rPr>
            </w:pPr>
          </w:p>
        </w:tc>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5D75" w14:textId="77777777" w:rsidR="004421F6" w:rsidRDefault="004421F6">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D76"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D77" w14:textId="77777777" w:rsidR="004421F6" w:rsidRDefault="00F15622">
            <w:pPr>
              <w:jc w:val="right"/>
              <w:textAlignment w:val="bottom"/>
            </w:pPr>
            <w:r>
              <w:rPr>
                <w:rFonts w:ascii="Arial" w:eastAsia="宋体" w:hAnsi="Arial" w:cs="Arial"/>
                <w:b/>
                <w:bCs/>
                <w:color w:val="000000"/>
                <w:sz w:val="17"/>
                <w:szCs w:val="17"/>
              </w:rPr>
              <w:t>135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D78"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D79"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D7A" w14:textId="77777777" w:rsidR="004421F6" w:rsidRDefault="00F15622">
            <w:pPr>
              <w:jc w:val="right"/>
              <w:textAlignment w:val="bottom"/>
            </w:pPr>
            <w:r>
              <w:rPr>
                <w:rFonts w:ascii="Arial" w:eastAsia="宋体" w:hAnsi="Arial" w:cs="Arial"/>
                <w:b/>
                <w:bCs/>
                <w:color w:val="000000"/>
                <w:sz w:val="17"/>
                <w:szCs w:val="17"/>
              </w:rPr>
              <w:t>127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D7B" w14:textId="77777777" w:rsidR="004421F6" w:rsidRDefault="004421F6">
            <w:pPr>
              <w:jc w:val="right"/>
              <w:rPr>
                <w:rFonts w:ascii="宋体"/>
              </w:rPr>
            </w:pPr>
          </w:p>
        </w:tc>
        <w:tc>
          <w:tcPr>
            <w:tcW w:w="0" w:type="auto"/>
            <w:shd w:val="clear" w:color="auto" w:fill="auto"/>
          </w:tcPr>
          <w:p w14:paraId="1D025D7C" w14:textId="77777777" w:rsidR="004421F6" w:rsidRDefault="004421F6">
            <w:pPr>
              <w:rPr>
                <w:rFonts w:ascii="宋体"/>
              </w:rPr>
            </w:pPr>
          </w:p>
        </w:tc>
        <w:tc>
          <w:tcPr>
            <w:tcW w:w="0" w:type="auto"/>
            <w:shd w:val="clear" w:color="auto" w:fill="auto"/>
          </w:tcPr>
          <w:p w14:paraId="1D025D7D" w14:textId="77777777" w:rsidR="004421F6" w:rsidRDefault="004421F6">
            <w:pPr>
              <w:rPr>
                <w:rFonts w:ascii="宋体"/>
              </w:rPr>
            </w:pPr>
          </w:p>
        </w:tc>
        <w:tc>
          <w:tcPr>
            <w:tcW w:w="0" w:type="auto"/>
            <w:shd w:val="clear" w:color="auto" w:fill="auto"/>
          </w:tcPr>
          <w:p w14:paraId="1D025D7E" w14:textId="77777777" w:rsidR="004421F6" w:rsidRDefault="004421F6">
            <w:pPr>
              <w:rPr>
                <w:rFonts w:ascii="宋体"/>
              </w:rPr>
            </w:pPr>
          </w:p>
        </w:tc>
        <w:tc>
          <w:tcPr>
            <w:tcW w:w="0" w:type="auto"/>
            <w:shd w:val="clear" w:color="auto" w:fill="auto"/>
          </w:tcPr>
          <w:p w14:paraId="1D025D7F" w14:textId="77777777" w:rsidR="004421F6" w:rsidRDefault="004421F6">
            <w:pPr>
              <w:rPr>
                <w:rFonts w:ascii="宋体"/>
              </w:rPr>
            </w:pPr>
          </w:p>
        </w:tc>
        <w:tc>
          <w:tcPr>
            <w:tcW w:w="0" w:type="auto"/>
            <w:shd w:val="clear" w:color="auto" w:fill="auto"/>
          </w:tcPr>
          <w:p w14:paraId="1D025D80" w14:textId="77777777" w:rsidR="004421F6" w:rsidRDefault="004421F6">
            <w:pPr>
              <w:rPr>
                <w:rFonts w:ascii="宋体"/>
              </w:rPr>
            </w:pPr>
          </w:p>
        </w:tc>
        <w:tc>
          <w:tcPr>
            <w:tcW w:w="0" w:type="auto"/>
            <w:shd w:val="clear" w:color="auto" w:fill="auto"/>
          </w:tcPr>
          <w:p w14:paraId="1D025D81" w14:textId="77777777" w:rsidR="004421F6" w:rsidRDefault="004421F6">
            <w:pPr>
              <w:rPr>
                <w:rFonts w:ascii="宋体"/>
              </w:rPr>
            </w:pPr>
          </w:p>
        </w:tc>
        <w:tc>
          <w:tcPr>
            <w:tcW w:w="0" w:type="auto"/>
            <w:shd w:val="clear" w:color="auto" w:fill="auto"/>
          </w:tcPr>
          <w:p w14:paraId="1D025D82" w14:textId="77777777" w:rsidR="004421F6" w:rsidRDefault="004421F6">
            <w:pPr>
              <w:rPr>
                <w:rFonts w:ascii="宋体"/>
              </w:rPr>
            </w:pPr>
          </w:p>
        </w:tc>
        <w:tc>
          <w:tcPr>
            <w:tcW w:w="0" w:type="auto"/>
            <w:shd w:val="clear" w:color="auto" w:fill="auto"/>
          </w:tcPr>
          <w:p w14:paraId="1D025D83" w14:textId="77777777" w:rsidR="004421F6" w:rsidRDefault="004421F6">
            <w:pPr>
              <w:rPr>
                <w:rFonts w:ascii="宋体"/>
              </w:rPr>
            </w:pPr>
          </w:p>
        </w:tc>
        <w:tc>
          <w:tcPr>
            <w:tcW w:w="0" w:type="auto"/>
            <w:shd w:val="clear" w:color="auto" w:fill="auto"/>
          </w:tcPr>
          <w:p w14:paraId="1D025D84" w14:textId="77777777" w:rsidR="004421F6" w:rsidRDefault="004421F6">
            <w:pPr>
              <w:rPr>
                <w:rFonts w:ascii="宋体"/>
              </w:rPr>
            </w:pPr>
          </w:p>
        </w:tc>
        <w:tc>
          <w:tcPr>
            <w:tcW w:w="0" w:type="auto"/>
            <w:shd w:val="clear" w:color="auto" w:fill="auto"/>
          </w:tcPr>
          <w:p w14:paraId="1D025D85" w14:textId="77777777" w:rsidR="004421F6" w:rsidRDefault="004421F6">
            <w:pPr>
              <w:rPr>
                <w:rFonts w:ascii="宋体"/>
              </w:rPr>
            </w:pPr>
          </w:p>
        </w:tc>
        <w:tc>
          <w:tcPr>
            <w:tcW w:w="0" w:type="auto"/>
            <w:shd w:val="clear" w:color="auto" w:fill="auto"/>
          </w:tcPr>
          <w:p w14:paraId="1D025D86" w14:textId="77777777" w:rsidR="004421F6" w:rsidRDefault="004421F6">
            <w:pPr>
              <w:rPr>
                <w:rFonts w:ascii="宋体"/>
              </w:rPr>
            </w:pPr>
          </w:p>
        </w:tc>
        <w:tc>
          <w:tcPr>
            <w:tcW w:w="0" w:type="auto"/>
            <w:shd w:val="clear" w:color="auto" w:fill="auto"/>
          </w:tcPr>
          <w:p w14:paraId="1D025D87" w14:textId="77777777" w:rsidR="004421F6" w:rsidRDefault="004421F6">
            <w:pPr>
              <w:rPr>
                <w:rFonts w:ascii="宋体"/>
              </w:rPr>
            </w:pPr>
          </w:p>
        </w:tc>
      </w:tr>
    </w:tbl>
    <w:p w14:paraId="1D025D89" w14:textId="77777777" w:rsidR="004421F6" w:rsidRDefault="00F15622">
      <w:pPr>
        <w:spacing w:before="60" w:after="60"/>
        <w:ind w:hanging="360"/>
      </w:pPr>
      <w:r>
        <w:rPr>
          <w:rFonts w:ascii="Arial" w:eastAsia="宋体" w:hAnsi="Arial" w:cs="Arial"/>
          <w:i/>
          <w:iCs/>
          <w:color w:val="000000"/>
          <w:sz w:val="14"/>
          <w:szCs w:val="14"/>
        </w:rPr>
        <w:t xml:space="preserve">(1)For the three months ended August 31, 2020 and 2019, the amounts recorded in Other (income) expense, net as a result of the </w:t>
      </w:r>
      <w:r>
        <w:rPr>
          <w:rFonts w:ascii="Arial" w:eastAsia="宋体" w:hAnsi="Arial" w:cs="Arial"/>
          <w:i/>
          <w:iCs/>
          <w:color w:val="000000"/>
          <w:sz w:val="14"/>
          <w:szCs w:val="14"/>
        </w:rPr>
        <w:t>discontinuance of cash flow hedges because the forecasted transactions were no longer probable of occurring were immaterial.</w:t>
      </w:r>
    </w:p>
    <w:p w14:paraId="1D025D8A" w14:textId="77777777" w:rsidR="004421F6" w:rsidRDefault="00F15622">
      <w:pPr>
        <w:spacing w:before="60" w:after="60"/>
        <w:ind w:hanging="360"/>
      </w:pPr>
      <w:r>
        <w:rPr>
          <w:rFonts w:ascii="Arial" w:eastAsia="宋体" w:hAnsi="Arial" w:cs="Arial"/>
          <w:i/>
          <w:iCs/>
          <w:color w:val="000000"/>
          <w:sz w:val="14"/>
          <w:szCs w:val="14"/>
        </w:rPr>
        <w:t>(2)Gains and losses associated with terminated interest rate swaps, which were previously designated as cash flow hedges and record</w:t>
      </w:r>
      <w:r>
        <w:rPr>
          <w:rFonts w:ascii="Arial" w:eastAsia="宋体" w:hAnsi="Arial" w:cs="Arial"/>
          <w:i/>
          <w:iCs/>
          <w:color w:val="000000"/>
          <w:sz w:val="14"/>
          <w:szCs w:val="14"/>
        </w:rPr>
        <w:t>ed in Accumulated other comprehensive income (loss), will be released through Interest expense (income), net over the term of the issued debt.</w:t>
      </w:r>
    </w:p>
    <w:tbl>
      <w:tblPr>
        <w:tblW w:w="5000" w:type="pct"/>
        <w:tblCellMar>
          <w:top w:w="15" w:type="dxa"/>
          <w:left w:w="15" w:type="dxa"/>
          <w:bottom w:w="15" w:type="dxa"/>
          <w:right w:w="15" w:type="dxa"/>
        </w:tblCellMar>
        <w:tblLook w:val="04A0" w:firstRow="1" w:lastRow="0" w:firstColumn="1" w:lastColumn="0" w:noHBand="0" w:noVBand="1"/>
      </w:tblPr>
      <w:tblGrid>
        <w:gridCol w:w="38"/>
        <w:gridCol w:w="3721"/>
        <w:gridCol w:w="37"/>
        <w:gridCol w:w="131"/>
        <w:gridCol w:w="670"/>
        <w:gridCol w:w="41"/>
        <w:gridCol w:w="130"/>
        <w:gridCol w:w="670"/>
        <w:gridCol w:w="41"/>
        <w:gridCol w:w="36"/>
        <w:gridCol w:w="36"/>
        <w:gridCol w:w="36"/>
        <w:gridCol w:w="36"/>
        <w:gridCol w:w="36"/>
        <w:gridCol w:w="36"/>
        <w:gridCol w:w="37"/>
        <w:gridCol w:w="1491"/>
        <w:gridCol w:w="36"/>
        <w:gridCol w:w="323"/>
        <w:gridCol w:w="323"/>
        <w:gridCol w:w="323"/>
        <w:gridCol w:w="36"/>
        <w:gridCol w:w="36"/>
        <w:gridCol w:w="36"/>
      </w:tblGrid>
      <w:tr w:rsidR="004421F6" w14:paraId="1D025D9D" w14:textId="77777777">
        <w:trPr>
          <w:gridAfter w:val="6"/>
        </w:trPr>
        <w:tc>
          <w:tcPr>
            <w:tcW w:w="50" w:type="pct"/>
            <w:shd w:val="clear" w:color="auto" w:fill="auto"/>
          </w:tcPr>
          <w:p w14:paraId="1D025D8B" w14:textId="77777777" w:rsidR="004421F6" w:rsidRDefault="004421F6">
            <w:pPr>
              <w:rPr>
                <w:rFonts w:ascii="宋体"/>
              </w:rPr>
            </w:pPr>
          </w:p>
        </w:tc>
        <w:tc>
          <w:tcPr>
            <w:tcW w:w="2599" w:type="pct"/>
            <w:shd w:val="clear" w:color="auto" w:fill="auto"/>
          </w:tcPr>
          <w:p w14:paraId="1D025D8C" w14:textId="77777777" w:rsidR="004421F6" w:rsidRDefault="004421F6">
            <w:pPr>
              <w:rPr>
                <w:rFonts w:ascii="宋体"/>
              </w:rPr>
            </w:pPr>
          </w:p>
        </w:tc>
        <w:tc>
          <w:tcPr>
            <w:tcW w:w="5" w:type="pct"/>
            <w:shd w:val="clear" w:color="auto" w:fill="auto"/>
          </w:tcPr>
          <w:p w14:paraId="1D025D8D" w14:textId="77777777" w:rsidR="004421F6" w:rsidRDefault="004421F6">
            <w:pPr>
              <w:rPr>
                <w:rFonts w:ascii="宋体"/>
              </w:rPr>
            </w:pPr>
          </w:p>
        </w:tc>
        <w:tc>
          <w:tcPr>
            <w:tcW w:w="50" w:type="pct"/>
            <w:shd w:val="clear" w:color="auto" w:fill="auto"/>
          </w:tcPr>
          <w:p w14:paraId="1D025D8E" w14:textId="77777777" w:rsidR="004421F6" w:rsidRDefault="004421F6">
            <w:pPr>
              <w:rPr>
                <w:rFonts w:ascii="宋体"/>
              </w:rPr>
            </w:pPr>
          </w:p>
        </w:tc>
        <w:tc>
          <w:tcPr>
            <w:tcW w:w="492" w:type="pct"/>
            <w:shd w:val="clear" w:color="auto" w:fill="auto"/>
          </w:tcPr>
          <w:p w14:paraId="1D025D8F" w14:textId="77777777" w:rsidR="004421F6" w:rsidRDefault="004421F6">
            <w:pPr>
              <w:rPr>
                <w:rFonts w:ascii="宋体"/>
              </w:rPr>
            </w:pPr>
          </w:p>
        </w:tc>
        <w:tc>
          <w:tcPr>
            <w:tcW w:w="5" w:type="pct"/>
            <w:shd w:val="clear" w:color="auto" w:fill="auto"/>
          </w:tcPr>
          <w:p w14:paraId="1D025D90" w14:textId="77777777" w:rsidR="004421F6" w:rsidRDefault="004421F6">
            <w:pPr>
              <w:rPr>
                <w:rFonts w:ascii="宋体"/>
              </w:rPr>
            </w:pPr>
          </w:p>
        </w:tc>
        <w:tc>
          <w:tcPr>
            <w:tcW w:w="50" w:type="pct"/>
            <w:shd w:val="clear" w:color="auto" w:fill="auto"/>
          </w:tcPr>
          <w:p w14:paraId="1D025D91" w14:textId="77777777" w:rsidR="004421F6" w:rsidRDefault="004421F6">
            <w:pPr>
              <w:rPr>
                <w:rFonts w:ascii="宋体"/>
              </w:rPr>
            </w:pPr>
          </w:p>
        </w:tc>
        <w:tc>
          <w:tcPr>
            <w:tcW w:w="492" w:type="pct"/>
            <w:shd w:val="clear" w:color="auto" w:fill="auto"/>
          </w:tcPr>
          <w:p w14:paraId="1D025D92" w14:textId="77777777" w:rsidR="004421F6" w:rsidRDefault="004421F6">
            <w:pPr>
              <w:rPr>
                <w:rFonts w:ascii="宋体"/>
              </w:rPr>
            </w:pPr>
          </w:p>
        </w:tc>
        <w:tc>
          <w:tcPr>
            <w:tcW w:w="5" w:type="pct"/>
            <w:shd w:val="clear" w:color="auto" w:fill="auto"/>
          </w:tcPr>
          <w:p w14:paraId="1D025D93" w14:textId="77777777" w:rsidR="004421F6" w:rsidRDefault="004421F6">
            <w:pPr>
              <w:rPr>
                <w:rFonts w:ascii="宋体"/>
              </w:rPr>
            </w:pPr>
          </w:p>
        </w:tc>
        <w:tc>
          <w:tcPr>
            <w:tcW w:w="5" w:type="pct"/>
            <w:shd w:val="clear" w:color="auto" w:fill="auto"/>
          </w:tcPr>
          <w:p w14:paraId="1D025D94" w14:textId="77777777" w:rsidR="004421F6" w:rsidRDefault="004421F6">
            <w:pPr>
              <w:rPr>
                <w:rFonts w:ascii="宋体"/>
              </w:rPr>
            </w:pPr>
          </w:p>
        </w:tc>
        <w:tc>
          <w:tcPr>
            <w:tcW w:w="28" w:type="pct"/>
            <w:shd w:val="clear" w:color="auto" w:fill="auto"/>
          </w:tcPr>
          <w:p w14:paraId="1D025D95" w14:textId="77777777" w:rsidR="004421F6" w:rsidRDefault="004421F6">
            <w:pPr>
              <w:rPr>
                <w:rFonts w:ascii="宋体"/>
              </w:rPr>
            </w:pPr>
          </w:p>
        </w:tc>
        <w:tc>
          <w:tcPr>
            <w:tcW w:w="5" w:type="pct"/>
            <w:shd w:val="clear" w:color="auto" w:fill="auto"/>
          </w:tcPr>
          <w:p w14:paraId="1D025D96" w14:textId="77777777" w:rsidR="004421F6" w:rsidRDefault="004421F6">
            <w:pPr>
              <w:rPr>
                <w:rFonts w:ascii="宋体"/>
              </w:rPr>
            </w:pPr>
          </w:p>
        </w:tc>
        <w:tc>
          <w:tcPr>
            <w:tcW w:w="5" w:type="pct"/>
            <w:shd w:val="clear" w:color="auto" w:fill="auto"/>
          </w:tcPr>
          <w:p w14:paraId="1D025D97" w14:textId="77777777" w:rsidR="004421F6" w:rsidRDefault="004421F6">
            <w:pPr>
              <w:rPr>
                <w:rFonts w:ascii="宋体"/>
              </w:rPr>
            </w:pPr>
          </w:p>
        </w:tc>
        <w:tc>
          <w:tcPr>
            <w:tcW w:w="28" w:type="pct"/>
            <w:shd w:val="clear" w:color="auto" w:fill="auto"/>
          </w:tcPr>
          <w:p w14:paraId="1D025D98" w14:textId="77777777" w:rsidR="004421F6" w:rsidRDefault="004421F6">
            <w:pPr>
              <w:rPr>
                <w:rFonts w:ascii="宋体"/>
              </w:rPr>
            </w:pPr>
          </w:p>
        </w:tc>
        <w:tc>
          <w:tcPr>
            <w:tcW w:w="5" w:type="pct"/>
            <w:shd w:val="clear" w:color="auto" w:fill="auto"/>
          </w:tcPr>
          <w:p w14:paraId="1D025D99" w14:textId="77777777" w:rsidR="004421F6" w:rsidRDefault="004421F6">
            <w:pPr>
              <w:rPr>
                <w:rFonts w:ascii="宋体"/>
              </w:rPr>
            </w:pPr>
          </w:p>
        </w:tc>
        <w:tc>
          <w:tcPr>
            <w:tcW w:w="50" w:type="pct"/>
            <w:shd w:val="clear" w:color="auto" w:fill="auto"/>
          </w:tcPr>
          <w:p w14:paraId="1D025D9A" w14:textId="77777777" w:rsidR="004421F6" w:rsidRDefault="004421F6">
            <w:pPr>
              <w:rPr>
                <w:rFonts w:ascii="宋体"/>
              </w:rPr>
            </w:pPr>
          </w:p>
        </w:tc>
        <w:tc>
          <w:tcPr>
            <w:tcW w:w="1118" w:type="pct"/>
            <w:shd w:val="clear" w:color="auto" w:fill="auto"/>
          </w:tcPr>
          <w:p w14:paraId="1D025D9B" w14:textId="77777777" w:rsidR="004421F6" w:rsidRDefault="004421F6">
            <w:pPr>
              <w:rPr>
                <w:rFonts w:ascii="宋体"/>
              </w:rPr>
            </w:pPr>
          </w:p>
        </w:tc>
        <w:tc>
          <w:tcPr>
            <w:tcW w:w="5" w:type="pct"/>
            <w:shd w:val="clear" w:color="auto" w:fill="auto"/>
          </w:tcPr>
          <w:p w14:paraId="1D025D9C" w14:textId="77777777" w:rsidR="004421F6" w:rsidRDefault="004421F6">
            <w:pPr>
              <w:rPr>
                <w:rFonts w:ascii="宋体"/>
              </w:rPr>
            </w:pPr>
          </w:p>
        </w:tc>
      </w:tr>
      <w:tr w:rsidR="004421F6" w14:paraId="1D025DA4" w14:textId="77777777">
        <w:trPr>
          <w:gridAfter w:val="3"/>
        </w:trPr>
        <w:tc>
          <w:tcPr>
            <w:tcW w:w="0" w:type="auto"/>
            <w:gridSpan w:val="3"/>
            <w:shd w:val="clear" w:color="auto" w:fill="auto"/>
            <w:tcMar>
              <w:left w:w="20" w:type="dxa"/>
              <w:right w:w="20" w:type="dxa"/>
            </w:tcMar>
            <w:vAlign w:val="bottom"/>
          </w:tcPr>
          <w:p w14:paraId="1D025D9E" w14:textId="77777777" w:rsidR="004421F6" w:rsidRDefault="004421F6">
            <w:pPr>
              <w:rPr>
                <w:rFonts w:ascii="宋体"/>
              </w:rPr>
            </w:pP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1D025D9F" w14:textId="77777777" w:rsidR="004421F6" w:rsidRDefault="00F15622">
            <w:pPr>
              <w:jc w:val="center"/>
              <w:textAlignment w:val="bottom"/>
            </w:pPr>
            <w:r>
              <w:rPr>
                <w:rFonts w:ascii="sans-serif" w:eastAsia="sans-serif" w:hAnsi="sans-serif" w:cs="sans-serif"/>
                <w:b/>
                <w:bCs/>
                <w:color w:val="000000"/>
                <w:sz w:val="17"/>
                <w:szCs w:val="17"/>
              </w:rPr>
              <w:t>AMOUNT OF GAIN (LOSS) RECOGNIZED</w:t>
            </w:r>
            <w:r>
              <w:rPr>
                <w:rFonts w:ascii="Arial" w:eastAsia="宋体" w:hAnsi="Arial" w:cs="Arial"/>
                <w:color w:val="000000"/>
                <w:sz w:val="17"/>
                <w:szCs w:val="17"/>
              </w:rPr>
              <w:t xml:space="preserve"> </w:t>
            </w:r>
            <w:r>
              <w:rPr>
                <w:rFonts w:ascii="sans-serif" w:eastAsia="sans-serif" w:hAnsi="sans-serif" w:cs="sans-serif"/>
                <w:b/>
                <w:bCs/>
                <w:color w:val="000000"/>
                <w:sz w:val="17"/>
                <w:szCs w:val="17"/>
              </w:rPr>
              <w:br/>
              <w:t>IN INCOME ON DERIVATIVES</w:t>
            </w:r>
          </w:p>
        </w:tc>
        <w:tc>
          <w:tcPr>
            <w:tcW w:w="0" w:type="auto"/>
            <w:gridSpan w:val="3"/>
            <w:shd w:val="clear" w:color="auto" w:fill="auto"/>
          </w:tcPr>
          <w:p w14:paraId="1D025DA0" w14:textId="77777777" w:rsidR="004421F6" w:rsidRDefault="004421F6">
            <w:pPr>
              <w:rPr>
                <w:rFonts w:ascii="宋体"/>
                <w:vanish/>
              </w:rPr>
            </w:pPr>
          </w:p>
        </w:tc>
        <w:tc>
          <w:tcPr>
            <w:tcW w:w="0" w:type="auto"/>
            <w:gridSpan w:val="3"/>
            <w:shd w:val="clear" w:color="auto" w:fill="auto"/>
            <w:tcMar>
              <w:left w:w="20" w:type="dxa"/>
              <w:right w:w="20" w:type="dxa"/>
            </w:tcMar>
            <w:vAlign w:val="bottom"/>
          </w:tcPr>
          <w:p w14:paraId="1D025DA1" w14:textId="77777777" w:rsidR="004421F6" w:rsidRDefault="004421F6">
            <w:pPr>
              <w:rPr>
                <w:rFonts w:ascii="宋体"/>
              </w:rPr>
            </w:pPr>
          </w:p>
        </w:tc>
        <w:tc>
          <w:tcPr>
            <w:tcW w:w="0" w:type="auto"/>
            <w:gridSpan w:val="3"/>
            <w:shd w:val="clear" w:color="auto" w:fill="auto"/>
            <w:tcMar>
              <w:left w:w="20" w:type="dxa"/>
              <w:right w:w="20" w:type="dxa"/>
            </w:tcMar>
            <w:vAlign w:val="bottom"/>
          </w:tcPr>
          <w:p w14:paraId="1D025DA2" w14:textId="77777777" w:rsidR="004421F6" w:rsidRDefault="004421F6">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D025DA3" w14:textId="77777777" w:rsidR="004421F6" w:rsidRDefault="00F15622">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RECOGNIZED IN INCOME </w:t>
            </w:r>
            <w:r>
              <w:rPr>
                <w:rFonts w:ascii="sans-serif" w:eastAsia="sans-serif" w:hAnsi="sans-serif" w:cs="sans-serif"/>
                <w:b/>
                <w:bCs/>
                <w:color w:val="000000"/>
                <w:sz w:val="17"/>
                <w:szCs w:val="17"/>
              </w:rPr>
              <w:br/>
              <w:t>ON DERIVATIVES</w:t>
            </w:r>
          </w:p>
        </w:tc>
      </w:tr>
      <w:tr w:rsidR="004421F6" w14:paraId="1D025DAC" w14:textId="77777777">
        <w:tc>
          <w:tcPr>
            <w:tcW w:w="0" w:type="auto"/>
            <w:gridSpan w:val="3"/>
            <w:shd w:val="clear" w:color="auto" w:fill="auto"/>
            <w:tcMar>
              <w:left w:w="20" w:type="dxa"/>
              <w:right w:w="20" w:type="dxa"/>
            </w:tcMar>
            <w:vAlign w:val="bottom"/>
          </w:tcPr>
          <w:p w14:paraId="1D025DA5" w14:textId="77777777" w:rsidR="004421F6" w:rsidRDefault="004421F6">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D025DA6"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5DA7" w14:textId="77777777" w:rsidR="004421F6" w:rsidRDefault="004421F6">
            <w:pPr>
              <w:rPr>
                <w:rFonts w:ascii="宋体"/>
                <w:vanish/>
              </w:rPr>
            </w:pPr>
          </w:p>
        </w:tc>
        <w:tc>
          <w:tcPr>
            <w:tcW w:w="0" w:type="auto"/>
            <w:gridSpan w:val="3"/>
            <w:shd w:val="clear" w:color="auto" w:fill="auto"/>
            <w:tcMar>
              <w:left w:w="20" w:type="dxa"/>
              <w:right w:w="20" w:type="dxa"/>
            </w:tcMar>
            <w:vAlign w:val="bottom"/>
          </w:tcPr>
          <w:p w14:paraId="1D025DA8" w14:textId="77777777" w:rsidR="004421F6" w:rsidRDefault="004421F6">
            <w:pPr>
              <w:rPr>
                <w:rFonts w:ascii="宋体"/>
              </w:rPr>
            </w:pPr>
          </w:p>
        </w:tc>
        <w:tc>
          <w:tcPr>
            <w:tcW w:w="0" w:type="auto"/>
            <w:gridSpan w:val="3"/>
            <w:shd w:val="clear" w:color="auto" w:fill="auto"/>
            <w:tcMar>
              <w:left w:w="20" w:type="dxa"/>
              <w:right w:w="20" w:type="dxa"/>
            </w:tcMar>
            <w:vAlign w:val="bottom"/>
          </w:tcPr>
          <w:p w14:paraId="1D025DA9" w14:textId="77777777" w:rsidR="004421F6" w:rsidRDefault="004421F6">
            <w:pPr>
              <w:rPr>
                <w:rFonts w:ascii="宋体"/>
              </w:rPr>
            </w:pPr>
          </w:p>
        </w:tc>
        <w:tc>
          <w:tcPr>
            <w:tcW w:w="0" w:type="auto"/>
            <w:gridSpan w:val="3"/>
            <w:vMerge/>
            <w:shd w:val="clear" w:color="auto" w:fill="auto"/>
            <w:tcMar>
              <w:top w:w="40" w:type="dxa"/>
              <w:left w:w="20" w:type="dxa"/>
              <w:bottom w:w="40" w:type="dxa"/>
              <w:right w:w="20" w:type="dxa"/>
            </w:tcMar>
            <w:vAlign w:val="bottom"/>
          </w:tcPr>
          <w:p w14:paraId="1D025DAA" w14:textId="77777777" w:rsidR="004421F6" w:rsidRDefault="004421F6">
            <w:pPr>
              <w:rPr>
                <w:rFonts w:ascii="宋体"/>
              </w:rPr>
            </w:pPr>
          </w:p>
        </w:tc>
        <w:tc>
          <w:tcPr>
            <w:tcW w:w="0" w:type="auto"/>
            <w:gridSpan w:val="3"/>
            <w:shd w:val="clear" w:color="auto" w:fill="auto"/>
          </w:tcPr>
          <w:p w14:paraId="1D025DAB" w14:textId="77777777" w:rsidR="004421F6" w:rsidRDefault="004421F6">
            <w:pPr>
              <w:rPr>
                <w:rFonts w:ascii="宋体"/>
                <w:vanish/>
              </w:rPr>
            </w:pPr>
          </w:p>
        </w:tc>
      </w:tr>
      <w:tr w:rsidR="004421F6" w14:paraId="1D025DB7" w14:textId="77777777">
        <w:tc>
          <w:tcPr>
            <w:tcW w:w="0" w:type="auto"/>
            <w:gridSpan w:val="3"/>
            <w:shd w:val="clear" w:color="auto" w:fill="auto"/>
            <w:tcMar>
              <w:top w:w="40" w:type="dxa"/>
              <w:left w:w="20" w:type="dxa"/>
              <w:bottom w:w="40" w:type="dxa"/>
              <w:right w:w="20" w:type="dxa"/>
            </w:tcMar>
            <w:vAlign w:val="bottom"/>
          </w:tcPr>
          <w:p w14:paraId="1D025DAD"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DAE"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DAF"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shd w:val="clear" w:color="auto" w:fill="auto"/>
            <w:tcMar>
              <w:left w:w="20" w:type="dxa"/>
              <w:right w:w="20" w:type="dxa"/>
            </w:tcMar>
            <w:vAlign w:val="bottom"/>
          </w:tcPr>
          <w:p w14:paraId="1D025DB0" w14:textId="77777777" w:rsidR="004421F6" w:rsidRDefault="004421F6">
            <w:pPr>
              <w:rPr>
                <w:rFonts w:ascii="宋体"/>
              </w:rPr>
            </w:pPr>
          </w:p>
        </w:tc>
        <w:tc>
          <w:tcPr>
            <w:tcW w:w="0" w:type="auto"/>
            <w:gridSpan w:val="3"/>
            <w:shd w:val="clear" w:color="auto" w:fill="auto"/>
            <w:tcMar>
              <w:left w:w="20" w:type="dxa"/>
              <w:right w:w="20" w:type="dxa"/>
            </w:tcMar>
            <w:vAlign w:val="bottom"/>
          </w:tcPr>
          <w:p w14:paraId="1D025DB1" w14:textId="77777777" w:rsidR="004421F6" w:rsidRDefault="004421F6">
            <w:pPr>
              <w:rPr>
                <w:rFonts w:ascii="宋体"/>
              </w:rPr>
            </w:pPr>
          </w:p>
        </w:tc>
        <w:tc>
          <w:tcPr>
            <w:tcW w:w="0" w:type="auto"/>
            <w:gridSpan w:val="3"/>
            <w:shd w:val="clear" w:color="auto" w:fill="auto"/>
          </w:tcPr>
          <w:p w14:paraId="1D025DB2" w14:textId="77777777" w:rsidR="004421F6" w:rsidRDefault="004421F6">
            <w:pPr>
              <w:rPr>
                <w:rFonts w:ascii="宋体"/>
                <w:vanish/>
              </w:rPr>
            </w:pPr>
          </w:p>
        </w:tc>
        <w:tc>
          <w:tcPr>
            <w:tcW w:w="0" w:type="auto"/>
            <w:gridSpan w:val="3"/>
            <w:vMerge/>
            <w:shd w:val="clear" w:color="auto" w:fill="auto"/>
            <w:tcMar>
              <w:top w:w="40" w:type="dxa"/>
              <w:left w:w="20" w:type="dxa"/>
              <w:bottom w:w="40" w:type="dxa"/>
              <w:right w:w="20" w:type="dxa"/>
            </w:tcMar>
            <w:vAlign w:val="bottom"/>
          </w:tcPr>
          <w:p w14:paraId="1D025DB3" w14:textId="77777777" w:rsidR="004421F6" w:rsidRDefault="004421F6">
            <w:pPr>
              <w:rPr>
                <w:rFonts w:ascii="宋体"/>
              </w:rPr>
            </w:pPr>
          </w:p>
        </w:tc>
        <w:tc>
          <w:tcPr>
            <w:tcW w:w="0" w:type="auto"/>
            <w:shd w:val="clear" w:color="auto" w:fill="auto"/>
          </w:tcPr>
          <w:p w14:paraId="1D025DB4" w14:textId="77777777" w:rsidR="004421F6" w:rsidRDefault="004421F6">
            <w:pPr>
              <w:rPr>
                <w:rFonts w:ascii="宋体"/>
              </w:rPr>
            </w:pPr>
          </w:p>
        </w:tc>
        <w:tc>
          <w:tcPr>
            <w:tcW w:w="0" w:type="auto"/>
            <w:shd w:val="clear" w:color="auto" w:fill="auto"/>
          </w:tcPr>
          <w:p w14:paraId="1D025DB5" w14:textId="77777777" w:rsidR="004421F6" w:rsidRDefault="004421F6">
            <w:pPr>
              <w:rPr>
                <w:rFonts w:ascii="宋体"/>
              </w:rPr>
            </w:pPr>
          </w:p>
        </w:tc>
        <w:tc>
          <w:tcPr>
            <w:tcW w:w="0" w:type="auto"/>
            <w:shd w:val="clear" w:color="auto" w:fill="auto"/>
          </w:tcPr>
          <w:p w14:paraId="1D025DB6" w14:textId="77777777" w:rsidR="004421F6" w:rsidRDefault="004421F6">
            <w:pPr>
              <w:rPr>
                <w:rFonts w:ascii="宋体"/>
              </w:rPr>
            </w:pPr>
          </w:p>
        </w:tc>
      </w:tr>
      <w:tr w:rsidR="004421F6" w14:paraId="1D025DC4" w14:textId="77777777">
        <w:trPr>
          <w:hidden/>
        </w:trPr>
        <w:tc>
          <w:tcPr>
            <w:tcW w:w="0" w:type="auto"/>
            <w:gridSpan w:val="3"/>
            <w:shd w:val="clear" w:color="auto" w:fill="auto"/>
          </w:tcPr>
          <w:p w14:paraId="1D025DB8" w14:textId="77777777" w:rsidR="004421F6" w:rsidRDefault="004421F6">
            <w:pPr>
              <w:rPr>
                <w:rFonts w:ascii="宋体"/>
                <w:vanish/>
              </w:rPr>
            </w:pPr>
          </w:p>
        </w:tc>
        <w:tc>
          <w:tcPr>
            <w:tcW w:w="0" w:type="auto"/>
            <w:gridSpan w:val="3"/>
            <w:shd w:val="clear" w:color="auto" w:fill="auto"/>
          </w:tcPr>
          <w:p w14:paraId="1D025DB9" w14:textId="77777777" w:rsidR="004421F6" w:rsidRDefault="004421F6">
            <w:pPr>
              <w:rPr>
                <w:rFonts w:ascii="宋体"/>
                <w:vanish/>
              </w:rPr>
            </w:pPr>
          </w:p>
        </w:tc>
        <w:tc>
          <w:tcPr>
            <w:tcW w:w="0" w:type="auto"/>
            <w:gridSpan w:val="3"/>
            <w:shd w:val="clear" w:color="auto" w:fill="auto"/>
          </w:tcPr>
          <w:p w14:paraId="1D025DBA" w14:textId="77777777" w:rsidR="004421F6" w:rsidRDefault="004421F6">
            <w:pPr>
              <w:rPr>
                <w:rFonts w:ascii="宋体"/>
                <w:vanish/>
              </w:rPr>
            </w:pPr>
          </w:p>
        </w:tc>
        <w:tc>
          <w:tcPr>
            <w:tcW w:w="0" w:type="auto"/>
            <w:gridSpan w:val="3"/>
            <w:shd w:val="clear" w:color="auto" w:fill="auto"/>
          </w:tcPr>
          <w:p w14:paraId="1D025DBB" w14:textId="77777777" w:rsidR="004421F6" w:rsidRDefault="004421F6">
            <w:pPr>
              <w:rPr>
                <w:rFonts w:ascii="宋体"/>
                <w:vanish/>
              </w:rPr>
            </w:pPr>
          </w:p>
        </w:tc>
        <w:tc>
          <w:tcPr>
            <w:tcW w:w="0" w:type="auto"/>
            <w:gridSpan w:val="3"/>
            <w:shd w:val="clear" w:color="auto" w:fill="auto"/>
          </w:tcPr>
          <w:p w14:paraId="1D025DBC" w14:textId="77777777" w:rsidR="004421F6" w:rsidRDefault="004421F6">
            <w:pPr>
              <w:rPr>
                <w:rFonts w:ascii="宋体"/>
                <w:vanish/>
              </w:rPr>
            </w:pPr>
          </w:p>
        </w:tc>
        <w:tc>
          <w:tcPr>
            <w:tcW w:w="0" w:type="auto"/>
            <w:gridSpan w:val="3"/>
            <w:shd w:val="clear" w:color="auto" w:fill="auto"/>
          </w:tcPr>
          <w:p w14:paraId="1D025DBD" w14:textId="77777777" w:rsidR="004421F6" w:rsidRDefault="004421F6">
            <w:pPr>
              <w:rPr>
                <w:rFonts w:ascii="宋体"/>
                <w:vanish/>
              </w:rPr>
            </w:pPr>
          </w:p>
        </w:tc>
        <w:tc>
          <w:tcPr>
            <w:tcW w:w="0" w:type="auto"/>
            <w:shd w:val="clear" w:color="auto" w:fill="auto"/>
          </w:tcPr>
          <w:p w14:paraId="1D025DBE" w14:textId="77777777" w:rsidR="004421F6" w:rsidRDefault="004421F6">
            <w:pPr>
              <w:rPr>
                <w:rFonts w:ascii="宋体"/>
              </w:rPr>
            </w:pPr>
          </w:p>
        </w:tc>
        <w:tc>
          <w:tcPr>
            <w:tcW w:w="0" w:type="auto"/>
            <w:shd w:val="clear" w:color="auto" w:fill="auto"/>
          </w:tcPr>
          <w:p w14:paraId="1D025DBF" w14:textId="77777777" w:rsidR="004421F6" w:rsidRDefault="004421F6">
            <w:pPr>
              <w:rPr>
                <w:rFonts w:ascii="宋体"/>
              </w:rPr>
            </w:pPr>
          </w:p>
        </w:tc>
        <w:tc>
          <w:tcPr>
            <w:tcW w:w="0" w:type="auto"/>
            <w:shd w:val="clear" w:color="auto" w:fill="auto"/>
          </w:tcPr>
          <w:p w14:paraId="1D025DC0" w14:textId="77777777" w:rsidR="004421F6" w:rsidRDefault="004421F6">
            <w:pPr>
              <w:rPr>
                <w:rFonts w:ascii="宋体"/>
              </w:rPr>
            </w:pPr>
          </w:p>
        </w:tc>
        <w:tc>
          <w:tcPr>
            <w:tcW w:w="0" w:type="auto"/>
            <w:shd w:val="clear" w:color="auto" w:fill="auto"/>
          </w:tcPr>
          <w:p w14:paraId="1D025DC1" w14:textId="77777777" w:rsidR="004421F6" w:rsidRDefault="004421F6">
            <w:pPr>
              <w:rPr>
                <w:rFonts w:ascii="宋体"/>
              </w:rPr>
            </w:pPr>
          </w:p>
        </w:tc>
        <w:tc>
          <w:tcPr>
            <w:tcW w:w="0" w:type="auto"/>
            <w:shd w:val="clear" w:color="auto" w:fill="auto"/>
          </w:tcPr>
          <w:p w14:paraId="1D025DC2" w14:textId="77777777" w:rsidR="004421F6" w:rsidRDefault="004421F6">
            <w:pPr>
              <w:rPr>
                <w:rFonts w:ascii="宋体"/>
              </w:rPr>
            </w:pPr>
          </w:p>
        </w:tc>
        <w:tc>
          <w:tcPr>
            <w:tcW w:w="0" w:type="auto"/>
            <w:shd w:val="clear" w:color="auto" w:fill="auto"/>
          </w:tcPr>
          <w:p w14:paraId="1D025DC3" w14:textId="77777777" w:rsidR="004421F6" w:rsidRDefault="004421F6">
            <w:pPr>
              <w:rPr>
                <w:rFonts w:ascii="宋体"/>
              </w:rPr>
            </w:pPr>
          </w:p>
        </w:tc>
      </w:tr>
      <w:tr w:rsidR="004421F6" w14:paraId="1D025DD1" w14:textId="77777777">
        <w:trPr>
          <w:hidden/>
        </w:trPr>
        <w:tc>
          <w:tcPr>
            <w:tcW w:w="0" w:type="auto"/>
            <w:gridSpan w:val="3"/>
            <w:shd w:val="clear" w:color="auto" w:fill="auto"/>
          </w:tcPr>
          <w:p w14:paraId="1D025DC5" w14:textId="77777777" w:rsidR="004421F6" w:rsidRDefault="004421F6">
            <w:pPr>
              <w:rPr>
                <w:rFonts w:ascii="宋体"/>
                <w:vanish/>
              </w:rPr>
            </w:pPr>
          </w:p>
        </w:tc>
        <w:tc>
          <w:tcPr>
            <w:tcW w:w="0" w:type="auto"/>
            <w:gridSpan w:val="3"/>
            <w:shd w:val="clear" w:color="auto" w:fill="auto"/>
          </w:tcPr>
          <w:p w14:paraId="1D025DC6" w14:textId="77777777" w:rsidR="004421F6" w:rsidRDefault="004421F6">
            <w:pPr>
              <w:rPr>
                <w:rFonts w:ascii="宋体"/>
                <w:vanish/>
              </w:rPr>
            </w:pPr>
          </w:p>
        </w:tc>
        <w:tc>
          <w:tcPr>
            <w:tcW w:w="0" w:type="auto"/>
            <w:gridSpan w:val="3"/>
            <w:shd w:val="clear" w:color="auto" w:fill="auto"/>
          </w:tcPr>
          <w:p w14:paraId="1D025DC7" w14:textId="77777777" w:rsidR="004421F6" w:rsidRDefault="004421F6">
            <w:pPr>
              <w:rPr>
                <w:rFonts w:ascii="宋体"/>
                <w:vanish/>
              </w:rPr>
            </w:pPr>
          </w:p>
        </w:tc>
        <w:tc>
          <w:tcPr>
            <w:tcW w:w="0" w:type="auto"/>
            <w:gridSpan w:val="3"/>
            <w:shd w:val="clear" w:color="auto" w:fill="auto"/>
          </w:tcPr>
          <w:p w14:paraId="1D025DC8" w14:textId="77777777" w:rsidR="004421F6" w:rsidRDefault="004421F6">
            <w:pPr>
              <w:rPr>
                <w:rFonts w:ascii="宋体"/>
                <w:vanish/>
              </w:rPr>
            </w:pPr>
          </w:p>
        </w:tc>
        <w:tc>
          <w:tcPr>
            <w:tcW w:w="0" w:type="auto"/>
            <w:gridSpan w:val="3"/>
            <w:shd w:val="clear" w:color="auto" w:fill="auto"/>
          </w:tcPr>
          <w:p w14:paraId="1D025DC9" w14:textId="77777777" w:rsidR="004421F6" w:rsidRDefault="004421F6">
            <w:pPr>
              <w:rPr>
                <w:rFonts w:ascii="宋体"/>
                <w:vanish/>
              </w:rPr>
            </w:pPr>
          </w:p>
        </w:tc>
        <w:tc>
          <w:tcPr>
            <w:tcW w:w="0" w:type="auto"/>
            <w:gridSpan w:val="3"/>
            <w:shd w:val="clear" w:color="auto" w:fill="auto"/>
          </w:tcPr>
          <w:p w14:paraId="1D025DCA" w14:textId="77777777" w:rsidR="004421F6" w:rsidRDefault="004421F6">
            <w:pPr>
              <w:rPr>
                <w:rFonts w:ascii="宋体"/>
                <w:vanish/>
              </w:rPr>
            </w:pPr>
          </w:p>
        </w:tc>
        <w:tc>
          <w:tcPr>
            <w:tcW w:w="0" w:type="auto"/>
            <w:shd w:val="clear" w:color="auto" w:fill="auto"/>
          </w:tcPr>
          <w:p w14:paraId="1D025DCB" w14:textId="77777777" w:rsidR="004421F6" w:rsidRDefault="004421F6">
            <w:pPr>
              <w:rPr>
                <w:rFonts w:ascii="宋体"/>
              </w:rPr>
            </w:pPr>
          </w:p>
        </w:tc>
        <w:tc>
          <w:tcPr>
            <w:tcW w:w="0" w:type="auto"/>
            <w:shd w:val="clear" w:color="auto" w:fill="auto"/>
          </w:tcPr>
          <w:p w14:paraId="1D025DCC" w14:textId="77777777" w:rsidR="004421F6" w:rsidRDefault="004421F6">
            <w:pPr>
              <w:rPr>
                <w:rFonts w:ascii="宋体"/>
              </w:rPr>
            </w:pPr>
          </w:p>
        </w:tc>
        <w:tc>
          <w:tcPr>
            <w:tcW w:w="0" w:type="auto"/>
            <w:shd w:val="clear" w:color="auto" w:fill="auto"/>
          </w:tcPr>
          <w:p w14:paraId="1D025DCD" w14:textId="77777777" w:rsidR="004421F6" w:rsidRDefault="004421F6">
            <w:pPr>
              <w:rPr>
                <w:rFonts w:ascii="宋体"/>
              </w:rPr>
            </w:pPr>
          </w:p>
        </w:tc>
        <w:tc>
          <w:tcPr>
            <w:tcW w:w="0" w:type="auto"/>
            <w:shd w:val="clear" w:color="auto" w:fill="auto"/>
          </w:tcPr>
          <w:p w14:paraId="1D025DCE" w14:textId="77777777" w:rsidR="004421F6" w:rsidRDefault="004421F6">
            <w:pPr>
              <w:rPr>
                <w:rFonts w:ascii="宋体"/>
              </w:rPr>
            </w:pPr>
          </w:p>
        </w:tc>
        <w:tc>
          <w:tcPr>
            <w:tcW w:w="0" w:type="auto"/>
            <w:shd w:val="clear" w:color="auto" w:fill="auto"/>
          </w:tcPr>
          <w:p w14:paraId="1D025DCF" w14:textId="77777777" w:rsidR="004421F6" w:rsidRDefault="004421F6">
            <w:pPr>
              <w:rPr>
                <w:rFonts w:ascii="宋体"/>
              </w:rPr>
            </w:pPr>
          </w:p>
        </w:tc>
        <w:tc>
          <w:tcPr>
            <w:tcW w:w="0" w:type="auto"/>
            <w:shd w:val="clear" w:color="auto" w:fill="auto"/>
          </w:tcPr>
          <w:p w14:paraId="1D025DD0" w14:textId="77777777" w:rsidR="004421F6" w:rsidRDefault="004421F6">
            <w:pPr>
              <w:rPr>
                <w:rFonts w:ascii="宋体"/>
              </w:rPr>
            </w:pPr>
          </w:p>
        </w:tc>
      </w:tr>
      <w:tr w:rsidR="004421F6" w14:paraId="1D025DD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DD2" w14:textId="77777777" w:rsidR="004421F6" w:rsidRDefault="00F15622">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FFF1E7"/>
            <w:tcMar>
              <w:left w:w="20" w:type="dxa"/>
              <w:right w:w="20" w:type="dxa"/>
            </w:tcMar>
            <w:vAlign w:val="bottom"/>
          </w:tcPr>
          <w:p w14:paraId="1D025DD3"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DD4"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DD5"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DD6"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DD7" w14:textId="77777777" w:rsidR="004421F6" w:rsidRDefault="004421F6">
            <w:pPr>
              <w:rPr>
                <w:rFonts w:ascii="宋体"/>
              </w:rPr>
            </w:pPr>
          </w:p>
        </w:tc>
        <w:tc>
          <w:tcPr>
            <w:tcW w:w="0" w:type="auto"/>
            <w:shd w:val="clear" w:color="auto" w:fill="auto"/>
          </w:tcPr>
          <w:p w14:paraId="1D025DD8" w14:textId="77777777" w:rsidR="004421F6" w:rsidRDefault="004421F6">
            <w:pPr>
              <w:rPr>
                <w:rFonts w:ascii="宋体"/>
              </w:rPr>
            </w:pPr>
          </w:p>
        </w:tc>
        <w:tc>
          <w:tcPr>
            <w:tcW w:w="0" w:type="auto"/>
            <w:shd w:val="clear" w:color="auto" w:fill="auto"/>
          </w:tcPr>
          <w:p w14:paraId="1D025DD9" w14:textId="77777777" w:rsidR="004421F6" w:rsidRDefault="004421F6">
            <w:pPr>
              <w:rPr>
                <w:rFonts w:ascii="宋体"/>
              </w:rPr>
            </w:pPr>
          </w:p>
        </w:tc>
        <w:tc>
          <w:tcPr>
            <w:tcW w:w="0" w:type="auto"/>
            <w:shd w:val="clear" w:color="auto" w:fill="auto"/>
          </w:tcPr>
          <w:p w14:paraId="1D025DDA" w14:textId="77777777" w:rsidR="004421F6" w:rsidRDefault="004421F6">
            <w:pPr>
              <w:rPr>
                <w:rFonts w:ascii="宋体"/>
              </w:rPr>
            </w:pPr>
          </w:p>
        </w:tc>
        <w:tc>
          <w:tcPr>
            <w:tcW w:w="0" w:type="auto"/>
            <w:shd w:val="clear" w:color="auto" w:fill="auto"/>
          </w:tcPr>
          <w:p w14:paraId="1D025DDB" w14:textId="77777777" w:rsidR="004421F6" w:rsidRDefault="004421F6">
            <w:pPr>
              <w:rPr>
                <w:rFonts w:ascii="宋体"/>
              </w:rPr>
            </w:pPr>
          </w:p>
        </w:tc>
        <w:tc>
          <w:tcPr>
            <w:tcW w:w="0" w:type="auto"/>
            <w:shd w:val="clear" w:color="auto" w:fill="auto"/>
          </w:tcPr>
          <w:p w14:paraId="1D025DDC" w14:textId="77777777" w:rsidR="004421F6" w:rsidRDefault="004421F6">
            <w:pPr>
              <w:rPr>
                <w:rFonts w:ascii="宋体"/>
              </w:rPr>
            </w:pPr>
          </w:p>
        </w:tc>
        <w:tc>
          <w:tcPr>
            <w:tcW w:w="0" w:type="auto"/>
            <w:shd w:val="clear" w:color="auto" w:fill="auto"/>
          </w:tcPr>
          <w:p w14:paraId="1D025DDD" w14:textId="77777777" w:rsidR="004421F6" w:rsidRDefault="004421F6">
            <w:pPr>
              <w:rPr>
                <w:rFonts w:ascii="宋体"/>
              </w:rPr>
            </w:pPr>
          </w:p>
        </w:tc>
      </w:tr>
      <w:tr w:rsidR="004421F6" w14:paraId="1D025DEF"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DDF" w14:textId="77777777" w:rsidR="004421F6" w:rsidRDefault="00F15622">
            <w:pPr>
              <w:textAlignment w:val="bottom"/>
            </w:pPr>
            <w:r>
              <w:rPr>
                <w:rFonts w:ascii="Arial" w:eastAsia="宋体" w:hAnsi="Arial" w:cs="Arial"/>
                <w:color w:val="000000"/>
                <w:sz w:val="17"/>
                <w:szCs w:val="17"/>
              </w:rPr>
              <w:t xml:space="preserve">Foreign exchange </w:t>
            </w:r>
            <w:r>
              <w:rPr>
                <w:rFonts w:ascii="Arial" w:eastAsia="宋体" w:hAnsi="Arial" w:cs="Arial"/>
                <w:color w:val="000000"/>
                <w:sz w:val="17"/>
                <w:szCs w:val="17"/>
              </w:rPr>
              <w:t>forwards and options</w:t>
            </w:r>
          </w:p>
        </w:tc>
        <w:tc>
          <w:tcPr>
            <w:tcW w:w="0" w:type="auto"/>
            <w:tcBorders>
              <w:top w:val="single" w:sz="8" w:space="0" w:color="808080"/>
            </w:tcBorders>
            <w:shd w:val="clear" w:color="auto" w:fill="FFF1E7"/>
            <w:tcMar>
              <w:top w:w="40" w:type="dxa"/>
              <w:left w:w="20" w:type="dxa"/>
              <w:bottom w:w="40" w:type="dxa"/>
            </w:tcMar>
            <w:vAlign w:val="bottom"/>
          </w:tcPr>
          <w:p w14:paraId="1D025DE0"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5DE1" w14:textId="77777777" w:rsidR="004421F6" w:rsidRDefault="00F15622">
            <w:pPr>
              <w:jc w:val="right"/>
              <w:textAlignment w:val="bottom"/>
            </w:pPr>
            <w:r>
              <w:rPr>
                <w:rFonts w:ascii="Arial" w:eastAsia="宋体" w:hAnsi="Arial" w:cs="Arial"/>
                <w:color w:val="000000"/>
                <w:sz w:val="17"/>
                <w:szCs w:val="17"/>
              </w:rPr>
              <w:t>(38)</w:t>
            </w:r>
          </w:p>
        </w:tc>
        <w:tc>
          <w:tcPr>
            <w:tcW w:w="0" w:type="auto"/>
            <w:tcBorders>
              <w:top w:val="single" w:sz="8" w:space="0" w:color="808080"/>
            </w:tcBorders>
            <w:shd w:val="clear" w:color="auto" w:fill="FFF1E7"/>
            <w:tcMar>
              <w:top w:w="40" w:type="dxa"/>
              <w:bottom w:w="40" w:type="dxa"/>
              <w:right w:w="20" w:type="dxa"/>
            </w:tcMar>
            <w:vAlign w:val="bottom"/>
          </w:tcPr>
          <w:p w14:paraId="1D025DE2"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5DE3"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5DE4"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5DE5"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DE6"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DE7" w14:textId="77777777" w:rsidR="004421F6" w:rsidRDefault="004421F6">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DE8" w14:textId="77777777" w:rsidR="004421F6" w:rsidRDefault="00F15622">
            <w:pPr>
              <w:jc w:val="right"/>
              <w:textAlignment w:val="bottom"/>
            </w:pPr>
            <w:r>
              <w:rPr>
                <w:rFonts w:ascii="Arial" w:eastAsia="宋体" w:hAnsi="Arial" w:cs="Arial"/>
                <w:color w:val="000000"/>
                <w:sz w:val="17"/>
                <w:szCs w:val="17"/>
              </w:rPr>
              <w:t>Other (income) expense, net</w:t>
            </w:r>
          </w:p>
        </w:tc>
        <w:tc>
          <w:tcPr>
            <w:tcW w:w="0" w:type="auto"/>
            <w:shd w:val="clear" w:color="auto" w:fill="auto"/>
          </w:tcPr>
          <w:p w14:paraId="1D025DE9" w14:textId="77777777" w:rsidR="004421F6" w:rsidRDefault="004421F6">
            <w:pPr>
              <w:rPr>
                <w:rFonts w:ascii="宋体"/>
              </w:rPr>
            </w:pPr>
          </w:p>
        </w:tc>
        <w:tc>
          <w:tcPr>
            <w:tcW w:w="0" w:type="auto"/>
            <w:shd w:val="clear" w:color="auto" w:fill="auto"/>
          </w:tcPr>
          <w:p w14:paraId="1D025DEA" w14:textId="77777777" w:rsidR="004421F6" w:rsidRDefault="004421F6">
            <w:pPr>
              <w:rPr>
                <w:rFonts w:ascii="宋体"/>
              </w:rPr>
            </w:pPr>
          </w:p>
        </w:tc>
        <w:tc>
          <w:tcPr>
            <w:tcW w:w="0" w:type="auto"/>
            <w:shd w:val="clear" w:color="auto" w:fill="auto"/>
          </w:tcPr>
          <w:p w14:paraId="1D025DEB" w14:textId="77777777" w:rsidR="004421F6" w:rsidRDefault="004421F6">
            <w:pPr>
              <w:rPr>
                <w:rFonts w:ascii="宋体"/>
              </w:rPr>
            </w:pPr>
          </w:p>
        </w:tc>
        <w:tc>
          <w:tcPr>
            <w:tcW w:w="0" w:type="auto"/>
            <w:shd w:val="clear" w:color="auto" w:fill="auto"/>
          </w:tcPr>
          <w:p w14:paraId="1D025DEC" w14:textId="77777777" w:rsidR="004421F6" w:rsidRDefault="004421F6">
            <w:pPr>
              <w:rPr>
                <w:rFonts w:ascii="宋体"/>
              </w:rPr>
            </w:pPr>
          </w:p>
        </w:tc>
        <w:tc>
          <w:tcPr>
            <w:tcW w:w="0" w:type="auto"/>
            <w:shd w:val="clear" w:color="auto" w:fill="auto"/>
          </w:tcPr>
          <w:p w14:paraId="1D025DED" w14:textId="77777777" w:rsidR="004421F6" w:rsidRDefault="004421F6">
            <w:pPr>
              <w:rPr>
                <w:rFonts w:ascii="宋体"/>
              </w:rPr>
            </w:pPr>
          </w:p>
        </w:tc>
        <w:tc>
          <w:tcPr>
            <w:tcW w:w="0" w:type="auto"/>
            <w:shd w:val="clear" w:color="auto" w:fill="auto"/>
          </w:tcPr>
          <w:p w14:paraId="1D025DEE" w14:textId="77777777" w:rsidR="004421F6" w:rsidRDefault="004421F6">
            <w:pPr>
              <w:rPr>
                <w:rFonts w:ascii="宋体"/>
              </w:rPr>
            </w:pPr>
          </w:p>
        </w:tc>
      </w:tr>
      <w:tr w:rsidR="004421F6" w14:paraId="1D025DFE" w14:textId="77777777">
        <w:tc>
          <w:tcPr>
            <w:tcW w:w="0" w:type="auto"/>
            <w:gridSpan w:val="3"/>
            <w:tcBorders>
              <w:top w:val="single" w:sz="8" w:space="0" w:color="808080"/>
              <w:bottom w:val="single" w:sz="8" w:space="0" w:color="E87722"/>
            </w:tcBorders>
            <w:shd w:val="clear" w:color="auto" w:fill="auto"/>
            <w:tcMar>
              <w:top w:w="40" w:type="dxa"/>
              <w:left w:w="135" w:type="dxa"/>
              <w:bottom w:w="40" w:type="dxa"/>
              <w:right w:w="20" w:type="dxa"/>
            </w:tcMar>
            <w:vAlign w:val="bottom"/>
          </w:tcPr>
          <w:p w14:paraId="1D025DF0" w14:textId="77777777" w:rsidR="004421F6" w:rsidRDefault="00F15622">
            <w:pPr>
              <w:textAlignment w:val="bottom"/>
            </w:pPr>
            <w:r>
              <w:rPr>
                <w:rFonts w:ascii="Arial" w:eastAsia="宋体" w:hAnsi="Arial" w:cs="Arial"/>
                <w:color w:val="000000"/>
                <w:sz w:val="17"/>
                <w:szCs w:val="17"/>
              </w:rPr>
              <w:t xml:space="preserve">Embedded </w:t>
            </w:r>
            <w:r>
              <w:rPr>
                <w:rFonts w:ascii="Arial" w:eastAsia="宋体" w:hAnsi="Arial" w:cs="Arial"/>
                <w:color w:val="000000"/>
                <w:sz w:val="17"/>
                <w:szCs w:val="17"/>
              </w:rPr>
              <w:t>derivatives</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1D025DF1" w14:textId="77777777" w:rsidR="004421F6" w:rsidRDefault="00F15622">
            <w:pPr>
              <w:jc w:val="right"/>
              <w:textAlignment w:val="bottom"/>
            </w:pPr>
            <w:r>
              <w:rPr>
                <w:rFonts w:ascii="Arial" w:eastAsia="宋体" w:hAnsi="Arial" w:cs="Arial"/>
                <w:color w:val="000000"/>
                <w:sz w:val="17"/>
                <w:szCs w:val="17"/>
              </w:rPr>
              <w:t>(4)</w:t>
            </w:r>
          </w:p>
        </w:tc>
        <w:tc>
          <w:tcPr>
            <w:tcW w:w="0" w:type="auto"/>
            <w:tcBorders>
              <w:top w:val="single" w:sz="8" w:space="0" w:color="808080"/>
              <w:bottom w:val="single" w:sz="8" w:space="0" w:color="E87722"/>
            </w:tcBorders>
            <w:shd w:val="clear" w:color="auto" w:fill="FFF1E7"/>
            <w:tcMar>
              <w:top w:w="40" w:type="dxa"/>
              <w:bottom w:w="40" w:type="dxa"/>
              <w:right w:w="20" w:type="dxa"/>
            </w:tcMar>
            <w:vAlign w:val="bottom"/>
          </w:tcPr>
          <w:p w14:paraId="1D025DF2" w14:textId="77777777" w:rsidR="004421F6" w:rsidRDefault="004421F6">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1D025DF3" w14:textId="77777777" w:rsidR="004421F6" w:rsidRDefault="00F15622">
            <w:pPr>
              <w:jc w:val="right"/>
              <w:textAlignment w:val="bottom"/>
            </w:pPr>
            <w:r>
              <w:rPr>
                <w:rFonts w:ascii="Arial" w:eastAsia="宋体" w:hAnsi="Arial" w:cs="Arial"/>
                <w:color w:val="000000"/>
                <w:sz w:val="17"/>
                <w:szCs w:val="17"/>
              </w:rPr>
              <w:t>(1)</w:t>
            </w:r>
          </w:p>
        </w:tc>
        <w:tc>
          <w:tcPr>
            <w:tcW w:w="0" w:type="auto"/>
            <w:tcBorders>
              <w:top w:val="single" w:sz="8" w:space="0" w:color="808080"/>
              <w:bottom w:val="single" w:sz="8" w:space="0" w:color="E87722"/>
            </w:tcBorders>
            <w:shd w:val="clear" w:color="auto" w:fill="auto"/>
            <w:tcMar>
              <w:top w:w="40" w:type="dxa"/>
              <w:bottom w:w="40" w:type="dxa"/>
              <w:right w:w="20" w:type="dxa"/>
            </w:tcMar>
            <w:vAlign w:val="bottom"/>
          </w:tcPr>
          <w:p w14:paraId="1D025DF4" w14:textId="77777777" w:rsidR="004421F6" w:rsidRDefault="004421F6">
            <w:pPr>
              <w:jc w:val="right"/>
              <w:rPr>
                <w:rFonts w:ascii="宋体"/>
              </w:rPr>
            </w:pPr>
          </w:p>
        </w:tc>
        <w:tc>
          <w:tcPr>
            <w:tcW w:w="0" w:type="auto"/>
            <w:gridSpan w:val="3"/>
            <w:tcBorders>
              <w:top w:val="single" w:sz="8" w:space="0" w:color="808080"/>
              <w:bottom w:val="single" w:sz="8" w:space="0" w:color="E87722"/>
            </w:tcBorders>
            <w:shd w:val="clear" w:color="auto" w:fill="auto"/>
            <w:tcMar>
              <w:left w:w="20" w:type="dxa"/>
              <w:right w:w="20" w:type="dxa"/>
            </w:tcMar>
            <w:vAlign w:val="bottom"/>
          </w:tcPr>
          <w:p w14:paraId="1D025DF5" w14:textId="77777777" w:rsidR="004421F6" w:rsidRDefault="004421F6">
            <w:pPr>
              <w:rPr>
                <w:rFonts w:ascii="宋体"/>
              </w:rPr>
            </w:pPr>
          </w:p>
        </w:tc>
        <w:tc>
          <w:tcPr>
            <w:tcW w:w="0" w:type="auto"/>
            <w:gridSpan w:val="3"/>
            <w:tcBorders>
              <w:top w:val="single" w:sz="8" w:space="0" w:color="808080"/>
              <w:bottom w:val="single" w:sz="8" w:space="0" w:color="E87722"/>
            </w:tcBorders>
            <w:shd w:val="clear" w:color="auto" w:fill="auto"/>
            <w:tcMar>
              <w:left w:w="20" w:type="dxa"/>
              <w:right w:w="20" w:type="dxa"/>
            </w:tcMar>
            <w:vAlign w:val="bottom"/>
          </w:tcPr>
          <w:p w14:paraId="1D025DF6" w14:textId="77777777" w:rsidR="004421F6" w:rsidRDefault="004421F6">
            <w:pPr>
              <w:rPr>
                <w:rFonts w:ascii="宋体"/>
              </w:rPr>
            </w:pP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1D025DF7" w14:textId="77777777" w:rsidR="004421F6" w:rsidRDefault="00F15622">
            <w:pPr>
              <w:jc w:val="right"/>
              <w:textAlignment w:val="bottom"/>
            </w:pPr>
            <w:r>
              <w:rPr>
                <w:rFonts w:ascii="Arial" w:eastAsia="宋体" w:hAnsi="Arial" w:cs="Arial"/>
                <w:color w:val="000000"/>
                <w:sz w:val="17"/>
                <w:szCs w:val="17"/>
              </w:rPr>
              <w:t>Other (income) expense, net</w:t>
            </w:r>
          </w:p>
        </w:tc>
        <w:tc>
          <w:tcPr>
            <w:tcW w:w="0" w:type="auto"/>
            <w:shd w:val="clear" w:color="auto" w:fill="auto"/>
          </w:tcPr>
          <w:p w14:paraId="1D025DF8" w14:textId="77777777" w:rsidR="004421F6" w:rsidRDefault="004421F6">
            <w:pPr>
              <w:rPr>
                <w:rFonts w:ascii="宋体"/>
              </w:rPr>
            </w:pPr>
          </w:p>
        </w:tc>
        <w:tc>
          <w:tcPr>
            <w:tcW w:w="0" w:type="auto"/>
            <w:shd w:val="clear" w:color="auto" w:fill="auto"/>
          </w:tcPr>
          <w:p w14:paraId="1D025DF9" w14:textId="77777777" w:rsidR="004421F6" w:rsidRDefault="004421F6">
            <w:pPr>
              <w:rPr>
                <w:rFonts w:ascii="宋体"/>
              </w:rPr>
            </w:pPr>
          </w:p>
        </w:tc>
        <w:tc>
          <w:tcPr>
            <w:tcW w:w="0" w:type="auto"/>
            <w:shd w:val="clear" w:color="auto" w:fill="auto"/>
          </w:tcPr>
          <w:p w14:paraId="1D025DFA" w14:textId="77777777" w:rsidR="004421F6" w:rsidRDefault="004421F6">
            <w:pPr>
              <w:rPr>
                <w:rFonts w:ascii="宋体"/>
              </w:rPr>
            </w:pPr>
          </w:p>
        </w:tc>
        <w:tc>
          <w:tcPr>
            <w:tcW w:w="0" w:type="auto"/>
            <w:shd w:val="clear" w:color="auto" w:fill="auto"/>
          </w:tcPr>
          <w:p w14:paraId="1D025DFB" w14:textId="77777777" w:rsidR="004421F6" w:rsidRDefault="004421F6">
            <w:pPr>
              <w:rPr>
                <w:rFonts w:ascii="宋体"/>
              </w:rPr>
            </w:pPr>
          </w:p>
        </w:tc>
        <w:tc>
          <w:tcPr>
            <w:tcW w:w="0" w:type="auto"/>
            <w:shd w:val="clear" w:color="auto" w:fill="auto"/>
          </w:tcPr>
          <w:p w14:paraId="1D025DFC" w14:textId="77777777" w:rsidR="004421F6" w:rsidRDefault="004421F6">
            <w:pPr>
              <w:rPr>
                <w:rFonts w:ascii="宋体"/>
              </w:rPr>
            </w:pPr>
          </w:p>
        </w:tc>
        <w:tc>
          <w:tcPr>
            <w:tcW w:w="0" w:type="auto"/>
            <w:shd w:val="clear" w:color="auto" w:fill="auto"/>
          </w:tcPr>
          <w:p w14:paraId="1D025DFD" w14:textId="77777777" w:rsidR="004421F6" w:rsidRDefault="004421F6">
            <w:pPr>
              <w:rPr>
                <w:rFonts w:ascii="宋体"/>
              </w:rPr>
            </w:pPr>
          </w:p>
        </w:tc>
      </w:tr>
    </w:tbl>
    <w:p w14:paraId="1D025DFF" w14:textId="77777777" w:rsidR="004421F6" w:rsidRDefault="00F15622">
      <w:pPr>
        <w:spacing w:before="240" w:after="120"/>
      </w:pPr>
      <w:r>
        <w:rPr>
          <w:rFonts w:ascii="sans-serif" w:eastAsia="sans-serif" w:hAnsi="sans-serif" w:cs="sans-serif"/>
          <w:b/>
          <w:bCs/>
          <w:color w:val="000000"/>
          <w:sz w:val="28"/>
          <w:szCs w:val="28"/>
        </w:rPr>
        <w:t>CASH FLOW HEDGES</w:t>
      </w:r>
    </w:p>
    <w:p w14:paraId="1D025E00" w14:textId="77777777" w:rsidR="004421F6" w:rsidRDefault="00F15622">
      <w:pPr>
        <w:spacing w:before="120" w:after="120"/>
      </w:pPr>
      <w:r>
        <w:rPr>
          <w:rFonts w:ascii="Arial" w:eastAsia="宋体" w:hAnsi="Arial" w:cs="Arial"/>
          <w:color w:val="000000"/>
          <w:sz w:val="17"/>
          <w:szCs w:val="17"/>
        </w:rPr>
        <w:t>All changes in fair value of derivatives designated as cash flow hedges are recorded in Accumulated other comprehensive income (loss) until</w:t>
      </w:r>
      <w:r>
        <w:rPr>
          <w:rFonts w:ascii="Arial" w:eastAsia="宋体" w:hAnsi="Arial" w:cs="Arial"/>
          <w:i/>
          <w:iCs/>
          <w:color w:val="000000"/>
          <w:sz w:val="17"/>
          <w:szCs w:val="17"/>
        </w:rPr>
        <w:t> </w:t>
      </w:r>
      <w:r>
        <w:rPr>
          <w:rFonts w:ascii="Arial" w:eastAsia="宋体" w:hAnsi="Arial" w:cs="Arial"/>
          <w:color w:val="000000"/>
          <w:sz w:val="17"/>
          <w:szCs w:val="17"/>
        </w:rPr>
        <w:t>Net income is affected by the variability of cash flows of the hedged transaction. Effective hedge results are classified in the Unaudited Condensed Consolidated Statements of Income in the same manner as the underlying exposure. Derivative instruments des</w:t>
      </w:r>
      <w:r>
        <w:rPr>
          <w:rFonts w:ascii="Arial" w:eastAsia="宋体" w:hAnsi="Arial" w:cs="Arial"/>
          <w:color w:val="000000"/>
          <w:sz w:val="17"/>
          <w:szCs w:val="17"/>
        </w:rPr>
        <w:t>ignated as cash flow hedges must be discontinued when it is no longer probable the forecasted hedged transaction will occur in the initially identified time period. The gains and losses associated with discontinued derivative instruments in Accumulated oth</w:t>
      </w:r>
      <w:r>
        <w:rPr>
          <w:rFonts w:ascii="Arial" w:eastAsia="宋体" w:hAnsi="Arial" w:cs="Arial"/>
          <w:color w:val="000000"/>
          <w:sz w:val="17"/>
          <w:szCs w:val="17"/>
        </w:rPr>
        <w:t>er comprehensive income (loss) will be recognized immediately in Other (income) expense, net, if it is probable the forecasted hedged transaction will not occur by the end of the initially identified time period or within an additional two-month period the</w:t>
      </w:r>
      <w:r>
        <w:rPr>
          <w:rFonts w:ascii="Arial" w:eastAsia="宋体" w:hAnsi="Arial" w:cs="Arial"/>
          <w:color w:val="000000"/>
          <w:sz w:val="17"/>
          <w:szCs w:val="17"/>
        </w:rPr>
        <w:t>reafter. In rare circumstances, the additional period of time may exceed two months due to extenuating circumstances related to the nature of the forecasted transaction that are outside the control or influence of the Company. In all situations in which he</w:t>
      </w:r>
      <w:r>
        <w:rPr>
          <w:rFonts w:ascii="Arial" w:eastAsia="宋体" w:hAnsi="Arial" w:cs="Arial"/>
          <w:color w:val="000000"/>
          <w:sz w:val="17"/>
          <w:szCs w:val="17"/>
        </w:rPr>
        <w:t xml:space="preserve">dge accounting is discontinued and the derivative remains outstanding, the Company accounts for the derivative as an undesignated instrument as discussed below. </w:t>
      </w:r>
    </w:p>
    <w:p w14:paraId="1D025E01" w14:textId="77777777" w:rsidR="004421F6" w:rsidRDefault="00F15622">
      <w:pPr>
        <w:spacing w:before="120" w:after="120"/>
      </w:pPr>
      <w:r>
        <w:rPr>
          <w:rFonts w:ascii="Arial" w:eastAsia="宋体" w:hAnsi="Arial" w:cs="Arial"/>
          <w:color w:val="000000"/>
          <w:sz w:val="17"/>
          <w:szCs w:val="17"/>
        </w:rPr>
        <w:t xml:space="preserve">The total notional amount of outstanding foreign currency derivatives designated as cash flow </w:t>
      </w:r>
      <w:r>
        <w:rPr>
          <w:rFonts w:ascii="Arial" w:eastAsia="宋体" w:hAnsi="Arial" w:cs="Arial"/>
          <w:color w:val="000000"/>
          <w:sz w:val="17"/>
          <w:szCs w:val="17"/>
        </w:rPr>
        <w:t xml:space="preserve">hedges was approximately $13.9 billion as of August 31, 2020. Approximately $97 million of deferred net losses (net of tax) on both outstanding and matured derivatives in Accumulated other comprehensive income (loss) as of August 31, 2020, are expected to </w:t>
      </w:r>
      <w:r>
        <w:rPr>
          <w:rFonts w:ascii="Arial" w:eastAsia="宋体" w:hAnsi="Arial" w:cs="Arial"/>
          <w:color w:val="000000"/>
          <w:sz w:val="17"/>
          <w:szCs w:val="17"/>
        </w:rPr>
        <w:t>be reclassified to Net income during the next 12 months concurrent with the underlying hedged transactions also being recorded in Net income. Actual amounts ultimately reclassified to Net income are dependent on the exchange rates in effect when derivative</w:t>
      </w:r>
      <w:r>
        <w:rPr>
          <w:rFonts w:ascii="Arial" w:eastAsia="宋体" w:hAnsi="Arial" w:cs="Arial"/>
          <w:color w:val="000000"/>
          <w:sz w:val="17"/>
          <w:szCs w:val="17"/>
        </w:rPr>
        <w:t xml:space="preserve"> contracts currently outstanding mature. As of August 31, 2020, the maximum term over which the Company hedges exposures to the variability of cash flows for its forecasted transactions was 27 months.</w:t>
      </w:r>
    </w:p>
    <w:p w14:paraId="1D025E02" w14:textId="77777777" w:rsidR="004421F6" w:rsidRDefault="00F15622">
      <w:pPr>
        <w:spacing w:before="120" w:after="120"/>
        <w:jc w:val="right"/>
      </w:pPr>
      <w:r>
        <w:rPr>
          <w:rFonts w:ascii="Arial" w:eastAsia="宋体" w:hAnsi="Arial" w:cs="Arial"/>
          <w:color w:val="E87722"/>
          <w:sz w:val="17"/>
          <w:szCs w:val="17"/>
        </w:rPr>
        <w:t>13</w:t>
      </w:r>
    </w:p>
    <w:p w14:paraId="1D025E03" w14:textId="77777777" w:rsidR="004421F6" w:rsidRDefault="00F15622">
      <w:r>
        <w:pict w14:anchorId="1D027288">
          <v:rect id="_x0000_i1039" style="width:415.3pt;height:1.5pt" o:hralign="center" o:hrstd="t" o:hr="t" fillcolor="#a0a0a0" stroked="f"/>
        </w:pict>
      </w:r>
    </w:p>
    <w:p w14:paraId="1D025E04" w14:textId="77777777" w:rsidR="004421F6" w:rsidRDefault="004421F6"/>
    <w:p w14:paraId="1D025E05" w14:textId="77777777" w:rsidR="004421F6" w:rsidRDefault="00F15622">
      <w:hyperlink r:id="rId84" w:anchor="i3e524f2e23844e81ba9d33a05ac3917c_7" w:history="1">
        <w:r>
          <w:rPr>
            <w:rStyle w:val="a5"/>
            <w:rFonts w:ascii="sans-serif" w:eastAsia="sans-serif" w:hAnsi="sans-serif" w:cs="sans-serif"/>
            <w:sz w:val="17"/>
            <w:szCs w:val="17"/>
          </w:rPr>
          <w:t>Table of Contents</w:t>
        </w:r>
      </w:hyperlink>
    </w:p>
    <w:p w14:paraId="1D025E06" w14:textId="77777777" w:rsidR="004421F6" w:rsidRDefault="004421F6"/>
    <w:p w14:paraId="1D025E07" w14:textId="77777777" w:rsidR="004421F6" w:rsidRDefault="00F15622">
      <w:pPr>
        <w:spacing w:before="240" w:after="120"/>
      </w:pPr>
      <w:r>
        <w:rPr>
          <w:rFonts w:ascii="sans-serif" w:eastAsia="sans-serif" w:hAnsi="sans-serif" w:cs="sans-serif"/>
          <w:b/>
          <w:bCs/>
          <w:color w:val="000000"/>
          <w:sz w:val="28"/>
          <w:szCs w:val="28"/>
        </w:rPr>
        <w:t>UNDESIGNATED DERIVATIVE INSTRUMENTS</w:t>
      </w:r>
    </w:p>
    <w:p w14:paraId="1D025E08" w14:textId="77777777" w:rsidR="004421F6" w:rsidRDefault="00F15622">
      <w:pPr>
        <w:spacing w:before="120" w:after="120"/>
      </w:pPr>
      <w:r>
        <w:rPr>
          <w:rFonts w:ascii="Arial" w:eastAsia="宋体" w:hAnsi="Arial" w:cs="Arial"/>
          <w:color w:val="000000"/>
          <w:sz w:val="17"/>
          <w:szCs w:val="17"/>
        </w:rPr>
        <w:t>The Company may elect to enter into foreign exchange forwards to mitigate the change in fair value</w:t>
      </w:r>
      <w:r>
        <w:rPr>
          <w:rFonts w:ascii="Arial" w:eastAsia="宋体" w:hAnsi="Arial" w:cs="Arial"/>
          <w:color w:val="000000"/>
          <w:sz w:val="17"/>
          <w:szCs w:val="17"/>
        </w:rPr>
        <w:t xml:space="preserve"> of specific assets and liabilities on the Unaudited Condensed Consolidated Balance Sheets and/or the embedded derivative contracts. These undesignated instruments are recorded at fair value as a derivative asset or liability on the Unaudited Condensed Con</w:t>
      </w:r>
      <w:r>
        <w:rPr>
          <w:rFonts w:ascii="Arial" w:eastAsia="宋体" w:hAnsi="Arial" w:cs="Arial"/>
          <w:color w:val="000000"/>
          <w:sz w:val="17"/>
          <w:szCs w:val="17"/>
        </w:rPr>
        <w:t>solidated Balance Sheets with their corresponding change in fair value recognized in Other (income) expense, net, together with the re-measurement gain or loss from the hedged balance sheet position and/or embedded derivative contract. The total notional a</w:t>
      </w:r>
      <w:r>
        <w:rPr>
          <w:rFonts w:ascii="Arial" w:eastAsia="宋体" w:hAnsi="Arial" w:cs="Arial"/>
          <w:color w:val="000000"/>
          <w:sz w:val="17"/>
          <w:szCs w:val="17"/>
        </w:rPr>
        <w:t>mount of outstanding undesignated derivative instruments was $4.2 billion as of August 31, 2020.</w:t>
      </w:r>
    </w:p>
    <w:p w14:paraId="1D025E09" w14:textId="77777777" w:rsidR="004421F6" w:rsidRDefault="00F15622">
      <w:pPr>
        <w:spacing w:before="240" w:after="120"/>
      </w:pPr>
      <w:r>
        <w:rPr>
          <w:rFonts w:ascii="sans-serif" w:eastAsia="sans-serif" w:hAnsi="sans-serif" w:cs="sans-serif"/>
          <w:b/>
          <w:bCs/>
          <w:color w:val="000000"/>
          <w:sz w:val="28"/>
          <w:szCs w:val="28"/>
        </w:rPr>
        <w:t>EMBEDDED DERIVATIVES</w:t>
      </w:r>
    </w:p>
    <w:p w14:paraId="1D025E0A" w14:textId="77777777" w:rsidR="004421F6" w:rsidRDefault="00F15622">
      <w:pPr>
        <w:spacing w:before="120" w:after="120"/>
      </w:pPr>
      <w:r>
        <w:rPr>
          <w:rFonts w:ascii="Arial" w:eastAsia="宋体" w:hAnsi="Arial" w:cs="Arial"/>
          <w:color w:val="000000"/>
          <w:sz w:val="17"/>
          <w:szCs w:val="17"/>
        </w:rPr>
        <w:t>Embedded derivative contracts are treated as foreign currency forward contracts that are bifurcated from the related contract and recorded</w:t>
      </w:r>
      <w:r>
        <w:rPr>
          <w:rFonts w:ascii="Arial" w:eastAsia="宋体" w:hAnsi="Arial" w:cs="Arial"/>
          <w:color w:val="000000"/>
          <w:sz w:val="17"/>
          <w:szCs w:val="17"/>
        </w:rPr>
        <w:t xml:space="preserve"> at fair value as a derivative asset or liability on the Unaudited Condensed Consolidated Balance Sheets with their corresponding change in fair value recognized in Other (income) expense, net, through the date the foreign currency fluctuations cease to ex</w:t>
      </w:r>
      <w:r>
        <w:rPr>
          <w:rFonts w:ascii="Arial" w:eastAsia="宋体" w:hAnsi="Arial" w:cs="Arial"/>
          <w:color w:val="000000"/>
          <w:sz w:val="17"/>
          <w:szCs w:val="17"/>
        </w:rPr>
        <w:t xml:space="preserve">ist. </w:t>
      </w:r>
    </w:p>
    <w:p w14:paraId="1D025E0B" w14:textId="77777777" w:rsidR="004421F6" w:rsidRDefault="00F15622">
      <w:pPr>
        <w:spacing w:before="120" w:after="120"/>
      </w:pPr>
      <w:r>
        <w:rPr>
          <w:rFonts w:ascii="Arial" w:eastAsia="宋体" w:hAnsi="Arial" w:cs="Arial"/>
          <w:color w:val="000000"/>
          <w:sz w:val="17"/>
          <w:szCs w:val="17"/>
        </w:rPr>
        <w:t>As of August 31, 2020, the total notional amount of embedded derivatives outstanding was approximately $351 million.</w:t>
      </w:r>
    </w:p>
    <w:p w14:paraId="1D025E0C" w14:textId="77777777" w:rsidR="004421F6" w:rsidRDefault="00F15622">
      <w:pPr>
        <w:spacing w:before="240" w:after="120"/>
      </w:pPr>
      <w:r>
        <w:rPr>
          <w:rFonts w:ascii="sans-serif" w:eastAsia="sans-serif" w:hAnsi="sans-serif" w:cs="sans-serif"/>
          <w:b/>
          <w:bCs/>
          <w:color w:val="000000"/>
          <w:sz w:val="28"/>
          <w:szCs w:val="28"/>
        </w:rPr>
        <w:t>CREDIT RISK</w:t>
      </w:r>
    </w:p>
    <w:p w14:paraId="1D025E0D" w14:textId="77777777" w:rsidR="004421F6" w:rsidRDefault="00F15622">
      <w:pPr>
        <w:spacing w:before="120" w:after="120"/>
      </w:pPr>
      <w:r>
        <w:rPr>
          <w:rFonts w:ascii="Arial" w:eastAsia="宋体" w:hAnsi="Arial" w:cs="Arial"/>
          <w:color w:val="000000"/>
          <w:sz w:val="17"/>
          <w:szCs w:val="17"/>
        </w:rPr>
        <w:t xml:space="preserve">The Company's bilateral credit-related contingent features generally require the owing entity, either the Company or the </w:t>
      </w:r>
      <w:r>
        <w:rPr>
          <w:rFonts w:ascii="Arial" w:eastAsia="宋体" w:hAnsi="Arial" w:cs="Arial"/>
          <w:color w:val="000000"/>
          <w:sz w:val="17"/>
          <w:szCs w:val="17"/>
        </w:rPr>
        <w:t xml:space="preserve">derivative counterparty, to post collateral for the portion of the fair value in excess of $50 million should the fair value of outstanding derivatives per counterparty be greater than $50 million. Additionally, a certain level of decline in credit rating </w:t>
      </w:r>
      <w:r>
        <w:rPr>
          <w:rFonts w:ascii="Arial" w:eastAsia="宋体" w:hAnsi="Arial" w:cs="Arial"/>
          <w:color w:val="000000"/>
          <w:sz w:val="17"/>
          <w:szCs w:val="17"/>
        </w:rPr>
        <w:t>of either the Company or the counterparty could also trigger collateral requirements. As of August 31, 2020, the Company was in compliance with all credit risk-related contingent features, and derivative instruments with such features were in a net liabili</w:t>
      </w:r>
      <w:r>
        <w:rPr>
          <w:rFonts w:ascii="Arial" w:eastAsia="宋体" w:hAnsi="Arial" w:cs="Arial"/>
          <w:color w:val="000000"/>
          <w:sz w:val="17"/>
          <w:szCs w:val="17"/>
        </w:rPr>
        <w:t>ty position of approximately $611 million. Accordingly, the Company was required to post $151 million of cash collateral as a result of these contingent features. Further, no amount of collateral was received on the Company's derivative asset balance as of</w:t>
      </w:r>
      <w:r>
        <w:rPr>
          <w:rFonts w:ascii="Arial" w:eastAsia="宋体" w:hAnsi="Arial" w:cs="Arial"/>
          <w:color w:val="000000"/>
          <w:sz w:val="17"/>
          <w:szCs w:val="17"/>
        </w:rPr>
        <w:t> August 31, 2020. The Company considers the impact of the risk of counterparty default to be immaterial.</w:t>
      </w:r>
    </w:p>
    <w:p w14:paraId="1D025E0E" w14:textId="77777777" w:rsidR="004421F6" w:rsidRDefault="00F15622">
      <w:pPr>
        <w:spacing w:before="120" w:after="120"/>
      </w:pPr>
      <w:r>
        <w:rPr>
          <w:rFonts w:ascii="Arial" w:eastAsia="宋体" w:hAnsi="Arial" w:cs="Arial"/>
          <w:color w:val="000000"/>
          <w:sz w:val="17"/>
          <w:szCs w:val="17"/>
        </w:rPr>
        <w:t>For additional information related to the Company's derivative financial instruments and collateral, refer to Note 4 — Fair Value Measurements.</w:t>
      </w:r>
    </w:p>
    <w:p w14:paraId="1D025E0F" w14:textId="77777777" w:rsidR="004421F6" w:rsidRDefault="00F15622">
      <w:pPr>
        <w:spacing w:before="120" w:after="120"/>
      </w:pPr>
      <w:r>
        <w:rPr>
          <w:rFonts w:ascii="Arial" w:eastAsia="宋体" w:hAnsi="Arial" w:cs="Arial"/>
          <w:color w:val="E87722"/>
          <w:sz w:val="17"/>
          <w:szCs w:val="17"/>
        </w:rPr>
        <w:t>14</w:t>
      </w:r>
      <w:r>
        <w:rPr>
          <w:rFonts w:ascii="sans-serif" w:eastAsia="sans-serif" w:hAnsi="sans-serif" w:cs="sans-serif"/>
          <w:color w:val="000000"/>
          <w:sz w:val="17"/>
          <w:szCs w:val="17"/>
        </w:rPr>
        <w:t xml:space="preserve"> </w:t>
      </w:r>
    </w:p>
    <w:p w14:paraId="1D025E10" w14:textId="77777777" w:rsidR="004421F6" w:rsidRDefault="00F15622">
      <w:r>
        <w:pict w14:anchorId="1D027289">
          <v:rect id="_x0000_i1040" style="width:415.3pt;height:1.5pt" o:hralign="center" o:hrstd="t" o:hr="t" fillcolor="#a0a0a0" stroked="f"/>
        </w:pict>
      </w:r>
    </w:p>
    <w:p w14:paraId="1D025E11" w14:textId="77777777" w:rsidR="004421F6" w:rsidRDefault="004421F6"/>
    <w:p w14:paraId="1D025E12" w14:textId="77777777" w:rsidR="004421F6" w:rsidRDefault="00F15622">
      <w:hyperlink r:id="rId85" w:anchor="i3e524f2e23844e81ba9d33a05ac3917c_7" w:history="1">
        <w:r>
          <w:rPr>
            <w:rStyle w:val="a5"/>
            <w:rFonts w:ascii="sans-serif" w:eastAsia="sans-serif" w:hAnsi="sans-serif" w:cs="sans-serif"/>
            <w:sz w:val="17"/>
            <w:szCs w:val="17"/>
          </w:rPr>
          <w:t>Table of Contents</w:t>
        </w:r>
      </w:hyperlink>
    </w:p>
    <w:p w14:paraId="1D025E13" w14:textId="77777777" w:rsidR="004421F6" w:rsidRDefault="004421F6"/>
    <w:tbl>
      <w:tblPr>
        <w:tblW w:w="4865" w:type="pct"/>
        <w:tblCellMar>
          <w:top w:w="15" w:type="dxa"/>
          <w:left w:w="15" w:type="dxa"/>
          <w:bottom w:w="15" w:type="dxa"/>
          <w:right w:w="15" w:type="dxa"/>
        </w:tblCellMar>
        <w:tblLook w:val="04A0" w:firstRow="1" w:lastRow="0" w:firstColumn="1" w:lastColumn="0" w:noHBand="0" w:noVBand="1"/>
      </w:tblPr>
      <w:tblGrid>
        <w:gridCol w:w="67"/>
        <w:gridCol w:w="8008"/>
        <w:gridCol w:w="36"/>
      </w:tblGrid>
      <w:tr w:rsidR="004421F6" w14:paraId="1D025E17" w14:textId="77777777">
        <w:tc>
          <w:tcPr>
            <w:tcW w:w="50" w:type="pct"/>
            <w:shd w:val="clear" w:color="auto" w:fill="auto"/>
          </w:tcPr>
          <w:p w14:paraId="1D025E14" w14:textId="77777777" w:rsidR="004421F6" w:rsidRDefault="004421F6">
            <w:pPr>
              <w:rPr>
                <w:rFonts w:ascii="宋体"/>
              </w:rPr>
            </w:pPr>
          </w:p>
        </w:tc>
        <w:tc>
          <w:tcPr>
            <w:tcW w:w="4945" w:type="pct"/>
            <w:shd w:val="clear" w:color="auto" w:fill="auto"/>
          </w:tcPr>
          <w:p w14:paraId="1D025E15" w14:textId="77777777" w:rsidR="004421F6" w:rsidRDefault="004421F6">
            <w:pPr>
              <w:rPr>
                <w:rFonts w:ascii="宋体"/>
              </w:rPr>
            </w:pPr>
          </w:p>
        </w:tc>
        <w:tc>
          <w:tcPr>
            <w:tcW w:w="5" w:type="pct"/>
            <w:shd w:val="clear" w:color="auto" w:fill="auto"/>
          </w:tcPr>
          <w:p w14:paraId="1D025E16" w14:textId="77777777" w:rsidR="004421F6" w:rsidRDefault="004421F6">
            <w:pPr>
              <w:rPr>
                <w:rFonts w:ascii="宋体"/>
              </w:rPr>
            </w:pPr>
          </w:p>
        </w:tc>
      </w:tr>
      <w:tr w:rsidR="004421F6" w14:paraId="1D025E19" w14:textId="77777777">
        <w:tc>
          <w:tcPr>
            <w:tcW w:w="0" w:type="auto"/>
            <w:gridSpan w:val="3"/>
            <w:shd w:val="clear" w:color="auto" w:fill="auto"/>
            <w:tcMar>
              <w:top w:w="40" w:type="dxa"/>
              <w:left w:w="20" w:type="dxa"/>
              <w:bottom w:w="40" w:type="dxa"/>
              <w:right w:w="20" w:type="dxa"/>
            </w:tcMar>
            <w:vAlign w:val="bottom"/>
          </w:tcPr>
          <w:p w14:paraId="1D025E18" w14:textId="77777777" w:rsidR="004421F6" w:rsidRDefault="00F15622">
            <w:pPr>
              <w:textAlignment w:val="bottom"/>
            </w:pPr>
            <w:r>
              <w:rPr>
                <w:rFonts w:ascii="sans-serif" w:eastAsia="sans-serif" w:hAnsi="sans-serif" w:cs="sans-serif"/>
                <w:b/>
                <w:bCs/>
                <w:color w:val="E87722"/>
                <w:sz w:val="36"/>
                <w:szCs w:val="36"/>
              </w:rPr>
              <w:t>NOTE 10 — ACCUMULATED OTHER COMPREHENSIVE INCOME (LOSS)</w:t>
            </w:r>
          </w:p>
        </w:tc>
      </w:tr>
    </w:tbl>
    <w:p w14:paraId="1D025E1A" w14:textId="77777777" w:rsidR="004421F6" w:rsidRDefault="00F15622">
      <w:pPr>
        <w:spacing w:before="120"/>
      </w:pPr>
      <w:r>
        <w:rPr>
          <w:rFonts w:ascii="Arial" w:eastAsia="宋体" w:hAnsi="Arial" w:cs="Arial"/>
          <w:color w:val="000000"/>
          <w:sz w:val="17"/>
          <w:szCs w:val="17"/>
        </w:rPr>
        <w:t xml:space="preserve">The changes in </w:t>
      </w:r>
      <w:r>
        <w:rPr>
          <w:rFonts w:ascii="Arial" w:eastAsia="宋体" w:hAnsi="Arial" w:cs="Arial"/>
          <w:color w:val="000000"/>
          <w:sz w:val="17"/>
          <w:szCs w:val="17"/>
        </w:rPr>
        <w:t>Accumulated other comprehensive income (loss), net of tax,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670"/>
        <w:gridCol w:w="39"/>
        <w:gridCol w:w="131"/>
        <w:gridCol w:w="1010"/>
        <w:gridCol w:w="41"/>
        <w:gridCol w:w="131"/>
        <w:gridCol w:w="617"/>
        <w:gridCol w:w="41"/>
        <w:gridCol w:w="131"/>
        <w:gridCol w:w="867"/>
        <w:gridCol w:w="41"/>
        <w:gridCol w:w="131"/>
        <w:gridCol w:w="617"/>
        <w:gridCol w:w="41"/>
        <w:gridCol w:w="130"/>
        <w:gridCol w:w="617"/>
        <w:gridCol w:w="41"/>
      </w:tblGrid>
      <w:tr w:rsidR="004421F6" w14:paraId="1D025E2D" w14:textId="77777777">
        <w:tc>
          <w:tcPr>
            <w:tcW w:w="50" w:type="pct"/>
            <w:shd w:val="clear" w:color="auto" w:fill="auto"/>
          </w:tcPr>
          <w:p w14:paraId="1D025E1B" w14:textId="77777777" w:rsidR="004421F6" w:rsidRDefault="004421F6">
            <w:pPr>
              <w:rPr>
                <w:rFonts w:ascii="宋体"/>
              </w:rPr>
            </w:pPr>
          </w:p>
        </w:tc>
        <w:tc>
          <w:tcPr>
            <w:tcW w:w="2332" w:type="pct"/>
            <w:shd w:val="clear" w:color="auto" w:fill="auto"/>
          </w:tcPr>
          <w:p w14:paraId="1D025E1C" w14:textId="77777777" w:rsidR="004421F6" w:rsidRDefault="004421F6">
            <w:pPr>
              <w:rPr>
                <w:rFonts w:ascii="宋体"/>
              </w:rPr>
            </w:pPr>
          </w:p>
        </w:tc>
        <w:tc>
          <w:tcPr>
            <w:tcW w:w="5" w:type="pct"/>
            <w:shd w:val="clear" w:color="auto" w:fill="auto"/>
          </w:tcPr>
          <w:p w14:paraId="1D025E1D" w14:textId="77777777" w:rsidR="004421F6" w:rsidRDefault="004421F6">
            <w:pPr>
              <w:rPr>
                <w:rFonts w:ascii="宋体"/>
              </w:rPr>
            </w:pPr>
          </w:p>
        </w:tc>
        <w:tc>
          <w:tcPr>
            <w:tcW w:w="50" w:type="pct"/>
            <w:shd w:val="clear" w:color="auto" w:fill="auto"/>
          </w:tcPr>
          <w:p w14:paraId="1D025E1E" w14:textId="77777777" w:rsidR="004421F6" w:rsidRDefault="004421F6">
            <w:pPr>
              <w:rPr>
                <w:rFonts w:ascii="宋体"/>
              </w:rPr>
            </w:pPr>
          </w:p>
        </w:tc>
        <w:tc>
          <w:tcPr>
            <w:tcW w:w="545" w:type="pct"/>
            <w:shd w:val="clear" w:color="auto" w:fill="auto"/>
          </w:tcPr>
          <w:p w14:paraId="1D025E1F" w14:textId="77777777" w:rsidR="004421F6" w:rsidRDefault="004421F6">
            <w:pPr>
              <w:rPr>
                <w:rFonts w:ascii="宋体"/>
              </w:rPr>
            </w:pPr>
          </w:p>
        </w:tc>
        <w:tc>
          <w:tcPr>
            <w:tcW w:w="5" w:type="pct"/>
            <w:shd w:val="clear" w:color="auto" w:fill="auto"/>
          </w:tcPr>
          <w:p w14:paraId="1D025E20" w14:textId="77777777" w:rsidR="004421F6" w:rsidRDefault="004421F6">
            <w:pPr>
              <w:rPr>
                <w:rFonts w:ascii="宋体"/>
              </w:rPr>
            </w:pPr>
          </w:p>
        </w:tc>
        <w:tc>
          <w:tcPr>
            <w:tcW w:w="50" w:type="pct"/>
            <w:shd w:val="clear" w:color="auto" w:fill="auto"/>
          </w:tcPr>
          <w:p w14:paraId="1D025E21" w14:textId="77777777" w:rsidR="004421F6" w:rsidRDefault="004421F6">
            <w:pPr>
              <w:rPr>
                <w:rFonts w:ascii="宋体"/>
              </w:rPr>
            </w:pPr>
          </w:p>
        </w:tc>
        <w:tc>
          <w:tcPr>
            <w:tcW w:w="448" w:type="pct"/>
            <w:shd w:val="clear" w:color="auto" w:fill="auto"/>
          </w:tcPr>
          <w:p w14:paraId="1D025E22" w14:textId="77777777" w:rsidR="004421F6" w:rsidRDefault="004421F6">
            <w:pPr>
              <w:rPr>
                <w:rFonts w:ascii="宋体"/>
              </w:rPr>
            </w:pPr>
          </w:p>
        </w:tc>
        <w:tc>
          <w:tcPr>
            <w:tcW w:w="5" w:type="pct"/>
            <w:shd w:val="clear" w:color="auto" w:fill="auto"/>
          </w:tcPr>
          <w:p w14:paraId="1D025E23" w14:textId="77777777" w:rsidR="004421F6" w:rsidRDefault="004421F6">
            <w:pPr>
              <w:rPr>
                <w:rFonts w:ascii="宋体"/>
              </w:rPr>
            </w:pPr>
          </w:p>
        </w:tc>
        <w:tc>
          <w:tcPr>
            <w:tcW w:w="50" w:type="pct"/>
            <w:shd w:val="clear" w:color="auto" w:fill="auto"/>
          </w:tcPr>
          <w:p w14:paraId="1D025E24" w14:textId="77777777" w:rsidR="004421F6" w:rsidRDefault="004421F6">
            <w:pPr>
              <w:rPr>
                <w:rFonts w:ascii="宋体"/>
              </w:rPr>
            </w:pPr>
          </w:p>
        </w:tc>
        <w:tc>
          <w:tcPr>
            <w:tcW w:w="448" w:type="pct"/>
            <w:shd w:val="clear" w:color="auto" w:fill="auto"/>
          </w:tcPr>
          <w:p w14:paraId="1D025E25" w14:textId="77777777" w:rsidR="004421F6" w:rsidRDefault="004421F6">
            <w:pPr>
              <w:rPr>
                <w:rFonts w:ascii="宋体"/>
              </w:rPr>
            </w:pPr>
          </w:p>
        </w:tc>
        <w:tc>
          <w:tcPr>
            <w:tcW w:w="5" w:type="pct"/>
            <w:shd w:val="clear" w:color="auto" w:fill="auto"/>
          </w:tcPr>
          <w:p w14:paraId="1D025E26" w14:textId="77777777" w:rsidR="004421F6" w:rsidRDefault="004421F6">
            <w:pPr>
              <w:rPr>
                <w:rFonts w:ascii="宋体"/>
              </w:rPr>
            </w:pPr>
          </w:p>
        </w:tc>
        <w:tc>
          <w:tcPr>
            <w:tcW w:w="50" w:type="pct"/>
            <w:shd w:val="clear" w:color="auto" w:fill="auto"/>
          </w:tcPr>
          <w:p w14:paraId="1D025E27" w14:textId="77777777" w:rsidR="004421F6" w:rsidRDefault="004421F6">
            <w:pPr>
              <w:rPr>
                <w:rFonts w:ascii="宋体"/>
              </w:rPr>
            </w:pPr>
          </w:p>
        </w:tc>
        <w:tc>
          <w:tcPr>
            <w:tcW w:w="448" w:type="pct"/>
            <w:shd w:val="clear" w:color="auto" w:fill="auto"/>
          </w:tcPr>
          <w:p w14:paraId="1D025E28" w14:textId="77777777" w:rsidR="004421F6" w:rsidRDefault="004421F6">
            <w:pPr>
              <w:rPr>
                <w:rFonts w:ascii="宋体"/>
              </w:rPr>
            </w:pPr>
          </w:p>
        </w:tc>
        <w:tc>
          <w:tcPr>
            <w:tcW w:w="5" w:type="pct"/>
            <w:shd w:val="clear" w:color="auto" w:fill="auto"/>
          </w:tcPr>
          <w:p w14:paraId="1D025E29" w14:textId="77777777" w:rsidR="004421F6" w:rsidRDefault="004421F6">
            <w:pPr>
              <w:rPr>
                <w:rFonts w:ascii="宋体"/>
              </w:rPr>
            </w:pPr>
          </w:p>
        </w:tc>
        <w:tc>
          <w:tcPr>
            <w:tcW w:w="50" w:type="pct"/>
            <w:shd w:val="clear" w:color="auto" w:fill="auto"/>
          </w:tcPr>
          <w:p w14:paraId="1D025E2A" w14:textId="77777777" w:rsidR="004421F6" w:rsidRDefault="004421F6">
            <w:pPr>
              <w:rPr>
                <w:rFonts w:ascii="宋体"/>
              </w:rPr>
            </w:pPr>
          </w:p>
        </w:tc>
        <w:tc>
          <w:tcPr>
            <w:tcW w:w="448" w:type="pct"/>
            <w:shd w:val="clear" w:color="auto" w:fill="auto"/>
          </w:tcPr>
          <w:p w14:paraId="1D025E2B" w14:textId="77777777" w:rsidR="004421F6" w:rsidRDefault="004421F6">
            <w:pPr>
              <w:rPr>
                <w:rFonts w:ascii="宋体"/>
              </w:rPr>
            </w:pPr>
          </w:p>
        </w:tc>
        <w:tc>
          <w:tcPr>
            <w:tcW w:w="5" w:type="pct"/>
            <w:shd w:val="clear" w:color="auto" w:fill="auto"/>
          </w:tcPr>
          <w:p w14:paraId="1D025E2C" w14:textId="77777777" w:rsidR="004421F6" w:rsidRDefault="004421F6">
            <w:pPr>
              <w:rPr>
                <w:rFonts w:ascii="宋体"/>
              </w:rPr>
            </w:pPr>
          </w:p>
        </w:tc>
      </w:tr>
      <w:tr w:rsidR="004421F6" w14:paraId="1D025E34" w14:textId="77777777">
        <w:tc>
          <w:tcPr>
            <w:tcW w:w="0" w:type="auto"/>
            <w:gridSpan w:val="3"/>
            <w:shd w:val="clear" w:color="auto" w:fill="auto"/>
            <w:tcMar>
              <w:top w:w="40" w:type="dxa"/>
              <w:left w:w="20" w:type="dxa"/>
              <w:bottom w:w="40" w:type="dxa"/>
              <w:right w:w="20" w:type="dxa"/>
            </w:tcMar>
            <w:vAlign w:val="bottom"/>
          </w:tcPr>
          <w:p w14:paraId="1D025E2E" w14:textId="77777777" w:rsidR="004421F6" w:rsidRDefault="00F15622">
            <w:pPr>
              <w:textAlignment w:val="bottom"/>
            </w:pPr>
            <w:r>
              <w:rPr>
                <w:rFonts w:ascii="Arial Narrow" w:eastAsia="Arial Narrow" w:hAnsi="Arial Narrow" w:cs="Arial Narrow"/>
                <w:i/>
                <w:iCs/>
                <w:color w:val="000000"/>
                <w:sz w:val="17"/>
                <w:szCs w:val="17"/>
              </w:rPr>
              <w:t>(Dollars i</w:t>
            </w:r>
            <w:r>
              <w:rPr>
                <w:rFonts w:ascii="Arial Narrow" w:eastAsia="Arial Narrow" w:hAnsi="Arial Narrow" w:cs="Arial Narrow"/>
                <w:i/>
                <w:iCs/>
                <w:color w:val="000000"/>
                <w:sz w:val="17"/>
                <w:szCs w:val="17"/>
              </w:rPr>
              <w:t>n millions)</w:t>
            </w:r>
          </w:p>
        </w:tc>
        <w:tc>
          <w:tcPr>
            <w:tcW w:w="0" w:type="auto"/>
            <w:gridSpan w:val="3"/>
            <w:shd w:val="clear" w:color="auto" w:fill="auto"/>
            <w:tcMar>
              <w:top w:w="40" w:type="dxa"/>
              <w:left w:w="20" w:type="dxa"/>
              <w:bottom w:w="40" w:type="dxa"/>
              <w:right w:w="20" w:type="dxa"/>
            </w:tcMar>
            <w:vAlign w:val="bottom"/>
          </w:tcPr>
          <w:p w14:paraId="1D025E2F" w14:textId="77777777" w:rsidR="004421F6" w:rsidRDefault="00F15622">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9"/>
                <w:szCs w:val="9"/>
              </w:rPr>
              <w:t>(1)</w:t>
            </w:r>
          </w:p>
        </w:tc>
        <w:tc>
          <w:tcPr>
            <w:tcW w:w="0" w:type="auto"/>
            <w:gridSpan w:val="3"/>
            <w:shd w:val="clear" w:color="auto" w:fill="auto"/>
            <w:tcMar>
              <w:top w:w="40" w:type="dxa"/>
              <w:left w:w="20" w:type="dxa"/>
              <w:bottom w:w="40" w:type="dxa"/>
              <w:right w:w="20" w:type="dxa"/>
            </w:tcMar>
            <w:vAlign w:val="bottom"/>
          </w:tcPr>
          <w:p w14:paraId="1D025E30" w14:textId="77777777" w:rsidR="004421F6" w:rsidRDefault="00F15622">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1D025E31" w14:textId="77777777" w:rsidR="004421F6" w:rsidRDefault="00F15622">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9"/>
                <w:szCs w:val="9"/>
              </w:rPr>
              <w:t>(1)</w:t>
            </w:r>
          </w:p>
        </w:tc>
        <w:tc>
          <w:tcPr>
            <w:tcW w:w="0" w:type="auto"/>
            <w:gridSpan w:val="3"/>
            <w:shd w:val="clear" w:color="auto" w:fill="auto"/>
            <w:tcMar>
              <w:top w:w="40" w:type="dxa"/>
              <w:left w:w="20" w:type="dxa"/>
              <w:bottom w:w="40" w:type="dxa"/>
              <w:right w:w="20" w:type="dxa"/>
            </w:tcMar>
            <w:vAlign w:val="bottom"/>
          </w:tcPr>
          <w:p w14:paraId="1D025E32" w14:textId="77777777" w:rsidR="004421F6" w:rsidRDefault="00F15622">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1D025E33" w14:textId="77777777" w:rsidR="004421F6" w:rsidRDefault="00F15622">
            <w:pPr>
              <w:jc w:val="right"/>
              <w:textAlignment w:val="bottom"/>
            </w:pPr>
            <w:r>
              <w:rPr>
                <w:rFonts w:ascii="sans-serif" w:eastAsia="sans-serif" w:hAnsi="sans-serif" w:cs="sans-serif"/>
                <w:b/>
                <w:bCs/>
                <w:color w:val="000000"/>
                <w:sz w:val="17"/>
                <w:szCs w:val="17"/>
              </w:rPr>
              <w:t>TOTAL</w:t>
            </w:r>
          </w:p>
        </w:tc>
      </w:tr>
      <w:tr w:rsidR="004421F6" w14:paraId="1D025E4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E35" w14:textId="77777777" w:rsidR="004421F6" w:rsidRDefault="00F15622">
            <w:pPr>
              <w:textAlignment w:val="bottom"/>
            </w:pPr>
            <w:r>
              <w:rPr>
                <w:rFonts w:ascii="Arial" w:eastAsia="宋体" w:hAnsi="Arial" w:cs="Arial"/>
                <w:b/>
                <w:bCs/>
                <w:color w:val="000000"/>
                <w:sz w:val="17"/>
                <w:szCs w:val="17"/>
              </w:rPr>
              <w:t>Balance at May 31, 2020</w:t>
            </w:r>
          </w:p>
        </w:tc>
        <w:tc>
          <w:tcPr>
            <w:tcW w:w="0" w:type="auto"/>
            <w:tcBorders>
              <w:top w:val="single" w:sz="8" w:space="0" w:color="E87722"/>
            </w:tcBorders>
            <w:shd w:val="clear" w:color="auto" w:fill="auto"/>
            <w:tcMar>
              <w:top w:w="40" w:type="dxa"/>
              <w:left w:w="20" w:type="dxa"/>
              <w:bottom w:w="40" w:type="dxa"/>
            </w:tcMar>
            <w:vAlign w:val="bottom"/>
          </w:tcPr>
          <w:p w14:paraId="1D025E36"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E37" w14:textId="77777777" w:rsidR="004421F6" w:rsidRDefault="00F15622">
            <w:pPr>
              <w:jc w:val="right"/>
              <w:textAlignment w:val="bottom"/>
            </w:pPr>
            <w:r>
              <w:rPr>
                <w:rFonts w:ascii="Arial" w:eastAsia="宋体" w:hAnsi="Arial" w:cs="Arial"/>
                <w:b/>
                <w:bCs/>
                <w:color w:val="000000"/>
                <w:sz w:val="17"/>
                <w:szCs w:val="17"/>
              </w:rPr>
              <w:t>(494)</w:t>
            </w:r>
          </w:p>
        </w:tc>
        <w:tc>
          <w:tcPr>
            <w:tcW w:w="0" w:type="auto"/>
            <w:tcBorders>
              <w:top w:val="single" w:sz="8" w:space="0" w:color="E87722"/>
            </w:tcBorders>
            <w:shd w:val="clear" w:color="auto" w:fill="auto"/>
            <w:tcMar>
              <w:top w:w="40" w:type="dxa"/>
              <w:bottom w:w="40" w:type="dxa"/>
              <w:right w:w="20" w:type="dxa"/>
            </w:tcMar>
            <w:vAlign w:val="bottom"/>
          </w:tcPr>
          <w:p w14:paraId="1D025E38"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E39"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E3A" w14:textId="77777777" w:rsidR="004421F6" w:rsidRDefault="00F15622">
            <w:pPr>
              <w:jc w:val="right"/>
              <w:textAlignment w:val="bottom"/>
            </w:pPr>
            <w:r>
              <w:rPr>
                <w:rFonts w:ascii="Arial" w:eastAsia="宋体" w:hAnsi="Arial" w:cs="Arial"/>
                <w:b/>
                <w:bCs/>
                <w:color w:val="000000"/>
                <w:sz w:val="17"/>
                <w:szCs w:val="17"/>
              </w:rPr>
              <w:t>390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E3B"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E3C"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E3D" w14:textId="77777777" w:rsidR="004421F6" w:rsidRDefault="00F15622">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E3E"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E3F"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E40" w14:textId="77777777" w:rsidR="004421F6" w:rsidRDefault="00F15622">
            <w:pPr>
              <w:jc w:val="right"/>
              <w:textAlignment w:val="bottom"/>
            </w:pPr>
            <w:r>
              <w:rPr>
                <w:rFonts w:ascii="Arial" w:eastAsia="宋体" w:hAnsi="Arial" w:cs="Arial"/>
                <w:b/>
                <w:bCs/>
                <w:color w:val="000000"/>
                <w:sz w:val="17"/>
                <w:szCs w:val="17"/>
              </w:rPr>
              <w:t>(67)</w:t>
            </w:r>
          </w:p>
        </w:tc>
        <w:tc>
          <w:tcPr>
            <w:tcW w:w="0" w:type="auto"/>
            <w:tcBorders>
              <w:top w:val="single" w:sz="8" w:space="0" w:color="E87722"/>
            </w:tcBorders>
            <w:shd w:val="clear" w:color="auto" w:fill="auto"/>
            <w:tcMar>
              <w:top w:w="40" w:type="dxa"/>
              <w:bottom w:w="40" w:type="dxa"/>
              <w:right w:w="20" w:type="dxa"/>
            </w:tcMar>
            <w:vAlign w:val="bottom"/>
          </w:tcPr>
          <w:p w14:paraId="1D025E41"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E42"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E43" w14:textId="77777777" w:rsidR="004421F6" w:rsidRDefault="00F15622">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bottom w:w="40" w:type="dxa"/>
              <w:right w:w="20" w:type="dxa"/>
            </w:tcMar>
            <w:vAlign w:val="bottom"/>
          </w:tcPr>
          <w:p w14:paraId="1D025E44" w14:textId="77777777" w:rsidR="004421F6" w:rsidRDefault="004421F6">
            <w:pPr>
              <w:jc w:val="right"/>
              <w:rPr>
                <w:rFonts w:ascii="宋体"/>
              </w:rPr>
            </w:pPr>
          </w:p>
        </w:tc>
      </w:tr>
      <w:tr w:rsidR="004421F6" w14:paraId="1D025E4C"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1D025E46" w14:textId="77777777" w:rsidR="004421F6" w:rsidRDefault="00F15622">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FFF1E7"/>
            <w:tcMar>
              <w:left w:w="20" w:type="dxa"/>
              <w:right w:w="20" w:type="dxa"/>
            </w:tcMar>
            <w:vAlign w:val="bottom"/>
          </w:tcPr>
          <w:p w14:paraId="1D025E47"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E48"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E49"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E4A"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5E4B" w14:textId="77777777" w:rsidR="004421F6" w:rsidRDefault="004421F6">
            <w:pPr>
              <w:rPr>
                <w:rFonts w:ascii="宋体"/>
              </w:rPr>
            </w:pPr>
          </w:p>
        </w:tc>
      </w:tr>
      <w:tr w:rsidR="004421F6" w14:paraId="1D025E58"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1D025E4D" w14:textId="77777777" w:rsidR="004421F6" w:rsidRDefault="00F15622">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9"/>
                <w:szCs w:val="9"/>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E4E" w14:textId="77777777" w:rsidR="004421F6" w:rsidRDefault="00F15622">
            <w:pPr>
              <w:jc w:val="right"/>
              <w:textAlignment w:val="bottom"/>
            </w:pPr>
            <w:r>
              <w:rPr>
                <w:rFonts w:ascii="Arial" w:eastAsia="宋体" w:hAnsi="Arial" w:cs="Arial"/>
                <w:color w:val="000000"/>
                <w:sz w:val="17"/>
                <w:szCs w:val="17"/>
              </w:rPr>
              <w:t>318 </w:t>
            </w:r>
          </w:p>
        </w:tc>
        <w:tc>
          <w:tcPr>
            <w:tcW w:w="0" w:type="auto"/>
            <w:tcBorders>
              <w:top w:val="single" w:sz="8" w:space="0" w:color="808080"/>
            </w:tcBorders>
            <w:shd w:val="clear" w:color="auto" w:fill="FFF1E7"/>
            <w:tcMar>
              <w:top w:w="40" w:type="dxa"/>
              <w:bottom w:w="40" w:type="dxa"/>
              <w:right w:w="20" w:type="dxa"/>
            </w:tcMar>
            <w:vAlign w:val="bottom"/>
          </w:tcPr>
          <w:p w14:paraId="1D025E4F"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E50" w14:textId="77777777" w:rsidR="004421F6" w:rsidRDefault="00F15622">
            <w:pPr>
              <w:jc w:val="right"/>
              <w:textAlignment w:val="bottom"/>
            </w:pPr>
            <w:r>
              <w:rPr>
                <w:rFonts w:ascii="Arial" w:eastAsia="宋体" w:hAnsi="Arial" w:cs="Arial"/>
                <w:color w:val="000000"/>
                <w:sz w:val="17"/>
                <w:szCs w:val="17"/>
              </w:rPr>
              <w:t>(526)</w:t>
            </w:r>
          </w:p>
        </w:tc>
        <w:tc>
          <w:tcPr>
            <w:tcW w:w="0" w:type="auto"/>
            <w:tcBorders>
              <w:top w:val="single" w:sz="8" w:space="0" w:color="808080"/>
            </w:tcBorders>
            <w:shd w:val="clear" w:color="auto" w:fill="FFF1E7"/>
            <w:tcMar>
              <w:top w:w="40" w:type="dxa"/>
              <w:bottom w:w="40" w:type="dxa"/>
              <w:right w:w="20" w:type="dxa"/>
            </w:tcMar>
            <w:vAlign w:val="bottom"/>
          </w:tcPr>
          <w:p w14:paraId="1D025E51"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E52"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5E53"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E54" w14:textId="77777777" w:rsidR="004421F6" w:rsidRDefault="00F15622">
            <w:pPr>
              <w:jc w:val="right"/>
              <w:textAlignment w:val="bottom"/>
            </w:pPr>
            <w:r>
              <w:rPr>
                <w:rFonts w:ascii="Arial" w:eastAsia="宋体" w:hAnsi="Arial" w:cs="Arial"/>
                <w:color w:val="000000"/>
                <w:sz w:val="17"/>
                <w:szCs w:val="17"/>
              </w:rPr>
              <w:t>(13)</w:t>
            </w:r>
          </w:p>
        </w:tc>
        <w:tc>
          <w:tcPr>
            <w:tcW w:w="0" w:type="auto"/>
            <w:tcBorders>
              <w:top w:val="single" w:sz="8" w:space="0" w:color="808080"/>
            </w:tcBorders>
            <w:shd w:val="clear" w:color="auto" w:fill="FFF1E7"/>
            <w:tcMar>
              <w:top w:w="40" w:type="dxa"/>
              <w:bottom w:w="40" w:type="dxa"/>
              <w:right w:w="20" w:type="dxa"/>
            </w:tcMar>
            <w:vAlign w:val="bottom"/>
          </w:tcPr>
          <w:p w14:paraId="1D025E55"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E56" w14:textId="77777777" w:rsidR="004421F6" w:rsidRDefault="00F15622">
            <w:pPr>
              <w:jc w:val="right"/>
              <w:textAlignment w:val="bottom"/>
            </w:pPr>
            <w:r>
              <w:rPr>
                <w:rFonts w:ascii="Arial" w:eastAsia="宋体" w:hAnsi="Arial" w:cs="Arial"/>
                <w:color w:val="000000"/>
                <w:sz w:val="17"/>
                <w:szCs w:val="17"/>
              </w:rPr>
              <w:t>(221)</w:t>
            </w:r>
          </w:p>
        </w:tc>
        <w:tc>
          <w:tcPr>
            <w:tcW w:w="0" w:type="auto"/>
            <w:tcBorders>
              <w:top w:val="single" w:sz="8" w:space="0" w:color="808080"/>
            </w:tcBorders>
            <w:shd w:val="clear" w:color="auto" w:fill="FFF1E7"/>
            <w:tcMar>
              <w:top w:w="40" w:type="dxa"/>
              <w:bottom w:w="40" w:type="dxa"/>
              <w:right w:w="20" w:type="dxa"/>
            </w:tcMar>
            <w:vAlign w:val="bottom"/>
          </w:tcPr>
          <w:p w14:paraId="1D025E57" w14:textId="77777777" w:rsidR="004421F6" w:rsidRDefault="004421F6">
            <w:pPr>
              <w:jc w:val="right"/>
              <w:rPr>
                <w:rFonts w:ascii="宋体"/>
              </w:rPr>
            </w:pPr>
          </w:p>
        </w:tc>
      </w:tr>
      <w:tr w:rsidR="004421F6" w14:paraId="1D025E64"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1D025E59" w14:textId="77777777" w:rsidR="004421F6" w:rsidRDefault="00F15622">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9"/>
                <w:szCs w:val="9"/>
              </w:rPr>
              <w:t>(3)</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E5A"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5E5B"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E5C" w14:textId="77777777" w:rsidR="004421F6" w:rsidRDefault="00F15622">
            <w:pPr>
              <w:jc w:val="right"/>
              <w:textAlignment w:val="bottom"/>
            </w:pPr>
            <w:r>
              <w:rPr>
                <w:rFonts w:ascii="Arial" w:eastAsia="宋体" w:hAnsi="Arial" w:cs="Arial"/>
                <w:color w:val="000000"/>
                <w:sz w:val="17"/>
                <w:szCs w:val="17"/>
              </w:rPr>
              <w:t>(132)</w:t>
            </w:r>
          </w:p>
        </w:tc>
        <w:tc>
          <w:tcPr>
            <w:tcW w:w="0" w:type="auto"/>
            <w:tcBorders>
              <w:top w:val="single" w:sz="8" w:space="0" w:color="808080"/>
            </w:tcBorders>
            <w:shd w:val="clear" w:color="auto" w:fill="FFF1E7"/>
            <w:tcMar>
              <w:top w:w="40" w:type="dxa"/>
              <w:bottom w:w="40" w:type="dxa"/>
              <w:right w:w="20" w:type="dxa"/>
            </w:tcMar>
            <w:vAlign w:val="bottom"/>
          </w:tcPr>
          <w:p w14:paraId="1D025E5D"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E5E"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5E5F"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E60" w14:textId="77777777" w:rsidR="004421F6" w:rsidRDefault="00F1562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FFF1E7"/>
            <w:tcMar>
              <w:top w:w="40" w:type="dxa"/>
              <w:bottom w:w="40" w:type="dxa"/>
              <w:right w:w="20" w:type="dxa"/>
            </w:tcMar>
            <w:vAlign w:val="bottom"/>
          </w:tcPr>
          <w:p w14:paraId="1D025E61"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E62" w14:textId="77777777" w:rsidR="004421F6" w:rsidRDefault="00F15622">
            <w:pPr>
              <w:jc w:val="right"/>
              <w:textAlignment w:val="bottom"/>
            </w:pPr>
            <w:r>
              <w:rPr>
                <w:rFonts w:ascii="Arial" w:eastAsia="宋体" w:hAnsi="Arial" w:cs="Arial"/>
                <w:color w:val="000000"/>
                <w:sz w:val="17"/>
                <w:szCs w:val="17"/>
              </w:rPr>
              <w:t>(124)</w:t>
            </w:r>
          </w:p>
        </w:tc>
        <w:tc>
          <w:tcPr>
            <w:tcW w:w="0" w:type="auto"/>
            <w:tcBorders>
              <w:top w:val="single" w:sz="8" w:space="0" w:color="808080"/>
            </w:tcBorders>
            <w:shd w:val="clear" w:color="auto" w:fill="FFF1E7"/>
            <w:tcMar>
              <w:top w:w="40" w:type="dxa"/>
              <w:bottom w:w="40" w:type="dxa"/>
              <w:right w:w="20" w:type="dxa"/>
            </w:tcMar>
            <w:vAlign w:val="bottom"/>
          </w:tcPr>
          <w:p w14:paraId="1D025E63" w14:textId="77777777" w:rsidR="004421F6" w:rsidRDefault="004421F6">
            <w:pPr>
              <w:jc w:val="right"/>
              <w:rPr>
                <w:rFonts w:ascii="宋体"/>
              </w:rPr>
            </w:pPr>
          </w:p>
        </w:tc>
      </w:tr>
      <w:tr w:rsidR="004421F6" w14:paraId="1D025E7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E65" w14:textId="77777777" w:rsidR="004421F6" w:rsidRDefault="00F15622">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E66" w14:textId="77777777" w:rsidR="004421F6" w:rsidRDefault="00F15622">
            <w:pPr>
              <w:jc w:val="right"/>
              <w:textAlignment w:val="bottom"/>
            </w:pPr>
            <w:r>
              <w:rPr>
                <w:rFonts w:ascii="Arial" w:eastAsia="宋体" w:hAnsi="Arial" w:cs="Arial"/>
                <w:color w:val="000000"/>
                <w:sz w:val="17"/>
                <w:szCs w:val="17"/>
              </w:rPr>
              <w:t>318 </w:t>
            </w:r>
          </w:p>
        </w:tc>
        <w:tc>
          <w:tcPr>
            <w:tcW w:w="0" w:type="auto"/>
            <w:tcBorders>
              <w:top w:val="single" w:sz="8" w:space="0" w:color="E87722"/>
            </w:tcBorders>
            <w:shd w:val="clear" w:color="auto" w:fill="FFF1E7"/>
            <w:tcMar>
              <w:top w:w="40" w:type="dxa"/>
              <w:bottom w:w="40" w:type="dxa"/>
              <w:right w:w="20" w:type="dxa"/>
            </w:tcMar>
            <w:vAlign w:val="bottom"/>
          </w:tcPr>
          <w:p w14:paraId="1D025E67" w14:textId="77777777" w:rsidR="004421F6" w:rsidRDefault="004421F6">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E68" w14:textId="77777777" w:rsidR="004421F6" w:rsidRDefault="00F15622">
            <w:pPr>
              <w:jc w:val="right"/>
              <w:textAlignment w:val="bottom"/>
            </w:pPr>
            <w:r>
              <w:rPr>
                <w:rFonts w:ascii="Arial" w:eastAsia="宋体" w:hAnsi="Arial" w:cs="Arial"/>
                <w:color w:val="000000"/>
                <w:sz w:val="17"/>
                <w:szCs w:val="17"/>
              </w:rPr>
              <w:t>(658)</w:t>
            </w:r>
          </w:p>
        </w:tc>
        <w:tc>
          <w:tcPr>
            <w:tcW w:w="0" w:type="auto"/>
            <w:tcBorders>
              <w:top w:val="single" w:sz="8" w:space="0" w:color="E87722"/>
            </w:tcBorders>
            <w:shd w:val="clear" w:color="auto" w:fill="FFF1E7"/>
            <w:tcMar>
              <w:top w:w="40" w:type="dxa"/>
              <w:bottom w:w="40" w:type="dxa"/>
              <w:right w:w="20" w:type="dxa"/>
            </w:tcMar>
            <w:vAlign w:val="bottom"/>
          </w:tcPr>
          <w:p w14:paraId="1D025E69" w14:textId="77777777" w:rsidR="004421F6" w:rsidRDefault="004421F6">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E6A"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5E6B" w14:textId="77777777" w:rsidR="004421F6" w:rsidRDefault="004421F6">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E6C" w14:textId="77777777" w:rsidR="004421F6" w:rsidRDefault="00F15622">
            <w:pPr>
              <w:jc w:val="right"/>
              <w:textAlignment w:val="bottom"/>
            </w:pPr>
            <w:r>
              <w:rPr>
                <w:rFonts w:ascii="Arial" w:eastAsia="宋体" w:hAnsi="Arial" w:cs="Arial"/>
                <w:color w:val="000000"/>
                <w:sz w:val="17"/>
                <w:szCs w:val="17"/>
              </w:rPr>
              <w:t>(5)</w:t>
            </w:r>
          </w:p>
        </w:tc>
        <w:tc>
          <w:tcPr>
            <w:tcW w:w="0" w:type="auto"/>
            <w:tcBorders>
              <w:top w:val="single" w:sz="8" w:space="0" w:color="E87722"/>
            </w:tcBorders>
            <w:shd w:val="clear" w:color="auto" w:fill="FFF1E7"/>
            <w:tcMar>
              <w:top w:w="40" w:type="dxa"/>
              <w:bottom w:w="40" w:type="dxa"/>
              <w:right w:w="20" w:type="dxa"/>
            </w:tcMar>
            <w:vAlign w:val="bottom"/>
          </w:tcPr>
          <w:p w14:paraId="1D025E6D" w14:textId="77777777" w:rsidR="004421F6" w:rsidRDefault="004421F6">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E6E" w14:textId="77777777" w:rsidR="004421F6" w:rsidRDefault="00F15622">
            <w:pPr>
              <w:jc w:val="right"/>
              <w:textAlignment w:val="bottom"/>
            </w:pPr>
            <w:r>
              <w:rPr>
                <w:rFonts w:ascii="Arial" w:eastAsia="宋体" w:hAnsi="Arial" w:cs="Arial"/>
                <w:color w:val="000000"/>
                <w:sz w:val="17"/>
                <w:szCs w:val="17"/>
              </w:rPr>
              <w:t>(345)</w:t>
            </w:r>
          </w:p>
        </w:tc>
        <w:tc>
          <w:tcPr>
            <w:tcW w:w="0" w:type="auto"/>
            <w:tcBorders>
              <w:top w:val="single" w:sz="8" w:space="0" w:color="E87722"/>
            </w:tcBorders>
            <w:shd w:val="clear" w:color="auto" w:fill="FFF1E7"/>
            <w:tcMar>
              <w:top w:w="40" w:type="dxa"/>
              <w:bottom w:w="40" w:type="dxa"/>
              <w:right w:w="20" w:type="dxa"/>
            </w:tcMar>
            <w:vAlign w:val="bottom"/>
          </w:tcPr>
          <w:p w14:paraId="1D025E6F" w14:textId="77777777" w:rsidR="004421F6" w:rsidRDefault="004421F6">
            <w:pPr>
              <w:jc w:val="right"/>
              <w:rPr>
                <w:rFonts w:ascii="宋体"/>
              </w:rPr>
            </w:pPr>
          </w:p>
        </w:tc>
      </w:tr>
      <w:tr w:rsidR="004421F6" w14:paraId="1D025E8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E71" w14:textId="77777777" w:rsidR="004421F6" w:rsidRDefault="00F15622">
            <w:pPr>
              <w:textAlignment w:val="bottom"/>
            </w:pPr>
            <w:r>
              <w:rPr>
                <w:rFonts w:ascii="Arial" w:eastAsia="宋体" w:hAnsi="Arial" w:cs="Arial"/>
                <w:b/>
                <w:bCs/>
                <w:color w:val="000000"/>
                <w:sz w:val="17"/>
                <w:szCs w:val="17"/>
              </w:rPr>
              <w:t>Ba</w:t>
            </w:r>
            <w:r>
              <w:rPr>
                <w:rFonts w:ascii="Arial" w:eastAsia="宋体" w:hAnsi="Arial" w:cs="Arial"/>
                <w:b/>
                <w:bCs/>
                <w:color w:val="000000"/>
                <w:sz w:val="17"/>
                <w:szCs w:val="17"/>
              </w:rPr>
              <w:t>lance at August 31, 2020</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E72"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E73" w14:textId="77777777" w:rsidR="004421F6" w:rsidRDefault="00F15622">
            <w:pPr>
              <w:jc w:val="right"/>
              <w:textAlignment w:val="bottom"/>
            </w:pPr>
            <w:r>
              <w:rPr>
                <w:rFonts w:ascii="Arial" w:eastAsia="宋体" w:hAnsi="Arial" w:cs="Arial"/>
                <w:b/>
                <w:bCs/>
                <w:color w:val="000000"/>
                <w:sz w:val="17"/>
                <w:szCs w:val="17"/>
              </w:rPr>
              <w:t>(176)</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E74"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E75"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E76" w14:textId="77777777" w:rsidR="004421F6" w:rsidRDefault="00F15622">
            <w:pPr>
              <w:jc w:val="right"/>
              <w:textAlignment w:val="bottom"/>
            </w:pPr>
            <w:r>
              <w:rPr>
                <w:rFonts w:ascii="Arial" w:eastAsia="宋体" w:hAnsi="Arial" w:cs="Arial"/>
                <w:b/>
                <w:bCs/>
                <w:color w:val="000000"/>
                <w:sz w:val="17"/>
                <w:szCs w:val="17"/>
              </w:rPr>
              <w:t>(268)</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E77"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E78"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E79" w14:textId="77777777" w:rsidR="004421F6" w:rsidRDefault="00F15622">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E7A"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E7B"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E7C" w14:textId="77777777" w:rsidR="004421F6" w:rsidRDefault="00F15622">
            <w:pPr>
              <w:jc w:val="right"/>
              <w:textAlignment w:val="bottom"/>
            </w:pPr>
            <w:r>
              <w:rPr>
                <w:rFonts w:ascii="Arial" w:eastAsia="宋体" w:hAnsi="Arial" w:cs="Arial"/>
                <w:b/>
                <w:bCs/>
                <w:color w:val="000000"/>
                <w:sz w:val="17"/>
                <w:szCs w:val="17"/>
              </w:rPr>
              <w:t>(72)</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E7D"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E7E"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E7F" w14:textId="77777777" w:rsidR="004421F6" w:rsidRDefault="00F15622">
            <w:pPr>
              <w:jc w:val="right"/>
              <w:textAlignment w:val="bottom"/>
            </w:pPr>
            <w:r>
              <w:rPr>
                <w:rFonts w:ascii="Arial" w:eastAsia="宋体" w:hAnsi="Arial" w:cs="Arial"/>
                <w:b/>
                <w:bCs/>
                <w:color w:val="000000"/>
                <w:sz w:val="17"/>
                <w:szCs w:val="17"/>
              </w:rPr>
              <w:t>(401)</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E80" w14:textId="77777777" w:rsidR="004421F6" w:rsidRDefault="004421F6">
            <w:pPr>
              <w:jc w:val="right"/>
              <w:rPr>
                <w:rFonts w:ascii="宋体"/>
              </w:rPr>
            </w:pPr>
          </w:p>
        </w:tc>
      </w:tr>
    </w:tbl>
    <w:p w14:paraId="1D025E82" w14:textId="77777777" w:rsidR="004421F6" w:rsidRDefault="00F15622">
      <w:pPr>
        <w:spacing w:before="60" w:after="60"/>
        <w:ind w:hanging="360"/>
      </w:pPr>
      <w:r>
        <w:rPr>
          <w:rFonts w:ascii="Arial" w:eastAsia="宋体" w:hAnsi="Arial" w:cs="Arial"/>
          <w:i/>
          <w:iCs/>
          <w:color w:val="000000"/>
          <w:sz w:val="14"/>
          <w:szCs w:val="14"/>
        </w:rPr>
        <w:t>(1)The accumulated foreign currency translation adjustment and net investment hedge gains/losses related to an investment in a f</w:t>
      </w:r>
      <w:r>
        <w:rPr>
          <w:rFonts w:ascii="Arial" w:eastAsia="宋体" w:hAnsi="Arial" w:cs="Arial"/>
          <w:i/>
          <w:iCs/>
          <w:color w:val="000000"/>
          <w:sz w:val="14"/>
          <w:szCs w:val="14"/>
        </w:rPr>
        <w:t>oreign subsidiary are reclassified to Net income upon sale or upon complete or substantially complete liquidation of the respective entity.</w:t>
      </w:r>
    </w:p>
    <w:p w14:paraId="1D025E83" w14:textId="77777777" w:rsidR="004421F6" w:rsidRDefault="00F15622">
      <w:pPr>
        <w:spacing w:before="60" w:after="60"/>
        <w:ind w:hanging="360"/>
      </w:pPr>
      <w:r>
        <w:rPr>
          <w:rFonts w:ascii="Arial" w:eastAsia="宋体" w:hAnsi="Arial" w:cs="Arial"/>
          <w:i/>
          <w:iCs/>
          <w:color w:val="000000"/>
          <w:sz w:val="14"/>
          <w:szCs w:val="14"/>
        </w:rPr>
        <w:t xml:space="preserve">(2)Net of tax benefit (expense) of $0 million, $4 million, $0 million, $1 million and $5 million, </w:t>
      </w:r>
      <w:r>
        <w:rPr>
          <w:rFonts w:ascii="Arial" w:eastAsia="宋体" w:hAnsi="Arial" w:cs="Arial"/>
          <w:i/>
          <w:iCs/>
          <w:color w:val="000000"/>
          <w:sz w:val="14"/>
          <w:szCs w:val="14"/>
        </w:rPr>
        <w:t>respectively.</w:t>
      </w:r>
    </w:p>
    <w:p w14:paraId="1D025E84" w14:textId="77777777" w:rsidR="004421F6" w:rsidRDefault="00F15622">
      <w:pPr>
        <w:spacing w:before="60" w:after="60"/>
        <w:ind w:hanging="360"/>
      </w:pPr>
      <w:r>
        <w:rPr>
          <w:rFonts w:ascii="Arial" w:eastAsia="宋体" w:hAnsi="Arial" w:cs="Arial"/>
          <w:i/>
          <w:iCs/>
          <w:color w:val="000000"/>
          <w:sz w:val="14"/>
          <w:szCs w:val="14"/>
        </w:rPr>
        <w:t xml:space="preserve">(3)Net of tax (benefit) expense of $0 million, $3 million, $0 million, $0 million and $3 million, respectively. </w:t>
      </w:r>
    </w:p>
    <w:tbl>
      <w:tblPr>
        <w:tblW w:w="5000" w:type="pct"/>
        <w:tblCellMar>
          <w:top w:w="15" w:type="dxa"/>
          <w:left w:w="15" w:type="dxa"/>
          <w:bottom w:w="15" w:type="dxa"/>
          <w:right w:w="15" w:type="dxa"/>
        </w:tblCellMar>
        <w:tblLook w:val="04A0" w:firstRow="1" w:lastRow="0" w:firstColumn="1" w:lastColumn="0" w:noHBand="0" w:noVBand="1"/>
      </w:tblPr>
      <w:tblGrid>
        <w:gridCol w:w="40"/>
        <w:gridCol w:w="3662"/>
        <w:gridCol w:w="39"/>
        <w:gridCol w:w="131"/>
        <w:gridCol w:w="1030"/>
        <w:gridCol w:w="41"/>
        <w:gridCol w:w="131"/>
        <w:gridCol w:w="613"/>
        <w:gridCol w:w="41"/>
        <w:gridCol w:w="131"/>
        <w:gridCol w:w="867"/>
        <w:gridCol w:w="41"/>
        <w:gridCol w:w="131"/>
        <w:gridCol w:w="613"/>
        <w:gridCol w:w="41"/>
        <w:gridCol w:w="130"/>
        <w:gridCol w:w="613"/>
        <w:gridCol w:w="41"/>
      </w:tblGrid>
      <w:tr w:rsidR="004421F6" w14:paraId="1D025E97" w14:textId="77777777">
        <w:tc>
          <w:tcPr>
            <w:tcW w:w="50" w:type="pct"/>
            <w:shd w:val="clear" w:color="auto" w:fill="auto"/>
          </w:tcPr>
          <w:p w14:paraId="1D025E85" w14:textId="77777777" w:rsidR="004421F6" w:rsidRDefault="004421F6">
            <w:pPr>
              <w:rPr>
                <w:rFonts w:ascii="宋体"/>
              </w:rPr>
            </w:pPr>
          </w:p>
        </w:tc>
        <w:tc>
          <w:tcPr>
            <w:tcW w:w="2332" w:type="pct"/>
            <w:shd w:val="clear" w:color="auto" w:fill="auto"/>
          </w:tcPr>
          <w:p w14:paraId="1D025E86" w14:textId="77777777" w:rsidR="004421F6" w:rsidRDefault="004421F6">
            <w:pPr>
              <w:rPr>
                <w:rFonts w:ascii="宋体"/>
              </w:rPr>
            </w:pPr>
          </w:p>
        </w:tc>
        <w:tc>
          <w:tcPr>
            <w:tcW w:w="5" w:type="pct"/>
            <w:shd w:val="clear" w:color="auto" w:fill="auto"/>
          </w:tcPr>
          <w:p w14:paraId="1D025E87" w14:textId="77777777" w:rsidR="004421F6" w:rsidRDefault="004421F6">
            <w:pPr>
              <w:rPr>
                <w:rFonts w:ascii="宋体"/>
              </w:rPr>
            </w:pPr>
          </w:p>
        </w:tc>
        <w:tc>
          <w:tcPr>
            <w:tcW w:w="50" w:type="pct"/>
            <w:shd w:val="clear" w:color="auto" w:fill="auto"/>
          </w:tcPr>
          <w:p w14:paraId="1D025E88" w14:textId="77777777" w:rsidR="004421F6" w:rsidRDefault="004421F6">
            <w:pPr>
              <w:rPr>
                <w:rFonts w:ascii="宋体"/>
              </w:rPr>
            </w:pPr>
          </w:p>
        </w:tc>
        <w:tc>
          <w:tcPr>
            <w:tcW w:w="545" w:type="pct"/>
            <w:shd w:val="clear" w:color="auto" w:fill="auto"/>
          </w:tcPr>
          <w:p w14:paraId="1D025E89" w14:textId="77777777" w:rsidR="004421F6" w:rsidRDefault="004421F6">
            <w:pPr>
              <w:rPr>
                <w:rFonts w:ascii="宋体"/>
              </w:rPr>
            </w:pPr>
          </w:p>
        </w:tc>
        <w:tc>
          <w:tcPr>
            <w:tcW w:w="5" w:type="pct"/>
            <w:shd w:val="clear" w:color="auto" w:fill="auto"/>
          </w:tcPr>
          <w:p w14:paraId="1D025E8A" w14:textId="77777777" w:rsidR="004421F6" w:rsidRDefault="004421F6">
            <w:pPr>
              <w:rPr>
                <w:rFonts w:ascii="宋体"/>
              </w:rPr>
            </w:pPr>
          </w:p>
        </w:tc>
        <w:tc>
          <w:tcPr>
            <w:tcW w:w="50" w:type="pct"/>
            <w:shd w:val="clear" w:color="auto" w:fill="auto"/>
          </w:tcPr>
          <w:p w14:paraId="1D025E8B" w14:textId="77777777" w:rsidR="004421F6" w:rsidRDefault="004421F6">
            <w:pPr>
              <w:rPr>
                <w:rFonts w:ascii="宋体"/>
              </w:rPr>
            </w:pPr>
          </w:p>
        </w:tc>
        <w:tc>
          <w:tcPr>
            <w:tcW w:w="448" w:type="pct"/>
            <w:shd w:val="clear" w:color="auto" w:fill="auto"/>
          </w:tcPr>
          <w:p w14:paraId="1D025E8C" w14:textId="77777777" w:rsidR="004421F6" w:rsidRDefault="004421F6">
            <w:pPr>
              <w:rPr>
                <w:rFonts w:ascii="宋体"/>
              </w:rPr>
            </w:pPr>
          </w:p>
        </w:tc>
        <w:tc>
          <w:tcPr>
            <w:tcW w:w="5" w:type="pct"/>
            <w:shd w:val="clear" w:color="auto" w:fill="auto"/>
          </w:tcPr>
          <w:p w14:paraId="1D025E8D" w14:textId="77777777" w:rsidR="004421F6" w:rsidRDefault="004421F6">
            <w:pPr>
              <w:rPr>
                <w:rFonts w:ascii="宋体"/>
              </w:rPr>
            </w:pPr>
          </w:p>
        </w:tc>
        <w:tc>
          <w:tcPr>
            <w:tcW w:w="50" w:type="pct"/>
            <w:shd w:val="clear" w:color="auto" w:fill="auto"/>
          </w:tcPr>
          <w:p w14:paraId="1D025E8E" w14:textId="77777777" w:rsidR="004421F6" w:rsidRDefault="004421F6">
            <w:pPr>
              <w:rPr>
                <w:rFonts w:ascii="宋体"/>
              </w:rPr>
            </w:pPr>
          </w:p>
        </w:tc>
        <w:tc>
          <w:tcPr>
            <w:tcW w:w="448" w:type="pct"/>
            <w:shd w:val="clear" w:color="auto" w:fill="auto"/>
          </w:tcPr>
          <w:p w14:paraId="1D025E8F" w14:textId="77777777" w:rsidR="004421F6" w:rsidRDefault="004421F6">
            <w:pPr>
              <w:rPr>
                <w:rFonts w:ascii="宋体"/>
              </w:rPr>
            </w:pPr>
          </w:p>
        </w:tc>
        <w:tc>
          <w:tcPr>
            <w:tcW w:w="5" w:type="pct"/>
            <w:shd w:val="clear" w:color="auto" w:fill="auto"/>
          </w:tcPr>
          <w:p w14:paraId="1D025E90" w14:textId="77777777" w:rsidR="004421F6" w:rsidRDefault="004421F6">
            <w:pPr>
              <w:rPr>
                <w:rFonts w:ascii="宋体"/>
              </w:rPr>
            </w:pPr>
          </w:p>
        </w:tc>
        <w:tc>
          <w:tcPr>
            <w:tcW w:w="50" w:type="pct"/>
            <w:shd w:val="clear" w:color="auto" w:fill="auto"/>
          </w:tcPr>
          <w:p w14:paraId="1D025E91" w14:textId="77777777" w:rsidR="004421F6" w:rsidRDefault="004421F6">
            <w:pPr>
              <w:rPr>
                <w:rFonts w:ascii="宋体"/>
              </w:rPr>
            </w:pPr>
          </w:p>
        </w:tc>
        <w:tc>
          <w:tcPr>
            <w:tcW w:w="448" w:type="pct"/>
            <w:shd w:val="clear" w:color="auto" w:fill="auto"/>
          </w:tcPr>
          <w:p w14:paraId="1D025E92" w14:textId="77777777" w:rsidR="004421F6" w:rsidRDefault="004421F6">
            <w:pPr>
              <w:rPr>
                <w:rFonts w:ascii="宋体"/>
              </w:rPr>
            </w:pPr>
          </w:p>
        </w:tc>
        <w:tc>
          <w:tcPr>
            <w:tcW w:w="5" w:type="pct"/>
            <w:shd w:val="clear" w:color="auto" w:fill="auto"/>
          </w:tcPr>
          <w:p w14:paraId="1D025E93" w14:textId="77777777" w:rsidR="004421F6" w:rsidRDefault="004421F6">
            <w:pPr>
              <w:rPr>
                <w:rFonts w:ascii="宋体"/>
              </w:rPr>
            </w:pPr>
          </w:p>
        </w:tc>
        <w:tc>
          <w:tcPr>
            <w:tcW w:w="50" w:type="pct"/>
            <w:shd w:val="clear" w:color="auto" w:fill="auto"/>
          </w:tcPr>
          <w:p w14:paraId="1D025E94" w14:textId="77777777" w:rsidR="004421F6" w:rsidRDefault="004421F6">
            <w:pPr>
              <w:rPr>
                <w:rFonts w:ascii="宋体"/>
              </w:rPr>
            </w:pPr>
          </w:p>
        </w:tc>
        <w:tc>
          <w:tcPr>
            <w:tcW w:w="448" w:type="pct"/>
            <w:shd w:val="clear" w:color="auto" w:fill="auto"/>
          </w:tcPr>
          <w:p w14:paraId="1D025E95" w14:textId="77777777" w:rsidR="004421F6" w:rsidRDefault="004421F6">
            <w:pPr>
              <w:rPr>
                <w:rFonts w:ascii="宋体"/>
              </w:rPr>
            </w:pPr>
          </w:p>
        </w:tc>
        <w:tc>
          <w:tcPr>
            <w:tcW w:w="5" w:type="pct"/>
            <w:shd w:val="clear" w:color="auto" w:fill="auto"/>
          </w:tcPr>
          <w:p w14:paraId="1D025E96" w14:textId="77777777" w:rsidR="004421F6" w:rsidRDefault="004421F6">
            <w:pPr>
              <w:rPr>
                <w:rFonts w:ascii="宋体"/>
              </w:rPr>
            </w:pPr>
          </w:p>
        </w:tc>
      </w:tr>
      <w:tr w:rsidR="004421F6" w14:paraId="1D025E9E" w14:textId="77777777">
        <w:tc>
          <w:tcPr>
            <w:tcW w:w="0" w:type="auto"/>
            <w:gridSpan w:val="3"/>
            <w:shd w:val="clear" w:color="auto" w:fill="auto"/>
            <w:tcMar>
              <w:top w:w="40" w:type="dxa"/>
              <w:left w:w="20" w:type="dxa"/>
              <w:bottom w:w="40" w:type="dxa"/>
              <w:right w:w="20" w:type="dxa"/>
            </w:tcMar>
            <w:vAlign w:val="bottom"/>
          </w:tcPr>
          <w:p w14:paraId="1D025E98" w14:textId="77777777" w:rsidR="004421F6" w:rsidRDefault="00F15622">
            <w:pPr>
              <w:textAlignment w:val="bottom"/>
            </w:pPr>
            <w:r>
              <w:rPr>
                <w:rFonts w:ascii="Arial Narrow" w:eastAsia="Arial Narrow" w:hAnsi="Arial Narrow" w:cs="Arial Narrow"/>
                <w:i/>
                <w:iCs/>
                <w:color w:val="000000"/>
                <w:sz w:val="17"/>
                <w:szCs w:val="17"/>
              </w:rPr>
              <w:t>(Dollars i</w:t>
            </w:r>
            <w:r>
              <w:rPr>
                <w:rFonts w:ascii="Arial Narrow" w:eastAsia="Arial Narrow" w:hAnsi="Arial Narrow" w:cs="Arial Narrow"/>
                <w:i/>
                <w:iCs/>
                <w:color w:val="000000"/>
                <w:sz w:val="17"/>
                <w:szCs w:val="17"/>
              </w:rPr>
              <w:t>n millions)</w:t>
            </w:r>
          </w:p>
        </w:tc>
        <w:tc>
          <w:tcPr>
            <w:tcW w:w="0" w:type="auto"/>
            <w:gridSpan w:val="3"/>
            <w:shd w:val="clear" w:color="auto" w:fill="auto"/>
            <w:tcMar>
              <w:top w:w="40" w:type="dxa"/>
              <w:left w:w="20" w:type="dxa"/>
              <w:bottom w:w="40" w:type="dxa"/>
              <w:right w:w="20" w:type="dxa"/>
            </w:tcMar>
            <w:vAlign w:val="bottom"/>
          </w:tcPr>
          <w:p w14:paraId="1D025E99" w14:textId="77777777" w:rsidR="004421F6" w:rsidRDefault="00F15622">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1D025E9A" w14:textId="77777777" w:rsidR="004421F6" w:rsidRDefault="00F15622">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1D025E9B" w14:textId="77777777" w:rsidR="004421F6" w:rsidRDefault="00F15622">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1D025E9C" w14:textId="77777777" w:rsidR="004421F6" w:rsidRDefault="00F15622">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1D025E9D" w14:textId="77777777" w:rsidR="004421F6" w:rsidRDefault="00F15622">
            <w:pPr>
              <w:jc w:val="right"/>
              <w:textAlignment w:val="bottom"/>
            </w:pPr>
            <w:r>
              <w:rPr>
                <w:rFonts w:ascii="sans-serif" w:eastAsia="sans-serif" w:hAnsi="sans-serif" w:cs="sans-serif"/>
                <w:b/>
                <w:bCs/>
                <w:color w:val="000000"/>
                <w:sz w:val="17"/>
                <w:szCs w:val="17"/>
              </w:rPr>
              <w:t>TOTAL</w:t>
            </w:r>
          </w:p>
        </w:tc>
      </w:tr>
      <w:tr w:rsidR="004421F6" w14:paraId="1D025EA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E9F" w14:textId="77777777" w:rsidR="004421F6" w:rsidRDefault="00F15622">
            <w:pPr>
              <w:textAlignment w:val="bottom"/>
            </w:pPr>
            <w:r>
              <w:rPr>
                <w:rFonts w:ascii="Arial" w:eastAsia="宋体" w:hAnsi="Arial" w:cs="Arial"/>
                <w:b/>
                <w:bCs/>
                <w:color w:val="000000"/>
                <w:sz w:val="17"/>
                <w:szCs w:val="17"/>
              </w:rPr>
              <w:t>Balance at May 31, 2019</w:t>
            </w:r>
          </w:p>
        </w:tc>
        <w:tc>
          <w:tcPr>
            <w:tcW w:w="0" w:type="auto"/>
            <w:tcBorders>
              <w:top w:val="single" w:sz="8" w:space="0" w:color="E87722"/>
            </w:tcBorders>
            <w:shd w:val="clear" w:color="auto" w:fill="auto"/>
            <w:tcMar>
              <w:top w:w="40" w:type="dxa"/>
              <w:left w:w="20" w:type="dxa"/>
              <w:bottom w:w="40" w:type="dxa"/>
            </w:tcMar>
            <w:vAlign w:val="bottom"/>
          </w:tcPr>
          <w:p w14:paraId="1D025EA0"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EA1" w14:textId="77777777" w:rsidR="004421F6" w:rsidRDefault="00F15622">
            <w:pPr>
              <w:jc w:val="right"/>
              <w:textAlignment w:val="bottom"/>
            </w:pPr>
            <w:r>
              <w:rPr>
                <w:rFonts w:ascii="Arial" w:eastAsia="宋体" w:hAnsi="Arial" w:cs="Arial"/>
                <w:b/>
                <w:bCs/>
                <w:color w:val="000000"/>
                <w:sz w:val="17"/>
                <w:szCs w:val="17"/>
              </w:rPr>
              <w:t>(346)</w:t>
            </w:r>
          </w:p>
        </w:tc>
        <w:tc>
          <w:tcPr>
            <w:tcW w:w="0" w:type="auto"/>
            <w:tcBorders>
              <w:top w:val="single" w:sz="8" w:space="0" w:color="E87722"/>
            </w:tcBorders>
            <w:shd w:val="clear" w:color="auto" w:fill="auto"/>
            <w:tcMar>
              <w:top w:w="40" w:type="dxa"/>
              <w:bottom w:w="40" w:type="dxa"/>
              <w:right w:w="20" w:type="dxa"/>
            </w:tcMar>
            <w:vAlign w:val="bottom"/>
          </w:tcPr>
          <w:p w14:paraId="1D025EA2"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EA3"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EA4" w14:textId="77777777" w:rsidR="004421F6" w:rsidRDefault="00F15622">
            <w:pPr>
              <w:jc w:val="right"/>
              <w:textAlignment w:val="bottom"/>
            </w:pPr>
            <w:r>
              <w:rPr>
                <w:rFonts w:ascii="Arial" w:eastAsia="宋体" w:hAnsi="Arial" w:cs="Arial"/>
                <w:b/>
                <w:bCs/>
                <w:color w:val="000000"/>
                <w:sz w:val="17"/>
                <w:szCs w:val="17"/>
              </w:rPr>
              <w:t>520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EA5"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EA6"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EA7" w14:textId="77777777" w:rsidR="004421F6" w:rsidRDefault="00F15622">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EA8"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EA9"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EAA" w14:textId="77777777" w:rsidR="004421F6" w:rsidRDefault="00F15622">
            <w:pPr>
              <w:jc w:val="right"/>
              <w:textAlignment w:val="bottom"/>
            </w:pPr>
            <w:r>
              <w:rPr>
                <w:rFonts w:ascii="Arial" w:eastAsia="宋体" w:hAnsi="Arial" w:cs="Arial"/>
                <w:b/>
                <w:bCs/>
                <w:color w:val="000000"/>
                <w:sz w:val="17"/>
                <w:szCs w:val="17"/>
              </w:rPr>
              <w:t>(58)</w:t>
            </w:r>
          </w:p>
        </w:tc>
        <w:tc>
          <w:tcPr>
            <w:tcW w:w="0" w:type="auto"/>
            <w:tcBorders>
              <w:top w:val="single" w:sz="8" w:space="0" w:color="E87722"/>
            </w:tcBorders>
            <w:shd w:val="clear" w:color="auto" w:fill="auto"/>
            <w:tcMar>
              <w:top w:w="40" w:type="dxa"/>
              <w:bottom w:w="40" w:type="dxa"/>
              <w:right w:w="20" w:type="dxa"/>
            </w:tcMar>
            <w:vAlign w:val="bottom"/>
          </w:tcPr>
          <w:p w14:paraId="1D025EAB"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5EAC"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5EAD" w14:textId="77777777" w:rsidR="004421F6" w:rsidRDefault="00F15622">
            <w:pPr>
              <w:jc w:val="right"/>
              <w:textAlignment w:val="bottom"/>
            </w:pPr>
            <w:r>
              <w:rPr>
                <w:rFonts w:ascii="Arial" w:eastAsia="宋体" w:hAnsi="Arial" w:cs="Arial"/>
                <w:b/>
                <w:bCs/>
                <w:color w:val="000000"/>
                <w:sz w:val="17"/>
                <w:szCs w:val="17"/>
              </w:rPr>
              <w:t>231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EAE" w14:textId="77777777" w:rsidR="004421F6" w:rsidRDefault="004421F6">
            <w:pPr>
              <w:jc w:val="right"/>
              <w:rPr>
                <w:rFonts w:ascii="宋体"/>
              </w:rPr>
            </w:pPr>
          </w:p>
        </w:tc>
      </w:tr>
      <w:tr w:rsidR="004421F6" w14:paraId="1D025EB6"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1D025EB0" w14:textId="77777777" w:rsidR="004421F6" w:rsidRDefault="00F15622">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auto"/>
            <w:tcMar>
              <w:left w:w="20" w:type="dxa"/>
              <w:right w:w="20" w:type="dxa"/>
            </w:tcMar>
            <w:vAlign w:val="bottom"/>
          </w:tcPr>
          <w:p w14:paraId="1D025EB1"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EB2"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EB3"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EB4"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EB5" w14:textId="77777777" w:rsidR="004421F6" w:rsidRDefault="004421F6">
            <w:pPr>
              <w:rPr>
                <w:rFonts w:ascii="宋体"/>
              </w:rPr>
            </w:pPr>
          </w:p>
        </w:tc>
      </w:tr>
      <w:tr w:rsidR="004421F6" w14:paraId="1D025EC2"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1D025EB7" w14:textId="77777777" w:rsidR="004421F6" w:rsidRDefault="00F15622">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9"/>
                <w:szCs w:val="9"/>
              </w:rPr>
              <w:t>(2)</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EB8" w14:textId="77777777" w:rsidR="004421F6" w:rsidRDefault="00F15622">
            <w:pPr>
              <w:jc w:val="right"/>
              <w:textAlignment w:val="bottom"/>
            </w:pPr>
            <w:r>
              <w:rPr>
                <w:rFonts w:ascii="Arial" w:eastAsia="宋体" w:hAnsi="Arial" w:cs="Arial"/>
                <w:color w:val="000000"/>
                <w:sz w:val="17"/>
                <w:szCs w:val="17"/>
              </w:rPr>
              <w:t>(89)</w:t>
            </w:r>
          </w:p>
        </w:tc>
        <w:tc>
          <w:tcPr>
            <w:tcW w:w="0" w:type="auto"/>
            <w:tcBorders>
              <w:top w:val="single" w:sz="8" w:space="0" w:color="808080"/>
            </w:tcBorders>
            <w:shd w:val="clear" w:color="auto" w:fill="auto"/>
            <w:tcMar>
              <w:top w:w="40" w:type="dxa"/>
              <w:bottom w:w="40" w:type="dxa"/>
              <w:right w:w="20" w:type="dxa"/>
            </w:tcMar>
            <w:vAlign w:val="bottom"/>
          </w:tcPr>
          <w:p w14:paraId="1D025EB9"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EBA" w14:textId="77777777" w:rsidR="004421F6" w:rsidRDefault="00F15622">
            <w:pPr>
              <w:jc w:val="right"/>
              <w:textAlignment w:val="bottom"/>
            </w:pPr>
            <w:r>
              <w:rPr>
                <w:rFonts w:ascii="Arial" w:eastAsia="宋体" w:hAnsi="Arial" w:cs="Arial"/>
                <w:color w:val="000000"/>
                <w:sz w:val="17"/>
                <w:szCs w:val="17"/>
              </w:rPr>
              <w:t>163 </w:t>
            </w:r>
          </w:p>
        </w:tc>
        <w:tc>
          <w:tcPr>
            <w:tcW w:w="0" w:type="auto"/>
            <w:tcBorders>
              <w:top w:val="single" w:sz="8" w:space="0" w:color="808080"/>
            </w:tcBorders>
            <w:shd w:val="clear" w:color="auto" w:fill="auto"/>
            <w:tcMar>
              <w:top w:w="40" w:type="dxa"/>
              <w:bottom w:w="40" w:type="dxa"/>
              <w:right w:w="20" w:type="dxa"/>
            </w:tcMar>
            <w:vAlign w:val="bottom"/>
          </w:tcPr>
          <w:p w14:paraId="1D025EBB"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EBC"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5EBD"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EBE" w14:textId="77777777" w:rsidR="004421F6" w:rsidRDefault="00F1562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bottom w:w="40" w:type="dxa"/>
              <w:right w:w="20" w:type="dxa"/>
            </w:tcMar>
            <w:vAlign w:val="bottom"/>
          </w:tcPr>
          <w:p w14:paraId="1D025EBF"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EC0" w14:textId="77777777" w:rsidR="004421F6" w:rsidRDefault="00F15622">
            <w:pPr>
              <w:jc w:val="right"/>
              <w:textAlignment w:val="bottom"/>
            </w:pPr>
            <w:r>
              <w:rPr>
                <w:rFonts w:ascii="Arial" w:eastAsia="宋体" w:hAnsi="Arial" w:cs="Arial"/>
                <w:color w:val="000000"/>
                <w:sz w:val="17"/>
                <w:szCs w:val="17"/>
              </w:rPr>
              <w:t>77 </w:t>
            </w:r>
          </w:p>
        </w:tc>
        <w:tc>
          <w:tcPr>
            <w:tcW w:w="0" w:type="auto"/>
            <w:tcBorders>
              <w:top w:val="single" w:sz="8" w:space="0" w:color="808080"/>
            </w:tcBorders>
            <w:shd w:val="clear" w:color="auto" w:fill="auto"/>
            <w:tcMar>
              <w:top w:w="40" w:type="dxa"/>
              <w:bottom w:w="40" w:type="dxa"/>
              <w:right w:w="20" w:type="dxa"/>
            </w:tcMar>
            <w:vAlign w:val="bottom"/>
          </w:tcPr>
          <w:p w14:paraId="1D025EC1" w14:textId="77777777" w:rsidR="004421F6" w:rsidRDefault="004421F6">
            <w:pPr>
              <w:jc w:val="right"/>
              <w:rPr>
                <w:rFonts w:ascii="宋体"/>
              </w:rPr>
            </w:pPr>
          </w:p>
        </w:tc>
      </w:tr>
      <w:tr w:rsidR="004421F6" w14:paraId="1D025ECE"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1D025EC3" w14:textId="77777777" w:rsidR="004421F6" w:rsidRDefault="00F15622">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9"/>
                <w:szCs w:val="9"/>
              </w:rPr>
              <w:t>(3)</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EC4"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5EC5"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EC6" w14:textId="77777777" w:rsidR="004421F6" w:rsidRDefault="00F15622">
            <w:pPr>
              <w:jc w:val="right"/>
              <w:textAlignment w:val="bottom"/>
            </w:pPr>
            <w:r>
              <w:rPr>
                <w:rFonts w:ascii="Arial" w:eastAsia="宋体" w:hAnsi="Arial" w:cs="Arial"/>
                <w:color w:val="000000"/>
                <w:sz w:val="17"/>
                <w:szCs w:val="17"/>
              </w:rPr>
              <w:t>(127)</w:t>
            </w:r>
          </w:p>
        </w:tc>
        <w:tc>
          <w:tcPr>
            <w:tcW w:w="0" w:type="auto"/>
            <w:tcBorders>
              <w:top w:val="single" w:sz="8" w:space="0" w:color="808080"/>
            </w:tcBorders>
            <w:shd w:val="clear" w:color="auto" w:fill="auto"/>
            <w:tcMar>
              <w:top w:w="40" w:type="dxa"/>
              <w:bottom w:w="40" w:type="dxa"/>
              <w:right w:w="20" w:type="dxa"/>
            </w:tcMar>
            <w:vAlign w:val="bottom"/>
          </w:tcPr>
          <w:p w14:paraId="1D025EC7"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EC8"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5EC9"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ECA" w14:textId="77777777" w:rsidR="004421F6" w:rsidRDefault="00F15622">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auto"/>
            <w:tcMar>
              <w:top w:w="40" w:type="dxa"/>
              <w:bottom w:w="40" w:type="dxa"/>
              <w:right w:w="20" w:type="dxa"/>
            </w:tcMar>
            <w:vAlign w:val="bottom"/>
          </w:tcPr>
          <w:p w14:paraId="1D025ECB"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ECC" w14:textId="77777777" w:rsidR="004421F6" w:rsidRDefault="00F15622">
            <w:pPr>
              <w:jc w:val="right"/>
              <w:textAlignment w:val="bottom"/>
            </w:pPr>
            <w:r>
              <w:rPr>
                <w:rFonts w:ascii="Arial" w:eastAsia="宋体" w:hAnsi="Arial" w:cs="Arial"/>
                <w:color w:val="000000"/>
                <w:sz w:val="17"/>
                <w:szCs w:val="17"/>
              </w:rPr>
              <w:t>(128)</w:t>
            </w:r>
          </w:p>
        </w:tc>
        <w:tc>
          <w:tcPr>
            <w:tcW w:w="0" w:type="auto"/>
            <w:tcBorders>
              <w:top w:val="single" w:sz="8" w:space="0" w:color="808080"/>
            </w:tcBorders>
            <w:shd w:val="clear" w:color="auto" w:fill="auto"/>
            <w:tcMar>
              <w:top w:w="40" w:type="dxa"/>
              <w:bottom w:w="40" w:type="dxa"/>
              <w:right w:w="20" w:type="dxa"/>
            </w:tcMar>
            <w:vAlign w:val="bottom"/>
          </w:tcPr>
          <w:p w14:paraId="1D025ECD" w14:textId="77777777" w:rsidR="004421F6" w:rsidRDefault="004421F6">
            <w:pPr>
              <w:jc w:val="right"/>
              <w:rPr>
                <w:rFonts w:ascii="宋体"/>
              </w:rPr>
            </w:pPr>
          </w:p>
        </w:tc>
      </w:tr>
      <w:tr w:rsidR="004421F6" w14:paraId="1D025ED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ECF" w14:textId="77777777" w:rsidR="004421F6" w:rsidRDefault="00F15622">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ED0" w14:textId="77777777" w:rsidR="004421F6" w:rsidRDefault="00F15622">
            <w:pPr>
              <w:jc w:val="right"/>
              <w:textAlignment w:val="bottom"/>
            </w:pPr>
            <w:r>
              <w:rPr>
                <w:rFonts w:ascii="Arial" w:eastAsia="宋体" w:hAnsi="Arial" w:cs="Arial"/>
                <w:color w:val="000000"/>
                <w:sz w:val="17"/>
                <w:szCs w:val="17"/>
              </w:rPr>
              <w:t>(89)</w:t>
            </w:r>
          </w:p>
        </w:tc>
        <w:tc>
          <w:tcPr>
            <w:tcW w:w="0" w:type="auto"/>
            <w:tcBorders>
              <w:top w:val="single" w:sz="8" w:space="0" w:color="E87722"/>
            </w:tcBorders>
            <w:shd w:val="clear" w:color="auto" w:fill="auto"/>
            <w:tcMar>
              <w:top w:w="40" w:type="dxa"/>
              <w:bottom w:w="40" w:type="dxa"/>
              <w:right w:w="20" w:type="dxa"/>
            </w:tcMar>
            <w:vAlign w:val="bottom"/>
          </w:tcPr>
          <w:p w14:paraId="1D025ED1"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ED2" w14:textId="77777777" w:rsidR="004421F6" w:rsidRDefault="00F15622">
            <w:pPr>
              <w:jc w:val="right"/>
              <w:textAlignment w:val="bottom"/>
            </w:pPr>
            <w:r>
              <w:rPr>
                <w:rFonts w:ascii="Arial" w:eastAsia="宋体" w:hAnsi="Arial" w:cs="Arial"/>
                <w:color w:val="000000"/>
                <w:sz w:val="17"/>
                <w:szCs w:val="17"/>
              </w:rPr>
              <w:t>36 </w:t>
            </w:r>
          </w:p>
        </w:tc>
        <w:tc>
          <w:tcPr>
            <w:tcW w:w="0" w:type="auto"/>
            <w:tcBorders>
              <w:top w:val="single" w:sz="8" w:space="0" w:color="E87722"/>
            </w:tcBorders>
            <w:shd w:val="clear" w:color="auto" w:fill="auto"/>
            <w:tcMar>
              <w:top w:w="40" w:type="dxa"/>
              <w:bottom w:w="40" w:type="dxa"/>
              <w:right w:w="20" w:type="dxa"/>
            </w:tcMar>
            <w:vAlign w:val="bottom"/>
          </w:tcPr>
          <w:p w14:paraId="1D025ED3"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ED4"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ED5"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ED6" w14:textId="77777777" w:rsidR="004421F6" w:rsidRDefault="00F15622">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bottom w:w="40" w:type="dxa"/>
              <w:right w:w="20" w:type="dxa"/>
            </w:tcMar>
            <w:vAlign w:val="bottom"/>
          </w:tcPr>
          <w:p w14:paraId="1D025ED7"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ED8" w14:textId="77777777" w:rsidR="004421F6" w:rsidRDefault="00F15622">
            <w:pPr>
              <w:jc w:val="right"/>
              <w:textAlignment w:val="bottom"/>
            </w:pPr>
            <w:r>
              <w:rPr>
                <w:rFonts w:ascii="Arial" w:eastAsia="宋体" w:hAnsi="Arial" w:cs="Arial"/>
                <w:color w:val="000000"/>
                <w:sz w:val="17"/>
                <w:szCs w:val="17"/>
              </w:rPr>
              <w:t>(51)</w:t>
            </w:r>
          </w:p>
        </w:tc>
        <w:tc>
          <w:tcPr>
            <w:tcW w:w="0" w:type="auto"/>
            <w:tcBorders>
              <w:top w:val="single" w:sz="8" w:space="0" w:color="E87722"/>
            </w:tcBorders>
            <w:shd w:val="clear" w:color="auto" w:fill="auto"/>
            <w:tcMar>
              <w:top w:w="40" w:type="dxa"/>
              <w:bottom w:w="40" w:type="dxa"/>
              <w:right w:w="20" w:type="dxa"/>
            </w:tcMar>
            <w:vAlign w:val="bottom"/>
          </w:tcPr>
          <w:p w14:paraId="1D025ED9" w14:textId="77777777" w:rsidR="004421F6" w:rsidRDefault="004421F6">
            <w:pPr>
              <w:jc w:val="right"/>
              <w:rPr>
                <w:rFonts w:ascii="宋体"/>
              </w:rPr>
            </w:pPr>
          </w:p>
        </w:tc>
      </w:tr>
      <w:tr w:rsidR="004421F6" w14:paraId="1D025EEB"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EDB" w14:textId="77777777" w:rsidR="004421F6" w:rsidRDefault="00F15622">
            <w:pPr>
              <w:textAlignment w:val="bottom"/>
            </w:pPr>
            <w:r>
              <w:rPr>
                <w:rFonts w:ascii="Arial" w:eastAsia="宋体" w:hAnsi="Arial" w:cs="Arial"/>
                <w:b/>
                <w:bCs/>
                <w:color w:val="000000"/>
                <w:sz w:val="17"/>
                <w:szCs w:val="17"/>
              </w:rPr>
              <w:t>Ba</w:t>
            </w:r>
            <w:r>
              <w:rPr>
                <w:rFonts w:ascii="Arial" w:eastAsia="宋体" w:hAnsi="Arial" w:cs="Arial"/>
                <w:b/>
                <w:bCs/>
                <w:color w:val="000000"/>
                <w:sz w:val="17"/>
                <w:szCs w:val="17"/>
              </w:rPr>
              <w:t>lance at August 31, 2019</w:t>
            </w: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EDC"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EDD" w14:textId="77777777" w:rsidR="004421F6" w:rsidRDefault="00F15622">
            <w:pPr>
              <w:jc w:val="right"/>
              <w:textAlignment w:val="bottom"/>
            </w:pPr>
            <w:r>
              <w:rPr>
                <w:rFonts w:ascii="Arial" w:eastAsia="宋体" w:hAnsi="Arial" w:cs="Arial"/>
                <w:b/>
                <w:bCs/>
                <w:color w:val="000000"/>
                <w:sz w:val="17"/>
                <w:szCs w:val="17"/>
              </w:rPr>
              <w:t>(435)</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EDE"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EDF"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EE0" w14:textId="77777777" w:rsidR="004421F6" w:rsidRDefault="00F15622">
            <w:pPr>
              <w:jc w:val="right"/>
              <w:textAlignment w:val="bottom"/>
            </w:pPr>
            <w:r>
              <w:rPr>
                <w:rFonts w:ascii="Arial" w:eastAsia="宋体" w:hAnsi="Arial" w:cs="Arial"/>
                <w:b/>
                <w:bCs/>
                <w:color w:val="000000"/>
                <w:sz w:val="17"/>
                <w:szCs w:val="17"/>
              </w:rPr>
              <w:t>556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EE1"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EE2"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EE3" w14:textId="77777777" w:rsidR="004421F6" w:rsidRDefault="00F15622">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EE4"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EE5"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EE6" w14:textId="77777777" w:rsidR="004421F6" w:rsidRDefault="00F15622">
            <w:pPr>
              <w:jc w:val="right"/>
              <w:textAlignment w:val="bottom"/>
            </w:pPr>
            <w:r>
              <w:rPr>
                <w:rFonts w:ascii="Arial" w:eastAsia="宋体" w:hAnsi="Arial" w:cs="Arial"/>
                <w:b/>
                <w:bCs/>
                <w:color w:val="000000"/>
                <w:sz w:val="17"/>
                <w:szCs w:val="17"/>
              </w:rPr>
              <w:t>(56)</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EE7"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EE8"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EE9" w14:textId="77777777" w:rsidR="004421F6" w:rsidRDefault="00F15622">
            <w:pPr>
              <w:jc w:val="right"/>
              <w:textAlignment w:val="bottom"/>
            </w:pPr>
            <w:r>
              <w:rPr>
                <w:rFonts w:ascii="Arial" w:eastAsia="宋体" w:hAnsi="Arial" w:cs="Arial"/>
                <w:b/>
                <w:bCs/>
                <w:color w:val="000000"/>
                <w:sz w:val="17"/>
                <w:szCs w:val="17"/>
              </w:rPr>
              <w:t>180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EEA" w14:textId="77777777" w:rsidR="004421F6" w:rsidRDefault="004421F6">
            <w:pPr>
              <w:jc w:val="right"/>
              <w:rPr>
                <w:rFonts w:ascii="宋体"/>
              </w:rPr>
            </w:pPr>
          </w:p>
        </w:tc>
      </w:tr>
    </w:tbl>
    <w:p w14:paraId="1D025EEC" w14:textId="77777777" w:rsidR="004421F6" w:rsidRDefault="00F15622">
      <w:pPr>
        <w:spacing w:before="60" w:after="60"/>
        <w:ind w:hanging="360"/>
      </w:pPr>
      <w:r>
        <w:rPr>
          <w:rFonts w:ascii="Arial" w:eastAsia="宋体" w:hAnsi="Arial" w:cs="Arial"/>
          <w:i/>
          <w:iCs/>
          <w:color w:val="000000"/>
          <w:sz w:val="14"/>
          <w:szCs w:val="14"/>
        </w:rPr>
        <w:t>(1)The accumulated foreign currency translation adjustment and net investment hedge gains/losses related to an investment in a foreign subsidiary are reclassified to Net income upon sale or upon c</w:t>
      </w:r>
      <w:r>
        <w:rPr>
          <w:rFonts w:ascii="Arial" w:eastAsia="宋体" w:hAnsi="Arial" w:cs="Arial"/>
          <w:i/>
          <w:iCs/>
          <w:color w:val="000000"/>
          <w:sz w:val="14"/>
          <w:szCs w:val="14"/>
        </w:rPr>
        <w:t>omplete or substantially complete liquidation of the respective entity.</w:t>
      </w:r>
    </w:p>
    <w:p w14:paraId="1D025EED" w14:textId="77777777" w:rsidR="004421F6" w:rsidRDefault="00F15622">
      <w:pPr>
        <w:spacing w:before="60" w:after="60"/>
        <w:ind w:hanging="360"/>
      </w:pPr>
      <w:r>
        <w:rPr>
          <w:rFonts w:ascii="Arial" w:eastAsia="宋体" w:hAnsi="Arial" w:cs="Arial"/>
          <w:i/>
          <w:iCs/>
          <w:color w:val="000000"/>
          <w:sz w:val="14"/>
          <w:szCs w:val="14"/>
        </w:rPr>
        <w:t>(2)Net of tax benefit (expense) of $0 million, $0 million, $0 million, $0 million and $0 million, respectively.</w:t>
      </w:r>
    </w:p>
    <w:p w14:paraId="1D025EEE" w14:textId="77777777" w:rsidR="004421F6" w:rsidRDefault="00F15622">
      <w:pPr>
        <w:spacing w:before="60" w:after="60"/>
        <w:ind w:hanging="360"/>
      </w:pPr>
      <w:r>
        <w:rPr>
          <w:rFonts w:ascii="Arial" w:eastAsia="宋体" w:hAnsi="Arial" w:cs="Arial"/>
          <w:i/>
          <w:iCs/>
          <w:color w:val="000000"/>
          <w:sz w:val="14"/>
          <w:szCs w:val="14"/>
        </w:rPr>
        <w:t xml:space="preserve">(3)Net of tax (benefit) expense of $0 million, $0 million, $0 </w:t>
      </w:r>
      <w:r>
        <w:rPr>
          <w:rFonts w:ascii="Arial" w:eastAsia="宋体" w:hAnsi="Arial" w:cs="Arial"/>
          <w:i/>
          <w:iCs/>
          <w:color w:val="000000"/>
          <w:sz w:val="14"/>
          <w:szCs w:val="14"/>
        </w:rPr>
        <w:t>million, $0 million and $0 million, respectively.</w:t>
      </w:r>
    </w:p>
    <w:p w14:paraId="1D025EEF" w14:textId="77777777" w:rsidR="004421F6" w:rsidRDefault="00F15622">
      <w:pPr>
        <w:spacing w:before="120" w:after="120"/>
        <w:jc w:val="right"/>
      </w:pPr>
      <w:r>
        <w:rPr>
          <w:rFonts w:ascii="Arial" w:eastAsia="宋体" w:hAnsi="Arial" w:cs="Arial"/>
          <w:color w:val="E87722"/>
          <w:sz w:val="17"/>
          <w:szCs w:val="17"/>
        </w:rPr>
        <w:t>15</w:t>
      </w:r>
    </w:p>
    <w:p w14:paraId="1D025EF0" w14:textId="77777777" w:rsidR="004421F6" w:rsidRDefault="00F15622">
      <w:r>
        <w:pict w14:anchorId="1D02728A">
          <v:rect id="_x0000_i1041" style="width:415.3pt;height:1.5pt" o:hralign="center" o:hrstd="t" o:hr="t" fillcolor="#a0a0a0" stroked="f"/>
        </w:pict>
      </w:r>
    </w:p>
    <w:p w14:paraId="1D025EF1" w14:textId="77777777" w:rsidR="004421F6" w:rsidRDefault="004421F6"/>
    <w:p w14:paraId="1D025EF2" w14:textId="77777777" w:rsidR="004421F6" w:rsidRDefault="00F15622">
      <w:hyperlink r:id="rId86" w:anchor="i3e524f2e23844e81ba9d33a05ac3917c_7" w:history="1">
        <w:r>
          <w:rPr>
            <w:rStyle w:val="a5"/>
            <w:rFonts w:ascii="sans-serif" w:eastAsia="sans-serif" w:hAnsi="sans-serif" w:cs="sans-serif"/>
            <w:sz w:val="17"/>
            <w:szCs w:val="17"/>
          </w:rPr>
          <w:t>Table of Contents</w:t>
        </w:r>
      </w:hyperlink>
    </w:p>
    <w:p w14:paraId="1D025EF3" w14:textId="77777777" w:rsidR="004421F6" w:rsidRDefault="004421F6"/>
    <w:p w14:paraId="1D025EF4" w14:textId="77777777" w:rsidR="004421F6" w:rsidRDefault="00F15622">
      <w:pPr>
        <w:spacing w:before="180"/>
      </w:pPr>
      <w:r>
        <w:rPr>
          <w:rFonts w:ascii="Arial" w:eastAsia="宋体" w:hAnsi="Arial" w:cs="Arial"/>
          <w:color w:val="000000"/>
          <w:sz w:val="17"/>
          <w:szCs w:val="17"/>
        </w:rPr>
        <w:t>The following table summarize</w:t>
      </w:r>
      <w:r>
        <w:rPr>
          <w:rFonts w:ascii="Arial" w:eastAsia="宋体" w:hAnsi="Arial" w:cs="Arial"/>
          <w:color w:val="000000"/>
          <w:sz w:val="17"/>
          <w:szCs w:val="17"/>
        </w:rPr>
        <w:t>s the reclassifications from Accumulated other comprehensive income (loss) to the Unaudited Condensed 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40"/>
        <w:gridCol w:w="3188"/>
        <w:gridCol w:w="39"/>
        <w:gridCol w:w="131"/>
        <w:gridCol w:w="800"/>
        <w:gridCol w:w="42"/>
        <w:gridCol w:w="131"/>
        <w:gridCol w:w="800"/>
        <w:gridCol w:w="41"/>
        <w:gridCol w:w="37"/>
        <w:gridCol w:w="1668"/>
        <w:gridCol w:w="36"/>
        <w:gridCol w:w="425"/>
        <w:gridCol w:w="425"/>
        <w:gridCol w:w="425"/>
        <w:gridCol w:w="36"/>
        <w:gridCol w:w="36"/>
        <w:gridCol w:w="36"/>
      </w:tblGrid>
      <w:tr w:rsidR="004421F6" w14:paraId="1D025F01" w14:textId="77777777">
        <w:trPr>
          <w:gridAfter w:val="6"/>
        </w:trPr>
        <w:tc>
          <w:tcPr>
            <w:tcW w:w="50" w:type="pct"/>
            <w:shd w:val="clear" w:color="auto" w:fill="auto"/>
          </w:tcPr>
          <w:p w14:paraId="1D025EF5" w14:textId="77777777" w:rsidR="004421F6" w:rsidRDefault="004421F6">
            <w:pPr>
              <w:rPr>
                <w:rFonts w:ascii="宋体"/>
              </w:rPr>
            </w:pPr>
          </w:p>
        </w:tc>
        <w:tc>
          <w:tcPr>
            <w:tcW w:w="2332" w:type="pct"/>
            <w:shd w:val="clear" w:color="auto" w:fill="auto"/>
          </w:tcPr>
          <w:p w14:paraId="1D025EF6" w14:textId="77777777" w:rsidR="004421F6" w:rsidRDefault="004421F6">
            <w:pPr>
              <w:rPr>
                <w:rFonts w:ascii="宋体"/>
              </w:rPr>
            </w:pPr>
          </w:p>
        </w:tc>
        <w:tc>
          <w:tcPr>
            <w:tcW w:w="5" w:type="pct"/>
            <w:shd w:val="clear" w:color="auto" w:fill="auto"/>
          </w:tcPr>
          <w:p w14:paraId="1D025EF7" w14:textId="77777777" w:rsidR="004421F6" w:rsidRDefault="004421F6">
            <w:pPr>
              <w:rPr>
                <w:rFonts w:ascii="宋体"/>
              </w:rPr>
            </w:pPr>
          </w:p>
        </w:tc>
        <w:tc>
          <w:tcPr>
            <w:tcW w:w="50" w:type="pct"/>
            <w:shd w:val="clear" w:color="auto" w:fill="auto"/>
          </w:tcPr>
          <w:p w14:paraId="1D025EF8" w14:textId="77777777" w:rsidR="004421F6" w:rsidRDefault="004421F6">
            <w:pPr>
              <w:rPr>
                <w:rFonts w:ascii="宋体"/>
              </w:rPr>
            </w:pPr>
          </w:p>
        </w:tc>
        <w:tc>
          <w:tcPr>
            <w:tcW w:w="605" w:type="pct"/>
            <w:shd w:val="clear" w:color="auto" w:fill="auto"/>
          </w:tcPr>
          <w:p w14:paraId="1D025EF9" w14:textId="77777777" w:rsidR="004421F6" w:rsidRDefault="004421F6">
            <w:pPr>
              <w:rPr>
                <w:rFonts w:ascii="宋体"/>
              </w:rPr>
            </w:pPr>
          </w:p>
        </w:tc>
        <w:tc>
          <w:tcPr>
            <w:tcW w:w="5" w:type="pct"/>
            <w:shd w:val="clear" w:color="auto" w:fill="auto"/>
          </w:tcPr>
          <w:p w14:paraId="1D025EFA" w14:textId="77777777" w:rsidR="004421F6" w:rsidRDefault="004421F6">
            <w:pPr>
              <w:rPr>
                <w:rFonts w:ascii="宋体"/>
              </w:rPr>
            </w:pPr>
          </w:p>
        </w:tc>
        <w:tc>
          <w:tcPr>
            <w:tcW w:w="50" w:type="pct"/>
            <w:shd w:val="clear" w:color="auto" w:fill="auto"/>
          </w:tcPr>
          <w:p w14:paraId="1D025EFB" w14:textId="77777777" w:rsidR="004421F6" w:rsidRDefault="004421F6">
            <w:pPr>
              <w:rPr>
                <w:rFonts w:ascii="宋体"/>
              </w:rPr>
            </w:pPr>
          </w:p>
        </w:tc>
        <w:tc>
          <w:tcPr>
            <w:tcW w:w="605" w:type="pct"/>
            <w:shd w:val="clear" w:color="auto" w:fill="auto"/>
          </w:tcPr>
          <w:p w14:paraId="1D025EFC" w14:textId="77777777" w:rsidR="004421F6" w:rsidRDefault="004421F6">
            <w:pPr>
              <w:rPr>
                <w:rFonts w:ascii="宋体"/>
              </w:rPr>
            </w:pPr>
          </w:p>
        </w:tc>
        <w:tc>
          <w:tcPr>
            <w:tcW w:w="5" w:type="pct"/>
            <w:shd w:val="clear" w:color="auto" w:fill="auto"/>
          </w:tcPr>
          <w:p w14:paraId="1D025EFD" w14:textId="77777777" w:rsidR="004421F6" w:rsidRDefault="004421F6">
            <w:pPr>
              <w:rPr>
                <w:rFonts w:ascii="宋体"/>
              </w:rPr>
            </w:pPr>
          </w:p>
        </w:tc>
        <w:tc>
          <w:tcPr>
            <w:tcW w:w="50" w:type="pct"/>
            <w:shd w:val="clear" w:color="auto" w:fill="auto"/>
          </w:tcPr>
          <w:p w14:paraId="1D025EFE" w14:textId="77777777" w:rsidR="004421F6" w:rsidRDefault="004421F6">
            <w:pPr>
              <w:rPr>
                <w:rFonts w:ascii="宋体"/>
              </w:rPr>
            </w:pPr>
          </w:p>
        </w:tc>
        <w:tc>
          <w:tcPr>
            <w:tcW w:w="1236" w:type="pct"/>
            <w:shd w:val="clear" w:color="auto" w:fill="auto"/>
          </w:tcPr>
          <w:p w14:paraId="1D025EFF" w14:textId="77777777" w:rsidR="004421F6" w:rsidRDefault="004421F6">
            <w:pPr>
              <w:rPr>
                <w:rFonts w:ascii="宋体"/>
              </w:rPr>
            </w:pPr>
          </w:p>
        </w:tc>
        <w:tc>
          <w:tcPr>
            <w:tcW w:w="5" w:type="pct"/>
            <w:shd w:val="clear" w:color="auto" w:fill="auto"/>
          </w:tcPr>
          <w:p w14:paraId="1D025F00" w14:textId="77777777" w:rsidR="004421F6" w:rsidRDefault="004421F6">
            <w:pPr>
              <w:rPr>
                <w:rFonts w:ascii="宋体"/>
              </w:rPr>
            </w:pPr>
          </w:p>
        </w:tc>
      </w:tr>
      <w:tr w:rsidR="004421F6" w14:paraId="1D025F06" w14:textId="77777777">
        <w:trPr>
          <w:gridAfter w:val="3"/>
        </w:trPr>
        <w:tc>
          <w:tcPr>
            <w:tcW w:w="0" w:type="auto"/>
            <w:gridSpan w:val="3"/>
            <w:shd w:val="clear" w:color="auto" w:fill="auto"/>
            <w:tcMar>
              <w:left w:w="20" w:type="dxa"/>
              <w:right w:w="20" w:type="dxa"/>
            </w:tcMar>
            <w:vAlign w:val="bottom"/>
          </w:tcPr>
          <w:p w14:paraId="1D025F02" w14:textId="77777777" w:rsidR="004421F6" w:rsidRDefault="004421F6">
            <w:pPr>
              <w:rPr>
                <w:rFonts w:ascii="宋体"/>
              </w:rPr>
            </w:pP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1D025F03" w14:textId="77777777" w:rsidR="004421F6" w:rsidRDefault="00F15622">
            <w:pPr>
              <w:jc w:val="center"/>
              <w:textAlignment w:val="bottom"/>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r>
            <w:r>
              <w:rPr>
                <w:rFonts w:ascii="sans-serif" w:eastAsia="sans-serif" w:hAnsi="sans-serif" w:cs="sans-serif"/>
                <w:b/>
                <w:bCs/>
                <w:color w:val="000000"/>
                <w:sz w:val="17"/>
                <w:szCs w:val="17"/>
              </w:rPr>
              <w:t xml:space="preserve">OTHER COMPREHENSIVE INCOME </w:t>
            </w:r>
            <w:r>
              <w:rPr>
                <w:rFonts w:ascii="sans-serif" w:eastAsia="sans-serif" w:hAnsi="sans-serif" w:cs="sans-serif"/>
                <w:b/>
                <w:bCs/>
                <w:color w:val="000000"/>
                <w:sz w:val="17"/>
                <w:szCs w:val="17"/>
              </w:rPr>
              <w:br/>
              <w:t>(LOSS) INTO INCOME</w:t>
            </w:r>
          </w:p>
        </w:tc>
        <w:tc>
          <w:tcPr>
            <w:tcW w:w="0" w:type="auto"/>
            <w:gridSpan w:val="3"/>
            <w:shd w:val="clear" w:color="auto" w:fill="auto"/>
          </w:tcPr>
          <w:p w14:paraId="1D025F04" w14:textId="77777777" w:rsidR="004421F6" w:rsidRDefault="004421F6">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1D025F05" w14:textId="77777777" w:rsidR="004421F6" w:rsidRDefault="00F15622">
            <w:pPr>
              <w:jc w:val="right"/>
              <w:textAlignment w:val="bottom"/>
            </w:pPr>
            <w:r>
              <w:rPr>
                <w:rFonts w:ascii="sans-serif" w:eastAsia="sans-serif" w:hAnsi="sans-serif" w:cs="sans-serif"/>
                <w:b/>
                <w:bCs/>
                <w:color w:val="000000"/>
                <w:sz w:val="17"/>
                <w:szCs w:val="17"/>
              </w:rPr>
              <w:t>LOCATION OF GAIN (LOSS)</w:t>
            </w:r>
            <w:r>
              <w:rPr>
                <w:rFonts w:ascii="sans-serif" w:eastAsia="sans-serif" w:hAnsi="sans-serif" w:cs="sans-serif"/>
                <w:b/>
                <w:bCs/>
                <w:color w:val="000000"/>
                <w:sz w:val="17"/>
                <w:szCs w:val="17"/>
              </w:rPr>
              <w:br/>
              <w:t>RECLASSIFIED FROM ACCUMULATED</w:t>
            </w:r>
            <w:r>
              <w:rPr>
                <w:rFonts w:ascii="sans-serif" w:eastAsia="sans-serif" w:hAnsi="sans-serif" w:cs="sans-serif"/>
                <w:b/>
                <w:bCs/>
                <w:color w:val="000000"/>
                <w:sz w:val="17"/>
                <w:szCs w:val="17"/>
              </w:rPr>
              <w:br/>
              <w:t>OTHER COMPREHENSIVE INCOME</w:t>
            </w:r>
            <w:r>
              <w:rPr>
                <w:rFonts w:ascii="sans-serif" w:eastAsia="sans-serif" w:hAnsi="sans-serif" w:cs="sans-serif"/>
                <w:b/>
                <w:bCs/>
                <w:color w:val="000000"/>
                <w:sz w:val="17"/>
                <w:szCs w:val="17"/>
              </w:rPr>
              <w:br/>
              <w:t>(LOSS) INTO INCOME</w:t>
            </w:r>
          </w:p>
        </w:tc>
      </w:tr>
      <w:tr w:rsidR="004421F6" w14:paraId="1D025F0C" w14:textId="77777777">
        <w:tc>
          <w:tcPr>
            <w:tcW w:w="0" w:type="auto"/>
            <w:gridSpan w:val="3"/>
            <w:shd w:val="clear" w:color="auto" w:fill="auto"/>
            <w:tcMar>
              <w:left w:w="20" w:type="dxa"/>
              <w:right w:w="20" w:type="dxa"/>
            </w:tcMar>
            <w:vAlign w:val="bottom"/>
          </w:tcPr>
          <w:p w14:paraId="1D025F07" w14:textId="77777777" w:rsidR="004421F6" w:rsidRDefault="004421F6">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D025F08"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5F09" w14:textId="77777777" w:rsidR="004421F6" w:rsidRDefault="004421F6">
            <w:pPr>
              <w:rPr>
                <w:rFonts w:ascii="宋体"/>
                <w:vanish/>
              </w:rPr>
            </w:pPr>
          </w:p>
        </w:tc>
        <w:tc>
          <w:tcPr>
            <w:tcW w:w="0" w:type="auto"/>
            <w:gridSpan w:val="3"/>
            <w:vMerge/>
            <w:shd w:val="clear" w:color="auto" w:fill="auto"/>
            <w:tcMar>
              <w:top w:w="40" w:type="dxa"/>
              <w:left w:w="20" w:type="dxa"/>
              <w:bottom w:w="40" w:type="dxa"/>
              <w:right w:w="20" w:type="dxa"/>
            </w:tcMar>
            <w:vAlign w:val="bottom"/>
          </w:tcPr>
          <w:p w14:paraId="1D025F0A" w14:textId="77777777" w:rsidR="004421F6" w:rsidRDefault="004421F6">
            <w:pPr>
              <w:jc w:val="right"/>
              <w:rPr>
                <w:rFonts w:ascii="宋体"/>
              </w:rPr>
            </w:pPr>
          </w:p>
        </w:tc>
        <w:tc>
          <w:tcPr>
            <w:tcW w:w="0" w:type="auto"/>
            <w:gridSpan w:val="3"/>
            <w:shd w:val="clear" w:color="auto" w:fill="auto"/>
          </w:tcPr>
          <w:p w14:paraId="1D025F0B" w14:textId="77777777" w:rsidR="004421F6" w:rsidRDefault="004421F6">
            <w:pPr>
              <w:rPr>
                <w:rFonts w:ascii="宋体"/>
                <w:vanish/>
              </w:rPr>
            </w:pPr>
          </w:p>
        </w:tc>
      </w:tr>
      <w:tr w:rsidR="004421F6" w14:paraId="1D025F15" w14:textId="77777777">
        <w:tc>
          <w:tcPr>
            <w:tcW w:w="0" w:type="auto"/>
            <w:gridSpan w:val="3"/>
            <w:shd w:val="clear" w:color="auto" w:fill="auto"/>
            <w:tcMar>
              <w:top w:w="40" w:type="dxa"/>
              <w:left w:w="20" w:type="dxa"/>
              <w:bottom w:w="40" w:type="dxa"/>
              <w:right w:w="20" w:type="dxa"/>
            </w:tcMar>
            <w:vAlign w:val="bottom"/>
          </w:tcPr>
          <w:p w14:paraId="1D025F0D"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F0E"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F0F"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shd w:val="clear" w:color="auto" w:fill="auto"/>
          </w:tcPr>
          <w:p w14:paraId="1D025F10" w14:textId="77777777" w:rsidR="004421F6" w:rsidRDefault="004421F6">
            <w:pPr>
              <w:rPr>
                <w:rFonts w:ascii="宋体"/>
                <w:vanish/>
              </w:rPr>
            </w:pPr>
          </w:p>
        </w:tc>
        <w:tc>
          <w:tcPr>
            <w:tcW w:w="0" w:type="auto"/>
            <w:gridSpan w:val="3"/>
            <w:vMerge/>
            <w:shd w:val="clear" w:color="auto" w:fill="auto"/>
            <w:tcMar>
              <w:top w:w="40" w:type="dxa"/>
              <w:left w:w="20" w:type="dxa"/>
              <w:bottom w:w="40" w:type="dxa"/>
              <w:right w:w="20" w:type="dxa"/>
            </w:tcMar>
            <w:vAlign w:val="bottom"/>
          </w:tcPr>
          <w:p w14:paraId="1D025F11" w14:textId="77777777" w:rsidR="004421F6" w:rsidRDefault="004421F6">
            <w:pPr>
              <w:jc w:val="right"/>
              <w:rPr>
                <w:rFonts w:ascii="宋体"/>
              </w:rPr>
            </w:pPr>
          </w:p>
        </w:tc>
        <w:tc>
          <w:tcPr>
            <w:tcW w:w="0" w:type="auto"/>
            <w:shd w:val="clear" w:color="auto" w:fill="auto"/>
          </w:tcPr>
          <w:p w14:paraId="1D025F12" w14:textId="77777777" w:rsidR="004421F6" w:rsidRDefault="004421F6">
            <w:pPr>
              <w:rPr>
                <w:rFonts w:ascii="宋体"/>
              </w:rPr>
            </w:pPr>
          </w:p>
        </w:tc>
        <w:tc>
          <w:tcPr>
            <w:tcW w:w="0" w:type="auto"/>
            <w:shd w:val="clear" w:color="auto" w:fill="auto"/>
          </w:tcPr>
          <w:p w14:paraId="1D025F13" w14:textId="77777777" w:rsidR="004421F6" w:rsidRDefault="004421F6">
            <w:pPr>
              <w:rPr>
                <w:rFonts w:ascii="宋体"/>
              </w:rPr>
            </w:pPr>
          </w:p>
        </w:tc>
        <w:tc>
          <w:tcPr>
            <w:tcW w:w="0" w:type="auto"/>
            <w:shd w:val="clear" w:color="auto" w:fill="auto"/>
          </w:tcPr>
          <w:p w14:paraId="1D025F14" w14:textId="77777777" w:rsidR="004421F6" w:rsidRDefault="004421F6">
            <w:pPr>
              <w:rPr>
                <w:rFonts w:ascii="宋体"/>
              </w:rPr>
            </w:pPr>
          </w:p>
        </w:tc>
      </w:tr>
      <w:tr w:rsidR="004421F6" w14:paraId="1D025F20" w14:textId="77777777">
        <w:trPr>
          <w:hidden/>
        </w:trPr>
        <w:tc>
          <w:tcPr>
            <w:tcW w:w="0" w:type="auto"/>
            <w:gridSpan w:val="3"/>
            <w:shd w:val="clear" w:color="auto" w:fill="auto"/>
          </w:tcPr>
          <w:p w14:paraId="1D025F16" w14:textId="77777777" w:rsidR="004421F6" w:rsidRDefault="004421F6">
            <w:pPr>
              <w:rPr>
                <w:rFonts w:ascii="宋体"/>
                <w:vanish/>
              </w:rPr>
            </w:pPr>
          </w:p>
        </w:tc>
        <w:tc>
          <w:tcPr>
            <w:tcW w:w="0" w:type="auto"/>
            <w:gridSpan w:val="3"/>
            <w:shd w:val="clear" w:color="auto" w:fill="auto"/>
          </w:tcPr>
          <w:p w14:paraId="1D025F17" w14:textId="77777777" w:rsidR="004421F6" w:rsidRDefault="004421F6">
            <w:pPr>
              <w:rPr>
                <w:rFonts w:ascii="宋体"/>
                <w:vanish/>
              </w:rPr>
            </w:pPr>
          </w:p>
        </w:tc>
        <w:tc>
          <w:tcPr>
            <w:tcW w:w="0" w:type="auto"/>
            <w:gridSpan w:val="3"/>
            <w:shd w:val="clear" w:color="auto" w:fill="auto"/>
          </w:tcPr>
          <w:p w14:paraId="1D025F18" w14:textId="77777777" w:rsidR="004421F6" w:rsidRDefault="004421F6">
            <w:pPr>
              <w:rPr>
                <w:rFonts w:ascii="宋体"/>
                <w:vanish/>
              </w:rPr>
            </w:pPr>
          </w:p>
        </w:tc>
        <w:tc>
          <w:tcPr>
            <w:tcW w:w="0" w:type="auto"/>
            <w:gridSpan w:val="3"/>
            <w:shd w:val="clear" w:color="auto" w:fill="auto"/>
          </w:tcPr>
          <w:p w14:paraId="1D025F19" w14:textId="77777777" w:rsidR="004421F6" w:rsidRDefault="004421F6">
            <w:pPr>
              <w:rPr>
                <w:rFonts w:ascii="宋体"/>
                <w:vanish/>
              </w:rPr>
            </w:pPr>
          </w:p>
        </w:tc>
        <w:tc>
          <w:tcPr>
            <w:tcW w:w="0" w:type="auto"/>
            <w:shd w:val="clear" w:color="auto" w:fill="auto"/>
          </w:tcPr>
          <w:p w14:paraId="1D025F1A" w14:textId="77777777" w:rsidR="004421F6" w:rsidRDefault="004421F6">
            <w:pPr>
              <w:rPr>
                <w:rFonts w:ascii="宋体"/>
              </w:rPr>
            </w:pPr>
          </w:p>
        </w:tc>
        <w:tc>
          <w:tcPr>
            <w:tcW w:w="0" w:type="auto"/>
            <w:shd w:val="clear" w:color="auto" w:fill="auto"/>
          </w:tcPr>
          <w:p w14:paraId="1D025F1B" w14:textId="77777777" w:rsidR="004421F6" w:rsidRDefault="004421F6">
            <w:pPr>
              <w:rPr>
                <w:rFonts w:ascii="宋体"/>
              </w:rPr>
            </w:pPr>
          </w:p>
        </w:tc>
        <w:tc>
          <w:tcPr>
            <w:tcW w:w="0" w:type="auto"/>
            <w:shd w:val="clear" w:color="auto" w:fill="auto"/>
          </w:tcPr>
          <w:p w14:paraId="1D025F1C" w14:textId="77777777" w:rsidR="004421F6" w:rsidRDefault="004421F6">
            <w:pPr>
              <w:rPr>
                <w:rFonts w:ascii="宋体"/>
              </w:rPr>
            </w:pPr>
          </w:p>
        </w:tc>
        <w:tc>
          <w:tcPr>
            <w:tcW w:w="0" w:type="auto"/>
            <w:shd w:val="clear" w:color="auto" w:fill="auto"/>
          </w:tcPr>
          <w:p w14:paraId="1D025F1D" w14:textId="77777777" w:rsidR="004421F6" w:rsidRDefault="004421F6">
            <w:pPr>
              <w:rPr>
                <w:rFonts w:ascii="宋体"/>
              </w:rPr>
            </w:pPr>
          </w:p>
        </w:tc>
        <w:tc>
          <w:tcPr>
            <w:tcW w:w="0" w:type="auto"/>
            <w:shd w:val="clear" w:color="auto" w:fill="auto"/>
          </w:tcPr>
          <w:p w14:paraId="1D025F1E" w14:textId="77777777" w:rsidR="004421F6" w:rsidRDefault="004421F6">
            <w:pPr>
              <w:rPr>
                <w:rFonts w:ascii="宋体"/>
              </w:rPr>
            </w:pPr>
          </w:p>
        </w:tc>
        <w:tc>
          <w:tcPr>
            <w:tcW w:w="0" w:type="auto"/>
            <w:shd w:val="clear" w:color="auto" w:fill="auto"/>
          </w:tcPr>
          <w:p w14:paraId="1D025F1F" w14:textId="77777777" w:rsidR="004421F6" w:rsidRDefault="004421F6">
            <w:pPr>
              <w:rPr>
                <w:rFonts w:ascii="宋体"/>
              </w:rPr>
            </w:pPr>
          </w:p>
        </w:tc>
      </w:tr>
      <w:tr w:rsidR="004421F6" w14:paraId="1D025F2B" w14:textId="77777777">
        <w:trPr>
          <w:hidden/>
        </w:trPr>
        <w:tc>
          <w:tcPr>
            <w:tcW w:w="0" w:type="auto"/>
            <w:gridSpan w:val="3"/>
            <w:shd w:val="clear" w:color="auto" w:fill="auto"/>
          </w:tcPr>
          <w:p w14:paraId="1D025F21" w14:textId="77777777" w:rsidR="004421F6" w:rsidRDefault="004421F6">
            <w:pPr>
              <w:rPr>
                <w:rFonts w:ascii="宋体"/>
                <w:vanish/>
              </w:rPr>
            </w:pPr>
          </w:p>
        </w:tc>
        <w:tc>
          <w:tcPr>
            <w:tcW w:w="0" w:type="auto"/>
            <w:gridSpan w:val="3"/>
            <w:shd w:val="clear" w:color="auto" w:fill="auto"/>
          </w:tcPr>
          <w:p w14:paraId="1D025F22" w14:textId="77777777" w:rsidR="004421F6" w:rsidRDefault="004421F6">
            <w:pPr>
              <w:rPr>
                <w:rFonts w:ascii="宋体"/>
                <w:vanish/>
              </w:rPr>
            </w:pPr>
          </w:p>
        </w:tc>
        <w:tc>
          <w:tcPr>
            <w:tcW w:w="0" w:type="auto"/>
            <w:gridSpan w:val="3"/>
            <w:shd w:val="clear" w:color="auto" w:fill="auto"/>
          </w:tcPr>
          <w:p w14:paraId="1D025F23" w14:textId="77777777" w:rsidR="004421F6" w:rsidRDefault="004421F6">
            <w:pPr>
              <w:rPr>
                <w:rFonts w:ascii="宋体"/>
                <w:vanish/>
              </w:rPr>
            </w:pPr>
          </w:p>
        </w:tc>
        <w:tc>
          <w:tcPr>
            <w:tcW w:w="0" w:type="auto"/>
            <w:gridSpan w:val="3"/>
            <w:shd w:val="clear" w:color="auto" w:fill="auto"/>
          </w:tcPr>
          <w:p w14:paraId="1D025F24" w14:textId="77777777" w:rsidR="004421F6" w:rsidRDefault="004421F6">
            <w:pPr>
              <w:rPr>
                <w:rFonts w:ascii="宋体"/>
                <w:vanish/>
              </w:rPr>
            </w:pPr>
          </w:p>
        </w:tc>
        <w:tc>
          <w:tcPr>
            <w:tcW w:w="0" w:type="auto"/>
            <w:shd w:val="clear" w:color="auto" w:fill="auto"/>
          </w:tcPr>
          <w:p w14:paraId="1D025F25" w14:textId="77777777" w:rsidR="004421F6" w:rsidRDefault="004421F6">
            <w:pPr>
              <w:rPr>
                <w:rFonts w:ascii="宋体"/>
              </w:rPr>
            </w:pPr>
          </w:p>
        </w:tc>
        <w:tc>
          <w:tcPr>
            <w:tcW w:w="0" w:type="auto"/>
            <w:shd w:val="clear" w:color="auto" w:fill="auto"/>
          </w:tcPr>
          <w:p w14:paraId="1D025F26" w14:textId="77777777" w:rsidR="004421F6" w:rsidRDefault="004421F6">
            <w:pPr>
              <w:rPr>
                <w:rFonts w:ascii="宋体"/>
              </w:rPr>
            </w:pPr>
          </w:p>
        </w:tc>
        <w:tc>
          <w:tcPr>
            <w:tcW w:w="0" w:type="auto"/>
            <w:shd w:val="clear" w:color="auto" w:fill="auto"/>
          </w:tcPr>
          <w:p w14:paraId="1D025F27" w14:textId="77777777" w:rsidR="004421F6" w:rsidRDefault="004421F6">
            <w:pPr>
              <w:rPr>
                <w:rFonts w:ascii="宋体"/>
              </w:rPr>
            </w:pPr>
          </w:p>
        </w:tc>
        <w:tc>
          <w:tcPr>
            <w:tcW w:w="0" w:type="auto"/>
            <w:shd w:val="clear" w:color="auto" w:fill="auto"/>
          </w:tcPr>
          <w:p w14:paraId="1D025F28" w14:textId="77777777" w:rsidR="004421F6" w:rsidRDefault="004421F6">
            <w:pPr>
              <w:rPr>
                <w:rFonts w:ascii="宋体"/>
              </w:rPr>
            </w:pPr>
          </w:p>
        </w:tc>
        <w:tc>
          <w:tcPr>
            <w:tcW w:w="0" w:type="auto"/>
            <w:shd w:val="clear" w:color="auto" w:fill="auto"/>
          </w:tcPr>
          <w:p w14:paraId="1D025F29" w14:textId="77777777" w:rsidR="004421F6" w:rsidRDefault="004421F6">
            <w:pPr>
              <w:rPr>
                <w:rFonts w:ascii="宋体"/>
              </w:rPr>
            </w:pPr>
          </w:p>
        </w:tc>
        <w:tc>
          <w:tcPr>
            <w:tcW w:w="0" w:type="auto"/>
            <w:shd w:val="clear" w:color="auto" w:fill="auto"/>
          </w:tcPr>
          <w:p w14:paraId="1D025F2A" w14:textId="77777777" w:rsidR="004421F6" w:rsidRDefault="004421F6">
            <w:pPr>
              <w:rPr>
                <w:rFonts w:ascii="宋体"/>
              </w:rPr>
            </w:pPr>
          </w:p>
        </w:tc>
      </w:tr>
      <w:tr w:rsidR="004421F6" w14:paraId="1D025F36" w14:textId="77777777">
        <w:trPr>
          <w:hidden/>
        </w:trPr>
        <w:tc>
          <w:tcPr>
            <w:tcW w:w="0" w:type="auto"/>
            <w:gridSpan w:val="3"/>
            <w:shd w:val="clear" w:color="auto" w:fill="auto"/>
          </w:tcPr>
          <w:p w14:paraId="1D025F2C" w14:textId="77777777" w:rsidR="004421F6" w:rsidRDefault="004421F6">
            <w:pPr>
              <w:rPr>
                <w:rFonts w:ascii="宋体"/>
                <w:vanish/>
              </w:rPr>
            </w:pPr>
          </w:p>
        </w:tc>
        <w:tc>
          <w:tcPr>
            <w:tcW w:w="0" w:type="auto"/>
            <w:gridSpan w:val="3"/>
            <w:shd w:val="clear" w:color="auto" w:fill="auto"/>
          </w:tcPr>
          <w:p w14:paraId="1D025F2D" w14:textId="77777777" w:rsidR="004421F6" w:rsidRDefault="004421F6">
            <w:pPr>
              <w:rPr>
                <w:rFonts w:ascii="宋体"/>
                <w:vanish/>
              </w:rPr>
            </w:pPr>
          </w:p>
        </w:tc>
        <w:tc>
          <w:tcPr>
            <w:tcW w:w="0" w:type="auto"/>
            <w:gridSpan w:val="3"/>
            <w:shd w:val="clear" w:color="auto" w:fill="auto"/>
          </w:tcPr>
          <w:p w14:paraId="1D025F2E" w14:textId="77777777" w:rsidR="004421F6" w:rsidRDefault="004421F6">
            <w:pPr>
              <w:rPr>
                <w:rFonts w:ascii="宋体"/>
                <w:vanish/>
              </w:rPr>
            </w:pPr>
          </w:p>
        </w:tc>
        <w:tc>
          <w:tcPr>
            <w:tcW w:w="0" w:type="auto"/>
            <w:gridSpan w:val="3"/>
            <w:shd w:val="clear" w:color="auto" w:fill="auto"/>
          </w:tcPr>
          <w:p w14:paraId="1D025F2F" w14:textId="77777777" w:rsidR="004421F6" w:rsidRDefault="004421F6">
            <w:pPr>
              <w:rPr>
                <w:rFonts w:ascii="宋体"/>
                <w:vanish/>
              </w:rPr>
            </w:pPr>
          </w:p>
        </w:tc>
        <w:tc>
          <w:tcPr>
            <w:tcW w:w="0" w:type="auto"/>
            <w:shd w:val="clear" w:color="auto" w:fill="auto"/>
          </w:tcPr>
          <w:p w14:paraId="1D025F30" w14:textId="77777777" w:rsidR="004421F6" w:rsidRDefault="004421F6">
            <w:pPr>
              <w:rPr>
                <w:rFonts w:ascii="宋体"/>
              </w:rPr>
            </w:pPr>
          </w:p>
        </w:tc>
        <w:tc>
          <w:tcPr>
            <w:tcW w:w="0" w:type="auto"/>
            <w:shd w:val="clear" w:color="auto" w:fill="auto"/>
          </w:tcPr>
          <w:p w14:paraId="1D025F31" w14:textId="77777777" w:rsidR="004421F6" w:rsidRDefault="004421F6">
            <w:pPr>
              <w:rPr>
                <w:rFonts w:ascii="宋体"/>
              </w:rPr>
            </w:pPr>
          </w:p>
        </w:tc>
        <w:tc>
          <w:tcPr>
            <w:tcW w:w="0" w:type="auto"/>
            <w:shd w:val="clear" w:color="auto" w:fill="auto"/>
          </w:tcPr>
          <w:p w14:paraId="1D025F32" w14:textId="77777777" w:rsidR="004421F6" w:rsidRDefault="004421F6">
            <w:pPr>
              <w:rPr>
                <w:rFonts w:ascii="宋体"/>
              </w:rPr>
            </w:pPr>
          </w:p>
        </w:tc>
        <w:tc>
          <w:tcPr>
            <w:tcW w:w="0" w:type="auto"/>
            <w:shd w:val="clear" w:color="auto" w:fill="auto"/>
          </w:tcPr>
          <w:p w14:paraId="1D025F33" w14:textId="77777777" w:rsidR="004421F6" w:rsidRDefault="004421F6">
            <w:pPr>
              <w:rPr>
                <w:rFonts w:ascii="宋体"/>
              </w:rPr>
            </w:pPr>
          </w:p>
        </w:tc>
        <w:tc>
          <w:tcPr>
            <w:tcW w:w="0" w:type="auto"/>
            <w:shd w:val="clear" w:color="auto" w:fill="auto"/>
          </w:tcPr>
          <w:p w14:paraId="1D025F34" w14:textId="77777777" w:rsidR="004421F6" w:rsidRDefault="004421F6">
            <w:pPr>
              <w:rPr>
                <w:rFonts w:ascii="宋体"/>
              </w:rPr>
            </w:pPr>
          </w:p>
        </w:tc>
        <w:tc>
          <w:tcPr>
            <w:tcW w:w="0" w:type="auto"/>
            <w:shd w:val="clear" w:color="auto" w:fill="auto"/>
          </w:tcPr>
          <w:p w14:paraId="1D025F35" w14:textId="77777777" w:rsidR="004421F6" w:rsidRDefault="004421F6">
            <w:pPr>
              <w:rPr>
                <w:rFonts w:ascii="宋体"/>
              </w:rPr>
            </w:pPr>
          </w:p>
        </w:tc>
      </w:tr>
      <w:tr w:rsidR="004421F6" w14:paraId="1D025F41" w14:textId="77777777">
        <w:trPr>
          <w:hidden/>
        </w:trPr>
        <w:tc>
          <w:tcPr>
            <w:tcW w:w="0" w:type="auto"/>
            <w:gridSpan w:val="3"/>
            <w:shd w:val="clear" w:color="auto" w:fill="auto"/>
          </w:tcPr>
          <w:p w14:paraId="1D025F37" w14:textId="77777777" w:rsidR="004421F6" w:rsidRDefault="004421F6">
            <w:pPr>
              <w:rPr>
                <w:rFonts w:ascii="宋体"/>
                <w:vanish/>
              </w:rPr>
            </w:pPr>
          </w:p>
        </w:tc>
        <w:tc>
          <w:tcPr>
            <w:tcW w:w="0" w:type="auto"/>
            <w:gridSpan w:val="3"/>
            <w:shd w:val="clear" w:color="auto" w:fill="auto"/>
          </w:tcPr>
          <w:p w14:paraId="1D025F38" w14:textId="77777777" w:rsidR="004421F6" w:rsidRDefault="004421F6">
            <w:pPr>
              <w:rPr>
                <w:rFonts w:ascii="宋体"/>
                <w:vanish/>
              </w:rPr>
            </w:pPr>
          </w:p>
        </w:tc>
        <w:tc>
          <w:tcPr>
            <w:tcW w:w="0" w:type="auto"/>
            <w:gridSpan w:val="3"/>
            <w:shd w:val="clear" w:color="auto" w:fill="auto"/>
          </w:tcPr>
          <w:p w14:paraId="1D025F39" w14:textId="77777777" w:rsidR="004421F6" w:rsidRDefault="004421F6">
            <w:pPr>
              <w:rPr>
                <w:rFonts w:ascii="宋体"/>
                <w:vanish/>
              </w:rPr>
            </w:pPr>
          </w:p>
        </w:tc>
        <w:tc>
          <w:tcPr>
            <w:tcW w:w="0" w:type="auto"/>
            <w:gridSpan w:val="3"/>
            <w:shd w:val="clear" w:color="auto" w:fill="auto"/>
          </w:tcPr>
          <w:p w14:paraId="1D025F3A" w14:textId="77777777" w:rsidR="004421F6" w:rsidRDefault="004421F6">
            <w:pPr>
              <w:rPr>
                <w:rFonts w:ascii="宋体"/>
                <w:vanish/>
              </w:rPr>
            </w:pPr>
          </w:p>
        </w:tc>
        <w:tc>
          <w:tcPr>
            <w:tcW w:w="0" w:type="auto"/>
            <w:shd w:val="clear" w:color="auto" w:fill="auto"/>
          </w:tcPr>
          <w:p w14:paraId="1D025F3B" w14:textId="77777777" w:rsidR="004421F6" w:rsidRDefault="004421F6">
            <w:pPr>
              <w:rPr>
                <w:rFonts w:ascii="宋体"/>
              </w:rPr>
            </w:pPr>
          </w:p>
        </w:tc>
        <w:tc>
          <w:tcPr>
            <w:tcW w:w="0" w:type="auto"/>
            <w:shd w:val="clear" w:color="auto" w:fill="auto"/>
          </w:tcPr>
          <w:p w14:paraId="1D025F3C" w14:textId="77777777" w:rsidR="004421F6" w:rsidRDefault="004421F6">
            <w:pPr>
              <w:rPr>
                <w:rFonts w:ascii="宋体"/>
              </w:rPr>
            </w:pPr>
          </w:p>
        </w:tc>
        <w:tc>
          <w:tcPr>
            <w:tcW w:w="0" w:type="auto"/>
            <w:shd w:val="clear" w:color="auto" w:fill="auto"/>
          </w:tcPr>
          <w:p w14:paraId="1D025F3D" w14:textId="77777777" w:rsidR="004421F6" w:rsidRDefault="004421F6">
            <w:pPr>
              <w:rPr>
                <w:rFonts w:ascii="宋体"/>
              </w:rPr>
            </w:pPr>
          </w:p>
        </w:tc>
        <w:tc>
          <w:tcPr>
            <w:tcW w:w="0" w:type="auto"/>
            <w:shd w:val="clear" w:color="auto" w:fill="auto"/>
          </w:tcPr>
          <w:p w14:paraId="1D025F3E" w14:textId="77777777" w:rsidR="004421F6" w:rsidRDefault="004421F6">
            <w:pPr>
              <w:rPr>
                <w:rFonts w:ascii="宋体"/>
              </w:rPr>
            </w:pPr>
          </w:p>
        </w:tc>
        <w:tc>
          <w:tcPr>
            <w:tcW w:w="0" w:type="auto"/>
            <w:shd w:val="clear" w:color="auto" w:fill="auto"/>
          </w:tcPr>
          <w:p w14:paraId="1D025F3F" w14:textId="77777777" w:rsidR="004421F6" w:rsidRDefault="004421F6">
            <w:pPr>
              <w:rPr>
                <w:rFonts w:ascii="宋体"/>
              </w:rPr>
            </w:pPr>
          </w:p>
        </w:tc>
        <w:tc>
          <w:tcPr>
            <w:tcW w:w="0" w:type="auto"/>
            <w:shd w:val="clear" w:color="auto" w:fill="auto"/>
          </w:tcPr>
          <w:p w14:paraId="1D025F40" w14:textId="77777777" w:rsidR="004421F6" w:rsidRDefault="004421F6">
            <w:pPr>
              <w:rPr>
                <w:rFonts w:ascii="宋体"/>
              </w:rPr>
            </w:pPr>
          </w:p>
        </w:tc>
      </w:tr>
      <w:tr w:rsidR="004421F6" w14:paraId="1D025F4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F42" w14:textId="77777777" w:rsidR="004421F6" w:rsidRDefault="00F15622">
            <w:pPr>
              <w:textAlignment w:val="bottom"/>
            </w:pPr>
            <w:r>
              <w:rPr>
                <w:rFonts w:ascii="Arial" w:eastAsia="宋体" w:hAnsi="Arial" w:cs="Arial"/>
                <w:color w:val="000000"/>
                <w:sz w:val="17"/>
                <w:szCs w:val="17"/>
              </w:rPr>
              <w:t>Gains (losses) on cash flow hedges:</w:t>
            </w:r>
          </w:p>
        </w:tc>
        <w:tc>
          <w:tcPr>
            <w:tcW w:w="0" w:type="auto"/>
            <w:gridSpan w:val="3"/>
            <w:tcBorders>
              <w:top w:val="single" w:sz="8" w:space="0" w:color="E87722"/>
            </w:tcBorders>
            <w:shd w:val="clear" w:color="auto" w:fill="FFF1E7"/>
            <w:tcMar>
              <w:left w:w="20" w:type="dxa"/>
              <w:right w:w="20" w:type="dxa"/>
            </w:tcMar>
            <w:vAlign w:val="bottom"/>
          </w:tcPr>
          <w:p w14:paraId="1D025F43"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F44"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F45" w14:textId="77777777" w:rsidR="004421F6" w:rsidRDefault="004421F6">
            <w:pPr>
              <w:rPr>
                <w:rFonts w:ascii="宋体"/>
              </w:rPr>
            </w:pPr>
          </w:p>
        </w:tc>
        <w:tc>
          <w:tcPr>
            <w:tcW w:w="0" w:type="auto"/>
            <w:shd w:val="clear" w:color="auto" w:fill="auto"/>
          </w:tcPr>
          <w:p w14:paraId="1D025F46" w14:textId="77777777" w:rsidR="004421F6" w:rsidRDefault="004421F6">
            <w:pPr>
              <w:rPr>
                <w:rFonts w:ascii="宋体"/>
              </w:rPr>
            </w:pPr>
          </w:p>
        </w:tc>
        <w:tc>
          <w:tcPr>
            <w:tcW w:w="0" w:type="auto"/>
            <w:shd w:val="clear" w:color="auto" w:fill="auto"/>
          </w:tcPr>
          <w:p w14:paraId="1D025F47" w14:textId="77777777" w:rsidR="004421F6" w:rsidRDefault="004421F6">
            <w:pPr>
              <w:rPr>
                <w:rFonts w:ascii="宋体"/>
              </w:rPr>
            </w:pPr>
          </w:p>
        </w:tc>
        <w:tc>
          <w:tcPr>
            <w:tcW w:w="0" w:type="auto"/>
            <w:shd w:val="clear" w:color="auto" w:fill="auto"/>
          </w:tcPr>
          <w:p w14:paraId="1D025F48" w14:textId="77777777" w:rsidR="004421F6" w:rsidRDefault="004421F6">
            <w:pPr>
              <w:rPr>
                <w:rFonts w:ascii="宋体"/>
              </w:rPr>
            </w:pPr>
          </w:p>
        </w:tc>
        <w:tc>
          <w:tcPr>
            <w:tcW w:w="0" w:type="auto"/>
            <w:shd w:val="clear" w:color="auto" w:fill="auto"/>
          </w:tcPr>
          <w:p w14:paraId="1D025F49" w14:textId="77777777" w:rsidR="004421F6" w:rsidRDefault="004421F6">
            <w:pPr>
              <w:rPr>
                <w:rFonts w:ascii="宋体"/>
              </w:rPr>
            </w:pPr>
          </w:p>
        </w:tc>
        <w:tc>
          <w:tcPr>
            <w:tcW w:w="0" w:type="auto"/>
            <w:shd w:val="clear" w:color="auto" w:fill="auto"/>
          </w:tcPr>
          <w:p w14:paraId="1D025F4A" w14:textId="77777777" w:rsidR="004421F6" w:rsidRDefault="004421F6">
            <w:pPr>
              <w:rPr>
                <w:rFonts w:ascii="宋体"/>
              </w:rPr>
            </w:pPr>
          </w:p>
        </w:tc>
        <w:tc>
          <w:tcPr>
            <w:tcW w:w="0" w:type="auto"/>
            <w:shd w:val="clear" w:color="auto" w:fill="auto"/>
          </w:tcPr>
          <w:p w14:paraId="1D025F4B" w14:textId="77777777" w:rsidR="004421F6" w:rsidRDefault="004421F6">
            <w:pPr>
              <w:rPr>
                <w:rFonts w:ascii="宋体"/>
              </w:rPr>
            </w:pPr>
          </w:p>
        </w:tc>
      </w:tr>
      <w:tr w:rsidR="004421F6" w14:paraId="1D025F5B"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F4D" w14:textId="77777777" w:rsidR="004421F6" w:rsidRDefault="00F15622">
            <w:pPr>
              <w:textAlignment w:val="bottom"/>
            </w:pPr>
            <w:r>
              <w:rPr>
                <w:rFonts w:ascii="Arial" w:eastAsia="宋体" w:hAnsi="Arial" w:cs="Arial"/>
                <w:color w:val="000000"/>
                <w:sz w:val="17"/>
                <w:szCs w:val="17"/>
              </w:rPr>
              <w:t>Foreign exchange forwards and options</w:t>
            </w:r>
          </w:p>
        </w:tc>
        <w:tc>
          <w:tcPr>
            <w:tcW w:w="0" w:type="auto"/>
            <w:tcBorders>
              <w:top w:val="single" w:sz="8" w:space="0" w:color="808080"/>
            </w:tcBorders>
            <w:shd w:val="clear" w:color="auto" w:fill="FFF1E7"/>
            <w:tcMar>
              <w:top w:w="40" w:type="dxa"/>
              <w:left w:w="20" w:type="dxa"/>
              <w:bottom w:w="40" w:type="dxa"/>
            </w:tcMar>
            <w:vAlign w:val="bottom"/>
          </w:tcPr>
          <w:p w14:paraId="1D025F4E"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5F4F" w14:textId="77777777" w:rsidR="004421F6" w:rsidRDefault="00F15622">
            <w:pPr>
              <w:jc w:val="right"/>
              <w:textAlignment w:val="bottom"/>
            </w:pPr>
            <w:r>
              <w:rPr>
                <w:rFonts w:ascii="Arial" w:eastAsia="宋体" w:hAnsi="Arial" w:cs="Arial"/>
                <w:color w:val="000000"/>
                <w:sz w:val="17"/>
                <w:szCs w:val="17"/>
              </w:rPr>
              <w:t>14 </w:t>
            </w:r>
          </w:p>
        </w:tc>
        <w:tc>
          <w:tcPr>
            <w:tcW w:w="0" w:type="auto"/>
            <w:tcBorders>
              <w:top w:val="single" w:sz="8" w:space="0" w:color="808080"/>
            </w:tcBorders>
            <w:shd w:val="clear" w:color="auto" w:fill="FFF1E7"/>
            <w:tcMar>
              <w:top w:w="40" w:type="dxa"/>
              <w:bottom w:w="40" w:type="dxa"/>
              <w:right w:w="20" w:type="dxa"/>
            </w:tcMar>
            <w:vAlign w:val="bottom"/>
          </w:tcPr>
          <w:p w14:paraId="1D025F50"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5F51"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5F52" w14:textId="77777777" w:rsidR="004421F6" w:rsidRDefault="00F1562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bottom w:w="40" w:type="dxa"/>
              <w:right w:w="20" w:type="dxa"/>
            </w:tcMar>
            <w:vAlign w:val="bottom"/>
          </w:tcPr>
          <w:p w14:paraId="1D025F53" w14:textId="77777777" w:rsidR="004421F6" w:rsidRDefault="004421F6">
            <w:pPr>
              <w:jc w:val="right"/>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F54" w14:textId="77777777" w:rsidR="004421F6" w:rsidRDefault="00F15622">
            <w:pPr>
              <w:jc w:val="right"/>
              <w:textAlignment w:val="bottom"/>
            </w:pPr>
            <w:r>
              <w:rPr>
                <w:rFonts w:ascii="Arial" w:eastAsia="宋体" w:hAnsi="Arial" w:cs="Arial"/>
                <w:color w:val="000000"/>
                <w:sz w:val="17"/>
                <w:szCs w:val="17"/>
              </w:rPr>
              <w:t>Revenues</w:t>
            </w:r>
          </w:p>
        </w:tc>
        <w:tc>
          <w:tcPr>
            <w:tcW w:w="0" w:type="auto"/>
            <w:shd w:val="clear" w:color="auto" w:fill="auto"/>
          </w:tcPr>
          <w:p w14:paraId="1D025F55" w14:textId="77777777" w:rsidR="004421F6" w:rsidRDefault="004421F6">
            <w:pPr>
              <w:rPr>
                <w:rFonts w:ascii="宋体"/>
              </w:rPr>
            </w:pPr>
          </w:p>
        </w:tc>
        <w:tc>
          <w:tcPr>
            <w:tcW w:w="0" w:type="auto"/>
            <w:shd w:val="clear" w:color="auto" w:fill="auto"/>
          </w:tcPr>
          <w:p w14:paraId="1D025F56" w14:textId="77777777" w:rsidR="004421F6" w:rsidRDefault="004421F6">
            <w:pPr>
              <w:rPr>
                <w:rFonts w:ascii="宋体"/>
              </w:rPr>
            </w:pPr>
          </w:p>
        </w:tc>
        <w:tc>
          <w:tcPr>
            <w:tcW w:w="0" w:type="auto"/>
            <w:shd w:val="clear" w:color="auto" w:fill="auto"/>
          </w:tcPr>
          <w:p w14:paraId="1D025F57" w14:textId="77777777" w:rsidR="004421F6" w:rsidRDefault="004421F6">
            <w:pPr>
              <w:rPr>
                <w:rFonts w:ascii="宋体"/>
              </w:rPr>
            </w:pPr>
          </w:p>
        </w:tc>
        <w:tc>
          <w:tcPr>
            <w:tcW w:w="0" w:type="auto"/>
            <w:shd w:val="clear" w:color="auto" w:fill="auto"/>
          </w:tcPr>
          <w:p w14:paraId="1D025F58" w14:textId="77777777" w:rsidR="004421F6" w:rsidRDefault="004421F6">
            <w:pPr>
              <w:rPr>
                <w:rFonts w:ascii="宋体"/>
              </w:rPr>
            </w:pPr>
          </w:p>
        </w:tc>
        <w:tc>
          <w:tcPr>
            <w:tcW w:w="0" w:type="auto"/>
            <w:shd w:val="clear" w:color="auto" w:fill="auto"/>
          </w:tcPr>
          <w:p w14:paraId="1D025F59" w14:textId="77777777" w:rsidR="004421F6" w:rsidRDefault="004421F6">
            <w:pPr>
              <w:rPr>
                <w:rFonts w:ascii="宋体"/>
              </w:rPr>
            </w:pPr>
          </w:p>
        </w:tc>
        <w:tc>
          <w:tcPr>
            <w:tcW w:w="0" w:type="auto"/>
            <w:shd w:val="clear" w:color="auto" w:fill="auto"/>
          </w:tcPr>
          <w:p w14:paraId="1D025F5A" w14:textId="77777777" w:rsidR="004421F6" w:rsidRDefault="004421F6">
            <w:pPr>
              <w:rPr>
                <w:rFonts w:ascii="宋体"/>
              </w:rPr>
            </w:pPr>
          </w:p>
        </w:tc>
      </w:tr>
      <w:tr w:rsidR="004421F6" w14:paraId="1D025F68"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F5C" w14:textId="77777777" w:rsidR="004421F6" w:rsidRDefault="00F15622">
            <w:pPr>
              <w:textAlignment w:val="bottom"/>
            </w:pPr>
            <w:r>
              <w:rPr>
                <w:rFonts w:ascii="Arial" w:eastAsia="宋体" w:hAnsi="Arial" w:cs="Arial"/>
                <w:color w:val="000000"/>
                <w:sz w:val="17"/>
                <w:szCs w:val="17"/>
              </w:rPr>
              <w:t>Foreign exchange forwards 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F5D" w14:textId="77777777" w:rsidR="004421F6" w:rsidRDefault="00F15622">
            <w:pPr>
              <w:jc w:val="right"/>
              <w:textAlignment w:val="bottom"/>
            </w:pPr>
            <w:r>
              <w:rPr>
                <w:rFonts w:ascii="Arial" w:eastAsia="宋体" w:hAnsi="Arial" w:cs="Arial"/>
                <w:color w:val="000000"/>
                <w:sz w:val="17"/>
                <w:szCs w:val="17"/>
              </w:rPr>
              <w:t>114 </w:t>
            </w:r>
          </w:p>
        </w:tc>
        <w:tc>
          <w:tcPr>
            <w:tcW w:w="0" w:type="auto"/>
            <w:tcBorders>
              <w:top w:val="single" w:sz="8" w:space="0" w:color="808080"/>
            </w:tcBorders>
            <w:shd w:val="clear" w:color="auto" w:fill="FFF1E7"/>
            <w:tcMar>
              <w:top w:w="40" w:type="dxa"/>
              <w:bottom w:w="40" w:type="dxa"/>
              <w:right w:w="20" w:type="dxa"/>
            </w:tcMar>
            <w:vAlign w:val="bottom"/>
          </w:tcPr>
          <w:p w14:paraId="1D025F5E"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F5F" w14:textId="77777777" w:rsidR="004421F6" w:rsidRDefault="00F15622">
            <w:pPr>
              <w:jc w:val="right"/>
              <w:textAlignment w:val="bottom"/>
            </w:pPr>
            <w:r>
              <w:rPr>
                <w:rFonts w:ascii="Arial" w:eastAsia="宋体" w:hAnsi="Arial" w:cs="Arial"/>
                <w:color w:val="000000"/>
                <w:sz w:val="17"/>
                <w:szCs w:val="17"/>
              </w:rPr>
              <w:t>75 </w:t>
            </w:r>
          </w:p>
        </w:tc>
        <w:tc>
          <w:tcPr>
            <w:tcW w:w="0" w:type="auto"/>
            <w:tcBorders>
              <w:top w:val="single" w:sz="8" w:space="0" w:color="808080"/>
            </w:tcBorders>
            <w:shd w:val="clear" w:color="auto" w:fill="auto"/>
            <w:tcMar>
              <w:top w:w="40" w:type="dxa"/>
              <w:bottom w:w="40" w:type="dxa"/>
              <w:right w:w="20" w:type="dxa"/>
            </w:tcMar>
            <w:vAlign w:val="bottom"/>
          </w:tcPr>
          <w:p w14:paraId="1D025F60" w14:textId="77777777" w:rsidR="004421F6" w:rsidRDefault="004421F6">
            <w:pPr>
              <w:jc w:val="right"/>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F61" w14:textId="77777777" w:rsidR="004421F6" w:rsidRDefault="00F15622">
            <w:pPr>
              <w:jc w:val="right"/>
              <w:textAlignment w:val="bottom"/>
            </w:pPr>
            <w:r>
              <w:rPr>
                <w:rFonts w:ascii="Arial" w:eastAsia="宋体" w:hAnsi="Arial" w:cs="Arial"/>
                <w:color w:val="000000"/>
                <w:sz w:val="17"/>
                <w:szCs w:val="17"/>
              </w:rPr>
              <w:t>Cost of sales</w:t>
            </w:r>
          </w:p>
        </w:tc>
        <w:tc>
          <w:tcPr>
            <w:tcW w:w="0" w:type="auto"/>
            <w:shd w:val="clear" w:color="auto" w:fill="auto"/>
          </w:tcPr>
          <w:p w14:paraId="1D025F62" w14:textId="77777777" w:rsidR="004421F6" w:rsidRDefault="004421F6">
            <w:pPr>
              <w:rPr>
                <w:rFonts w:ascii="宋体"/>
              </w:rPr>
            </w:pPr>
          </w:p>
        </w:tc>
        <w:tc>
          <w:tcPr>
            <w:tcW w:w="0" w:type="auto"/>
            <w:shd w:val="clear" w:color="auto" w:fill="auto"/>
          </w:tcPr>
          <w:p w14:paraId="1D025F63" w14:textId="77777777" w:rsidR="004421F6" w:rsidRDefault="004421F6">
            <w:pPr>
              <w:rPr>
                <w:rFonts w:ascii="宋体"/>
              </w:rPr>
            </w:pPr>
          </w:p>
        </w:tc>
        <w:tc>
          <w:tcPr>
            <w:tcW w:w="0" w:type="auto"/>
            <w:shd w:val="clear" w:color="auto" w:fill="auto"/>
          </w:tcPr>
          <w:p w14:paraId="1D025F64" w14:textId="77777777" w:rsidR="004421F6" w:rsidRDefault="004421F6">
            <w:pPr>
              <w:rPr>
                <w:rFonts w:ascii="宋体"/>
              </w:rPr>
            </w:pPr>
          </w:p>
        </w:tc>
        <w:tc>
          <w:tcPr>
            <w:tcW w:w="0" w:type="auto"/>
            <w:shd w:val="clear" w:color="auto" w:fill="auto"/>
          </w:tcPr>
          <w:p w14:paraId="1D025F65" w14:textId="77777777" w:rsidR="004421F6" w:rsidRDefault="004421F6">
            <w:pPr>
              <w:rPr>
                <w:rFonts w:ascii="宋体"/>
              </w:rPr>
            </w:pPr>
          </w:p>
        </w:tc>
        <w:tc>
          <w:tcPr>
            <w:tcW w:w="0" w:type="auto"/>
            <w:shd w:val="clear" w:color="auto" w:fill="auto"/>
          </w:tcPr>
          <w:p w14:paraId="1D025F66" w14:textId="77777777" w:rsidR="004421F6" w:rsidRDefault="004421F6">
            <w:pPr>
              <w:rPr>
                <w:rFonts w:ascii="宋体"/>
              </w:rPr>
            </w:pPr>
          </w:p>
        </w:tc>
        <w:tc>
          <w:tcPr>
            <w:tcW w:w="0" w:type="auto"/>
            <w:shd w:val="clear" w:color="auto" w:fill="auto"/>
          </w:tcPr>
          <w:p w14:paraId="1D025F67" w14:textId="77777777" w:rsidR="004421F6" w:rsidRDefault="004421F6">
            <w:pPr>
              <w:rPr>
                <w:rFonts w:ascii="宋体"/>
              </w:rPr>
            </w:pPr>
          </w:p>
        </w:tc>
      </w:tr>
      <w:tr w:rsidR="004421F6" w14:paraId="1D025F75"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F69" w14:textId="77777777" w:rsidR="004421F6" w:rsidRDefault="00F15622">
            <w:pPr>
              <w:textAlignment w:val="bottom"/>
            </w:pPr>
            <w:r>
              <w:rPr>
                <w:rFonts w:ascii="Arial" w:eastAsia="宋体" w:hAnsi="Arial" w:cs="Arial"/>
                <w:color w:val="000000"/>
                <w:sz w:val="17"/>
                <w:szCs w:val="17"/>
              </w:rPr>
              <w:t>Foreign exchange forwards 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F6A" w14:textId="77777777" w:rsidR="004421F6" w:rsidRDefault="00F15622">
            <w:pPr>
              <w:jc w:val="right"/>
              <w:textAlignment w:val="bottom"/>
            </w:pPr>
            <w:r>
              <w:rPr>
                <w:rFonts w:ascii="Arial" w:eastAsia="宋体" w:hAnsi="Arial" w:cs="Arial"/>
                <w:color w:val="000000"/>
                <w:sz w:val="16"/>
                <w:szCs w:val="16"/>
              </w:rPr>
              <w:t>1 </w:t>
            </w:r>
          </w:p>
        </w:tc>
        <w:tc>
          <w:tcPr>
            <w:tcW w:w="0" w:type="auto"/>
            <w:tcBorders>
              <w:top w:val="single" w:sz="8" w:space="0" w:color="808080"/>
            </w:tcBorders>
            <w:shd w:val="clear" w:color="auto" w:fill="FFF1E7"/>
            <w:tcMar>
              <w:top w:w="40" w:type="dxa"/>
              <w:bottom w:w="40" w:type="dxa"/>
              <w:right w:w="20" w:type="dxa"/>
            </w:tcMar>
            <w:vAlign w:val="bottom"/>
          </w:tcPr>
          <w:p w14:paraId="1D025F6B"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F6C" w14:textId="77777777" w:rsidR="004421F6" w:rsidRDefault="00F15622">
            <w:pPr>
              <w:jc w:val="right"/>
              <w:textAlignment w:val="bottom"/>
            </w:pPr>
            <w:r>
              <w:rPr>
                <w:rFonts w:ascii="Arial" w:eastAsia="宋体" w:hAnsi="Arial" w:cs="Arial"/>
                <w:color w:val="000000"/>
                <w:sz w:val="16"/>
                <w:szCs w:val="16"/>
              </w:rPr>
              <w:t>— </w:t>
            </w:r>
          </w:p>
        </w:tc>
        <w:tc>
          <w:tcPr>
            <w:tcW w:w="0" w:type="auto"/>
            <w:tcBorders>
              <w:top w:val="single" w:sz="8" w:space="0" w:color="808080"/>
            </w:tcBorders>
            <w:shd w:val="clear" w:color="auto" w:fill="auto"/>
            <w:tcMar>
              <w:top w:w="40" w:type="dxa"/>
              <w:bottom w:w="40" w:type="dxa"/>
              <w:right w:w="20" w:type="dxa"/>
            </w:tcMar>
            <w:vAlign w:val="bottom"/>
          </w:tcPr>
          <w:p w14:paraId="1D025F6D" w14:textId="77777777" w:rsidR="004421F6" w:rsidRDefault="004421F6">
            <w:pPr>
              <w:jc w:val="right"/>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F6E" w14:textId="77777777" w:rsidR="004421F6" w:rsidRDefault="00F15622">
            <w:pPr>
              <w:jc w:val="right"/>
              <w:textAlignment w:val="bottom"/>
            </w:pPr>
            <w:r>
              <w:rPr>
                <w:rFonts w:ascii="Arial" w:eastAsia="宋体" w:hAnsi="Arial" w:cs="Arial"/>
                <w:color w:val="000000"/>
                <w:sz w:val="17"/>
                <w:szCs w:val="17"/>
              </w:rPr>
              <w:t xml:space="preserve">Demand </w:t>
            </w:r>
            <w:r>
              <w:rPr>
                <w:rFonts w:ascii="Arial" w:eastAsia="宋体" w:hAnsi="Arial" w:cs="Arial"/>
                <w:color w:val="000000"/>
                <w:sz w:val="17"/>
                <w:szCs w:val="17"/>
              </w:rPr>
              <w:t>creation expense</w:t>
            </w:r>
          </w:p>
        </w:tc>
        <w:tc>
          <w:tcPr>
            <w:tcW w:w="0" w:type="auto"/>
            <w:shd w:val="clear" w:color="auto" w:fill="auto"/>
          </w:tcPr>
          <w:p w14:paraId="1D025F6F" w14:textId="77777777" w:rsidR="004421F6" w:rsidRDefault="004421F6">
            <w:pPr>
              <w:rPr>
                <w:rFonts w:ascii="宋体"/>
              </w:rPr>
            </w:pPr>
          </w:p>
        </w:tc>
        <w:tc>
          <w:tcPr>
            <w:tcW w:w="0" w:type="auto"/>
            <w:shd w:val="clear" w:color="auto" w:fill="auto"/>
          </w:tcPr>
          <w:p w14:paraId="1D025F70" w14:textId="77777777" w:rsidR="004421F6" w:rsidRDefault="004421F6">
            <w:pPr>
              <w:rPr>
                <w:rFonts w:ascii="宋体"/>
              </w:rPr>
            </w:pPr>
          </w:p>
        </w:tc>
        <w:tc>
          <w:tcPr>
            <w:tcW w:w="0" w:type="auto"/>
            <w:shd w:val="clear" w:color="auto" w:fill="auto"/>
          </w:tcPr>
          <w:p w14:paraId="1D025F71" w14:textId="77777777" w:rsidR="004421F6" w:rsidRDefault="004421F6">
            <w:pPr>
              <w:rPr>
                <w:rFonts w:ascii="宋体"/>
              </w:rPr>
            </w:pPr>
          </w:p>
        </w:tc>
        <w:tc>
          <w:tcPr>
            <w:tcW w:w="0" w:type="auto"/>
            <w:shd w:val="clear" w:color="auto" w:fill="auto"/>
          </w:tcPr>
          <w:p w14:paraId="1D025F72" w14:textId="77777777" w:rsidR="004421F6" w:rsidRDefault="004421F6">
            <w:pPr>
              <w:rPr>
                <w:rFonts w:ascii="宋体"/>
              </w:rPr>
            </w:pPr>
          </w:p>
        </w:tc>
        <w:tc>
          <w:tcPr>
            <w:tcW w:w="0" w:type="auto"/>
            <w:shd w:val="clear" w:color="auto" w:fill="auto"/>
          </w:tcPr>
          <w:p w14:paraId="1D025F73" w14:textId="77777777" w:rsidR="004421F6" w:rsidRDefault="004421F6">
            <w:pPr>
              <w:rPr>
                <w:rFonts w:ascii="宋体"/>
              </w:rPr>
            </w:pPr>
          </w:p>
        </w:tc>
        <w:tc>
          <w:tcPr>
            <w:tcW w:w="0" w:type="auto"/>
            <w:shd w:val="clear" w:color="auto" w:fill="auto"/>
          </w:tcPr>
          <w:p w14:paraId="1D025F74" w14:textId="77777777" w:rsidR="004421F6" w:rsidRDefault="004421F6">
            <w:pPr>
              <w:rPr>
                <w:rFonts w:ascii="宋体"/>
              </w:rPr>
            </w:pPr>
          </w:p>
        </w:tc>
      </w:tr>
      <w:tr w:rsidR="004421F6" w14:paraId="1D025F82"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F76" w14:textId="77777777" w:rsidR="004421F6" w:rsidRDefault="00F15622">
            <w:pPr>
              <w:textAlignment w:val="bottom"/>
            </w:pPr>
            <w:r>
              <w:rPr>
                <w:rFonts w:ascii="Arial" w:eastAsia="宋体" w:hAnsi="Arial" w:cs="Arial"/>
                <w:color w:val="000000"/>
                <w:sz w:val="17"/>
                <w:szCs w:val="17"/>
              </w:rPr>
              <w:t>Foreign exchange forwards 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F77" w14:textId="77777777" w:rsidR="004421F6" w:rsidRDefault="00F1562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FFF1E7"/>
            <w:tcMar>
              <w:top w:w="40" w:type="dxa"/>
              <w:bottom w:w="40" w:type="dxa"/>
              <w:right w:w="20" w:type="dxa"/>
            </w:tcMar>
            <w:vAlign w:val="bottom"/>
          </w:tcPr>
          <w:p w14:paraId="1D025F78"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F79" w14:textId="77777777" w:rsidR="004421F6" w:rsidRDefault="00F15622">
            <w:pPr>
              <w:jc w:val="right"/>
              <w:textAlignment w:val="bottom"/>
            </w:pPr>
            <w:r>
              <w:rPr>
                <w:rFonts w:ascii="Arial" w:eastAsia="宋体" w:hAnsi="Arial" w:cs="Arial"/>
                <w:color w:val="000000"/>
                <w:sz w:val="17"/>
                <w:szCs w:val="17"/>
              </w:rPr>
              <w:t>46 </w:t>
            </w:r>
          </w:p>
        </w:tc>
        <w:tc>
          <w:tcPr>
            <w:tcW w:w="0" w:type="auto"/>
            <w:tcBorders>
              <w:top w:val="single" w:sz="8" w:space="0" w:color="808080"/>
            </w:tcBorders>
            <w:shd w:val="clear" w:color="auto" w:fill="auto"/>
            <w:tcMar>
              <w:top w:w="40" w:type="dxa"/>
              <w:bottom w:w="40" w:type="dxa"/>
              <w:right w:w="20" w:type="dxa"/>
            </w:tcMar>
            <w:vAlign w:val="bottom"/>
          </w:tcPr>
          <w:p w14:paraId="1D025F7A" w14:textId="77777777" w:rsidR="004421F6" w:rsidRDefault="004421F6">
            <w:pPr>
              <w:jc w:val="right"/>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F7B" w14:textId="77777777" w:rsidR="004421F6" w:rsidRDefault="00F15622">
            <w:pPr>
              <w:jc w:val="right"/>
              <w:textAlignment w:val="bottom"/>
            </w:pPr>
            <w:r>
              <w:rPr>
                <w:rFonts w:ascii="Arial" w:eastAsia="宋体" w:hAnsi="Arial" w:cs="Arial"/>
                <w:color w:val="000000"/>
                <w:sz w:val="17"/>
                <w:szCs w:val="17"/>
              </w:rPr>
              <w:t>Other (income) expense, net</w:t>
            </w:r>
          </w:p>
        </w:tc>
        <w:tc>
          <w:tcPr>
            <w:tcW w:w="0" w:type="auto"/>
            <w:shd w:val="clear" w:color="auto" w:fill="auto"/>
          </w:tcPr>
          <w:p w14:paraId="1D025F7C" w14:textId="77777777" w:rsidR="004421F6" w:rsidRDefault="004421F6">
            <w:pPr>
              <w:rPr>
                <w:rFonts w:ascii="宋体"/>
              </w:rPr>
            </w:pPr>
          </w:p>
        </w:tc>
        <w:tc>
          <w:tcPr>
            <w:tcW w:w="0" w:type="auto"/>
            <w:shd w:val="clear" w:color="auto" w:fill="auto"/>
          </w:tcPr>
          <w:p w14:paraId="1D025F7D" w14:textId="77777777" w:rsidR="004421F6" w:rsidRDefault="004421F6">
            <w:pPr>
              <w:rPr>
                <w:rFonts w:ascii="宋体"/>
              </w:rPr>
            </w:pPr>
          </w:p>
        </w:tc>
        <w:tc>
          <w:tcPr>
            <w:tcW w:w="0" w:type="auto"/>
            <w:shd w:val="clear" w:color="auto" w:fill="auto"/>
          </w:tcPr>
          <w:p w14:paraId="1D025F7E" w14:textId="77777777" w:rsidR="004421F6" w:rsidRDefault="004421F6">
            <w:pPr>
              <w:rPr>
                <w:rFonts w:ascii="宋体"/>
              </w:rPr>
            </w:pPr>
          </w:p>
        </w:tc>
        <w:tc>
          <w:tcPr>
            <w:tcW w:w="0" w:type="auto"/>
            <w:shd w:val="clear" w:color="auto" w:fill="auto"/>
          </w:tcPr>
          <w:p w14:paraId="1D025F7F" w14:textId="77777777" w:rsidR="004421F6" w:rsidRDefault="004421F6">
            <w:pPr>
              <w:rPr>
                <w:rFonts w:ascii="宋体"/>
              </w:rPr>
            </w:pPr>
          </w:p>
        </w:tc>
        <w:tc>
          <w:tcPr>
            <w:tcW w:w="0" w:type="auto"/>
            <w:shd w:val="clear" w:color="auto" w:fill="auto"/>
          </w:tcPr>
          <w:p w14:paraId="1D025F80" w14:textId="77777777" w:rsidR="004421F6" w:rsidRDefault="004421F6">
            <w:pPr>
              <w:rPr>
                <w:rFonts w:ascii="宋体"/>
              </w:rPr>
            </w:pPr>
          </w:p>
        </w:tc>
        <w:tc>
          <w:tcPr>
            <w:tcW w:w="0" w:type="auto"/>
            <w:shd w:val="clear" w:color="auto" w:fill="auto"/>
          </w:tcPr>
          <w:p w14:paraId="1D025F81" w14:textId="77777777" w:rsidR="004421F6" w:rsidRDefault="004421F6">
            <w:pPr>
              <w:rPr>
                <w:rFonts w:ascii="宋体"/>
              </w:rPr>
            </w:pPr>
          </w:p>
        </w:tc>
      </w:tr>
      <w:tr w:rsidR="004421F6" w14:paraId="1D025F8F"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5F83" w14:textId="77777777" w:rsidR="004421F6" w:rsidRDefault="00F15622">
            <w:pPr>
              <w:textAlignment w:val="bottom"/>
            </w:pPr>
            <w:r>
              <w:rPr>
                <w:rFonts w:ascii="Arial" w:eastAsia="宋体" w:hAnsi="Arial" w:cs="Arial"/>
                <w:color w:val="000000"/>
                <w:sz w:val="17"/>
                <w:szCs w:val="17"/>
              </w:rPr>
              <w:t>Interest rate swaps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F84" w14:textId="77777777" w:rsidR="004421F6" w:rsidRDefault="00F15622">
            <w:pPr>
              <w:jc w:val="right"/>
              <w:textAlignment w:val="bottom"/>
            </w:pPr>
            <w:r>
              <w:rPr>
                <w:rFonts w:ascii="Arial" w:eastAsia="宋体" w:hAnsi="Arial" w:cs="Arial"/>
                <w:color w:val="000000"/>
                <w:sz w:val="17"/>
                <w:szCs w:val="17"/>
              </w:rPr>
              <w:t>(2)</w:t>
            </w:r>
          </w:p>
        </w:tc>
        <w:tc>
          <w:tcPr>
            <w:tcW w:w="0" w:type="auto"/>
            <w:tcBorders>
              <w:top w:val="single" w:sz="8" w:space="0" w:color="808080"/>
            </w:tcBorders>
            <w:shd w:val="clear" w:color="auto" w:fill="FFF1E7"/>
            <w:tcMar>
              <w:top w:w="40" w:type="dxa"/>
              <w:bottom w:w="40" w:type="dxa"/>
              <w:right w:w="20" w:type="dxa"/>
            </w:tcMar>
            <w:vAlign w:val="bottom"/>
          </w:tcPr>
          <w:p w14:paraId="1D025F85"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F86" w14:textId="77777777" w:rsidR="004421F6" w:rsidRDefault="00F15622">
            <w:pPr>
              <w:jc w:val="right"/>
              <w:textAlignment w:val="bottom"/>
            </w:pPr>
            <w:r>
              <w:rPr>
                <w:rFonts w:ascii="Arial" w:eastAsia="宋体" w:hAnsi="Arial" w:cs="Arial"/>
                <w:color w:val="000000"/>
                <w:sz w:val="17"/>
                <w:szCs w:val="17"/>
              </w:rPr>
              <w:t>(2)</w:t>
            </w:r>
          </w:p>
        </w:tc>
        <w:tc>
          <w:tcPr>
            <w:tcW w:w="0" w:type="auto"/>
            <w:tcBorders>
              <w:top w:val="single" w:sz="8" w:space="0" w:color="808080"/>
            </w:tcBorders>
            <w:shd w:val="clear" w:color="auto" w:fill="auto"/>
            <w:tcMar>
              <w:top w:w="40" w:type="dxa"/>
              <w:bottom w:w="40" w:type="dxa"/>
              <w:right w:w="20" w:type="dxa"/>
            </w:tcMar>
            <w:vAlign w:val="bottom"/>
          </w:tcPr>
          <w:p w14:paraId="1D025F87" w14:textId="77777777" w:rsidR="004421F6" w:rsidRDefault="004421F6">
            <w:pPr>
              <w:jc w:val="right"/>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F88" w14:textId="77777777" w:rsidR="004421F6" w:rsidRDefault="00F15622">
            <w:pPr>
              <w:jc w:val="right"/>
              <w:textAlignment w:val="bottom"/>
            </w:pPr>
            <w:r>
              <w:rPr>
                <w:rFonts w:ascii="Arial" w:eastAsia="宋体" w:hAnsi="Arial" w:cs="Arial"/>
                <w:color w:val="000000"/>
                <w:sz w:val="17"/>
                <w:szCs w:val="17"/>
              </w:rPr>
              <w:t>Interest expense (income), net</w:t>
            </w:r>
          </w:p>
        </w:tc>
        <w:tc>
          <w:tcPr>
            <w:tcW w:w="0" w:type="auto"/>
            <w:shd w:val="clear" w:color="auto" w:fill="auto"/>
          </w:tcPr>
          <w:p w14:paraId="1D025F89" w14:textId="77777777" w:rsidR="004421F6" w:rsidRDefault="004421F6">
            <w:pPr>
              <w:rPr>
                <w:rFonts w:ascii="宋体"/>
              </w:rPr>
            </w:pPr>
          </w:p>
        </w:tc>
        <w:tc>
          <w:tcPr>
            <w:tcW w:w="0" w:type="auto"/>
            <w:shd w:val="clear" w:color="auto" w:fill="auto"/>
          </w:tcPr>
          <w:p w14:paraId="1D025F8A" w14:textId="77777777" w:rsidR="004421F6" w:rsidRDefault="004421F6">
            <w:pPr>
              <w:rPr>
                <w:rFonts w:ascii="宋体"/>
              </w:rPr>
            </w:pPr>
          </w:p>
        </w:tc>
        <w:tc>
          <w:tcPr>
            <w:tcW w:w="0" w:type="auto"/>
            <w:shd w:val="clear" w:color="auto" w:fill="auto"/>
          </w:tcPr>
          <w:p w14:paraId="1D025F8B" w14:textId="77777777" w:rsidR="004421F6" w:rsidRDefault="004421F6">
            <w:pPr>
              <w:rPr>
                <w:rFonts w:ascii="宋体"/>
              </w:rPr>
            </w:pPr>
          </w:p>
        </w:tc>
        <w:tc>
          <w:tcPr>
            <w:tcW w:w="0" w:type="auto"/>
            <w:shd w:val="clear" w:color="auto" w:fill="auto"/>
          </w:tcPr>
          <w:p w14:paraId="1D025F8C" w14:textId="77777777" w:rsidR="004421F6" w:rsidRDefault="004421F6">
            <w:pPr>
              <w:rPr>
                <w:rFonts w:ascii="宋体"/>
              </w:rPr>
            </w:pPr>
          </w:p>
        </w:tc>
        <w:tc>
          <w:tcPr>
            <w:tcW w:w="0" w:type="auto"/>
            <w:shd w:val="clear" w:color="auto" w:fill="auto"/>
          </w:tcPr>
          <w:p w14:paraId="1D025F8D" w14:textId="77777777" w:rsidR="004421F6" w:rsidRDefault="004421F6">
            <w:pPr>
              <w:rPr>
                <w:rFonts w:ascii="宋体"/>
              </w:rPr>
            </w:pPr>
          </w:p>
        </w:tc>
        <w:tc>
          <w:tcPr>
            <w:tcW w:w="0" w:type="auto"/>
            <w:shd w:val="clear" w:color="auto" w:fill="auto"/>
          </w:tcPr>
          <w:p w14:paraId="1D025F8E" w14:textId="77777777" w:rsidR="004421F6" w:rsidRDefault="004421F6">
            <w:pPr>
              <w:rPr>
                <w:rFonts w:ascii="宋体"/>
              </w:rPr>
            </w:pPr>
          </w:p>
        </w:tc>
      </w:tr>
      <w:tr w:rsidR="004421F6" w14:paraId="1D025F9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F90" w14:textId="77777777" w:rsidR="004421F6" w:rsidRDefault="00F15622">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F91" w14:textId="77777777" w:rsidR="004421F6" w:rsidRDefault="00F15622">
            <w:pPr>
              <w:jc w:val="right"/>
              <w:textAlignment w:val="bottom"/>
            </w:pPr>
            <w:r>
              <w:rPr>
                <w:rFonts w:ascii="Arial" w:eastAsia="宋体" w:hAnsi="Arial" w:cs="Arial"/>
                <w:color w:val="000000"/>
                <w:sz w:val="17"/>
                <w:szCs w:val="17"/>
              </w:rPr>
              <w:t>135 </w:t>
            </w:r>
          </w:p>
        </w:tc>
        <w:tc>
          <w:tcPr>
            <w:tcW w:w="0" w:type="auto"/>
            <w:tcBorders>
              <w:top w:val="single" w:sz="8" w:space="0" w:color="E87722"/>
            </w:tcBorders>
            <w:shd w:val="clear" w:color="auto" w:fill="FFF1E7"/>
            <w:tcMar>
              <w:top w:w="40" w:type="dxa"/>
              <w:bottom w:w="40" w:type="dxa"/>
              <w:right w:w="20" w:type="dxa"/>
            </w:tcMar>
            <w:vAlign w:val="bottom"/>
          </w:tcPr>
          <w:p w14:paraId="1D025F92"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F93" w14:textId="77777777" w:rsidR="004421F6" w:rsidRDefault="00F15622">
            <w:pPr>
              <w:jc w:val="right"/>
              <w:textAlignment w:val="bottom"/>
            </w:pPr>
            <w:r>
              <w:rPr>
                <w:rFonts w:ascii="Arial" w:eastAsia="宋体" w:hAnsi="Arial" w:cs="Arial"/>
                <w:color w:val="000000"/>
                <w:sz w:val="17"/>
                <w:szCs w:val="17"/>
              </w:rPr>
              <w:t>127 </w:t>
            </w:r>
          </w:p>
        </w:tc>
        <w:tc>
          <w:tcPr>
            <w:tcW w:w="0" w:type="auto"/>
            <w:tcBorders>
              <w:top w:val="single" w:sz="8" w:space="0" w:color="E87722"/>
            </w:tcBorders>
            <w:shd w:val="clear" w:color="auto" w:fill="auto"/>
            <w:tcMar>
              <w:top w:w="40" w:type="dxa"/>
              <w:bottom w:w="40" w:type="dxa"/>
              <w:right w:w="20" w:type="dxa"/>
            </w:tcMar>
            <w:vAlign w:val="bottom"/>
          </w:tcPr>
          <w:p w14:paraId="1D025F94"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F95" w14:textId="77777777" w:rsidR="004421F6" w:rsidRDefault="004421F6">
            <w:pPr>
              <w:rPr>
                <w:rFonts w:ascii="宋体"/>
              </w:rPr>
            </w:pPr>
          </w:p>
        </w:tc>
        <w:tc>
          <w:tcPr>
            <w:tcW w:w="0" w:type="auto"/>
            <w:shd w:val="clear" w:color="auto" w:fill="auto"/>
          </w:tcPr>
          <w:p w14:paraId="1D025F96" w14:textId="77777777" w:rsidR="004421F6" w:rsidRDefault="004421F6">
            <w:pPr>
              <w:rPr>
                <w:rFonts w:ascii="宋体"/>
              </w:rPr>
            </w:pPr>
          </w:p>
        </w:tc>
        <w:tc>
          <w:tcPr>
            <w:tcW w:w="0" w:type="auto"/>
            <w:shd w:val="clear" w:color="auto" w:fill="auto"/>
          </w:tcPr>
          <w:p w14:paraId="1D025F97" w14:textId="77777777" w:rsidR="004421F6" w:rsidRDefault="004421F6">
            <w:pPr>
              <w:rPr>
                <w:rFonts w:ascii="宋体"/>
              </w:rPr>
            </w:pPr>
          </w:p>
        </w:tc>
        <w:tc>
          <w:tcPr>
            <w:tcW w:w="0" w:type="auto"/>
            <w:shd w:val="clear" w:color="auto" w:fill="auto"/>
          </w:tcPr>
          <w:p w14:paraId="1D025F98" w14:textId="77777777" w:rsidR="004421F6" w:rsidRDefault="004421F6">
            <w:pPr>
              <w:rPr>
                <w:rFonts w:ascii="宋体"/>
              </w:rPr>
            </w:pPr>
          </w:p>
        </w:tc>
        <w:tc>
          <w:tcPr>
            <w:tcW w:w="0" w:type="auto"/>
            <w:shd w:val="clear" w:color="auto" w:fill="auto"/>
          </w:tcPr>
          <w:p w14:paraId="1D025F99" w14:textId="77777777" w:rsidR="004421F6" w:rsidRDefault="004421F6">
            <w:pPr>
              <w:rPr>
                <w:rFonts w:ascii="宋体"/>
              </w:rPr>
            </w:pPr>
          </w:p>
        </w:tc>
        <w:tc>
          <w:tcPr>
            <w:tcW w:w="0" w:type="auto"/>
            <w:shd w:val="clear" w:color="auto" w:fill="auto"/>
          </w:tcPr>
          <w:p w14:paraId="1D025F9A" w14:textId="77777777" w:rsidR="004421F6" w:rsidRDefault="004421F6">
            <w:pPr>
              <w:rPr>
                <w:rFonts w:ascii="宋体"/>
              </w:rPr>
            </w:pPr>
          </w:p>
        </w:tc>
        <w:tc>
          <w:tcPr>
            <w:tcW w:w="0" w:type="auto"/>
            <w:shd w:val="clear" w:color="auto" w:fill="auto"/>
          </w:tcPr>
          <w:p w14:paraId="1D025F9B" w14:textId="77777777" w:rsidR="004421F6" w:rsidRDefault="004421F6">
            <w:pPr>
              <w:rPr>
                <w:rFonts w:ascii="宋体"/>
              </w:rPr>
            </w:pPr>
          </w:p>
        </w:tc>
      </w:tr>
      <w:tr w:rsidR="004421F6" w14:paraId="1D025FA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F9D" w14:textId="77777777" w:rsidR="004421F6" w:rsidRDefault="00F15622">
            <w:pPr>
              <w:textAlignment w:val="bottom"/>
            </w:pPr>
            <w:r>
              <w:rPr>
                <w:rFonts w:ascii="Arial" w:eastAsia="宋体" w:hAnsi="Arial" w:cs="Arial"/>
                <w:color w:val="000000"/>
                <w:sz w:val="17"/>
                <w:szCs w:val="17"/>
              </w:rPr>
              <w:t>Tax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F9E" w14:textId="77777777" w:rsidR="004421F6" w:rsidRDefault="00F15622">
            <w:pPr>
              <w:jc w:val="right"/>
              <w:textAlignment w:val="bottom"/>
            </w:pPr>
            <w:r>
              <w:rPr>
                <w:rFonts w:ascii="Arial" w:eastAsia="宋体" w:hAnsi="Arial" w:cs="Arial"/>
                <w:color w:val="000000"/>
                <w:sz w:val="17"/>
                <w:szCs w:val="17"/>
              </w:rPr>
              <w:t>(3)</w:t>
            </w:r>
          </w:p>
        </w:tc>
        <w:tc>
          <w:tcPr>
            <w:tcW w:w="0" w:type="auto"/>
            <w:tcBorders>
              <w:top w:val="single" w:sz="8" w:space="0" w:color="808080"/>
            </w:tcBorders>
            <w:shd w:val="clear" w:color="auto" w:fill="FFF1E7"/>
            <w:tcMar>
              <w:top w:w="40" w:type="dxa"/>
              <w:bottom w:w="40" w:type="dxa"/>
              <w:right w:w="20" w:type="dxa"/>
            </w:tcMar>
            <w:vAlign w:val="bottom"/>
          </w:tcPr>
          <w:p w14:paraId="1D025F9F"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FA0"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5FA1"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FA2" w14:textId="77777777" w:rsidR="004421F6" w:rsidRDefault="004421F6">
            <w:pPr>
              <w:rPr>
                <w:rFonts w:ascii="宋体"/>
              </w:rPr>
            </w:pPr>
          </w:p>
        </w:tc>
        <w:tc>
          <w:tcPr>
            <w:tcW w:w="0" w:type="auto"/>
            <w:shd w:val="clear" w:color="auto" w:fill="auto"/>
          </w:tcPr>
          <w:p w14:paraId="1D025FA3" w14:textId="77777777" w:rsidR="004421F6" w:rsidRDefault="004421F6">
            <w:pPr>
              <w:rPr>
                <w:rFonts w:ascii="宋体"/>
              </w:rPr>
            </w:pPr>
          </w:p>
        </w:tc>
        <w:tc>
          <w:tcPr>
            <w:tcW w:w="0" w:type="auto"/>
            <w:shd w:val="clear" w:color="auto" w:fill="auto"/>
          </w:tcPr>
          <w:p w14:paraId="1D025FA4" w14:textId="77777777" w:rsidR="004421F6" w:rsidRDefault="004421F6">
            <w:pPr>
              <w:rPr>
                <w:rFonts w:ascii="宋体"/>
              </w:rPr>
            </w:pPr>
          </w:p>
        </w:tc>
        <w:tc>
          <w:tcPr>
            <w:tcW w:w="0" w:type="auto"/>
            <w:shd w:val="clear" w:color="auto" w:fill="auto"/>
          </w:tcPr>
          <w:p w14:paraId="1D025FA5" w14:textId="77777777" w:rsidR="004421F6" w:rsidRDefault="004421F6">
            <w:pPr>
              <w:rPr>
                <w:rFonts w:ascii="宋体"/>
              </w:rPr>
            </w:pPr>
          </w:p>
        </w:tc>
        <w:tc>
          <w:tcPr>
            <w:tcW w:w="0" w:type="auto"/>
            <w:shd w:val="clear" w:color="auto" w:fill="auto"/>
          </w:tcPr>
          <w:p w14:paraId="1D025FA6" w14:textId="77777777" w:rsidR="004421F6" w:rsidRDefault="004421F6">
            <w:pPr>
              <w:rPr>
                <w:rFonts w:ascii="宋体"/>
              </w:rPr>
            </w:pPr>
          </w:p>
        </w:tc>
        <w:tc>
          <w:tcPr>
            <w:tcW w:w="0" w:type="auto"/>
            <w:shd w:val="clear" w:color="auto" w:fill="auto"/>
          </w:tcPr>
          <w:p w14:paraId="1D025FA7" w14:textId="77777777" w:rsidR="004421F6" w:rsidRDefault="004421F6">
            <w:pPr>
              <w:rPr>
                <w:rFonts w:ascii="宋体"/>
              </w:rPr>
            </w:pPr>
          </w:p>
        </w:tc>
        <w:tc>
          <w:tcPr>
            <w:tcW w:w="0" w:type="auto"/>
            <w:shd w:val="clear" w:color="auto" w:fill="auto"/>
          </w:tcPr>
          <w:p w14:paraId="1D025FA8" w14:textId="77777777" w:rsidR="004421F6" w:rsidRDefault="004421F6">
            <w:pPr>
              <w:rPr>
                <w:rFonts w:ascii="宋体"/>
              </w:rPr>
            </w:pPr>
          </w:p>
        </w:tc>
      </w:tr>
      <w:tr w:rsidR="004421F6" w14:paraId="1D025FB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FAA" w14:textId="77777777" w:rsidR="004421F6" w:rsidRDefault="00F15622">
            <w:pPr>
              <w:textAlignment w:val="bottom"/>
            </w:pPr>
            <w:r>
              <w:rPr>
                <w:rFonts w:ascii="Arial" w:eastAsia="宋体" w:hAnsi="Arial" w:cs="Arial"/>
                <w:b/>
                <w:bCs/>
                <w:color w:val="000000"/>
                <w:sz w:val="17"/>
                <w:szCs w:val="17"/>
              </w:rPr>
              <w:t xml:space="preserve">Gain </w:t>
            </w:r>
            <w:r>
              <w:rPr>
                <w:rFonts w:ascii="Arial" w:eastAsia="宋体" w:hAnsi="Arial" w:cs="Arial"/>
                <w:b/>
                <w:bCs/>
                <w:color w:val="000000"/>
                <w:sz w:val="17"/>
                <w:szCs w:val="17"/>
              </w:rPr>
              <w:t>(loss)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FAB" w14:textId="77777777" w:rsidR="004421F6" w:rsidRDefault="00F15622">
            <w:pPr>
              <w:jc w:val="right"/>
              <w:textAlignment w:val="bottom"/>
            </w:pPr>
            <w:r>
              <w:rPr>
                <w:rFonts w:ascii="Arial" w:eastAsia="宋体" w:hAnsi="Arial" w:cs="Arial"/>
                <w:b/>
                <w:bCs/>
                <w:color w:val="000000"/>
                <w:sz w:val="17"/>
                <w:szCs w:val="17"/>
              </w:rPr>
              <w:t>132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5FAC"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FAD" w14:textId="77777777" w:rsidR="004421F6" w:rsidRDefault="00F15622">
            <w:pPr>
              <w:jc w:val="right"/>
              <w:textAlignment w:val="bottom"/>
            </w:pPr>
            <w:r>
              <w:rPr>
                <w:rFonts w:ascii="Arial" w:eastAsia="宋体" w:hAnsi="Arial" w:cs="Arial"/>
                <w:b/>
                <w:bCs/>
                <w:color w:val="000000"/>
                <w:sz w:val="17"/>
                <w:szCs w:val="17"/>
              </w:rPr>
              <w:t>127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FAE"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FAF" w14:textId="77777777" w:rsidR="004421F6" w:rsidRDefault="004421F6">
            <w:pPr>
              <w:rPr>
                <w:rFonts w:ascii="宋体"/>
              </w:rPr>
            </w:pPr>
          </w:p>
        </w:tc>
        <w:tc>
          <w:tcPr>
            <w:tcW w:w="0" w:type="auto"/>
            <w:shd w:val="clear" w:color="auto" w:fill="auto"/>
          </w:tcPr>
          <w:p w14:paraId="1D025FB0" w14:textId="77777777" w:rsidR="004421F6" w:rsidRDefault="004421F6">
            <w:pPr>
              <w:rPr>
                <w:rFonts w:ascii="宋体"/>
              </w:rPr>
            </w:pPr>
          </w:p>
        </w:tc>
        <w:tc>
          <w:tcPr>
            <w:tcW w:w="0" w:type="auto"/>
            <w:shd w:val="clear" w:color="auto" w:fill="auto"/>
          </w:tcPr>
          <w:p w14:paraId="1D025FB1" w14:textId="77777777" w:rsidR="004421F6" w:rsidRDefault="004421F6">
            <w:pPr>
              <w:rPr>
                <w:rFonts w:ascii="宋体"/>
              </w:rPr>
            </w:pPr>
          </w:p>
        </w:tc>
        <w:tc>
          <w:tcPr>
            <w:tcW w:w="0" w:type="auto"/>
            <w:shd w:val="clear" w:color="auto" w:fill="auto"/>
          </w:tcPr>
          <w:p w14:paraId="1D025FB2" w14:textId="77777777" w:rsidR="004421F6" w:rsidRDefault="004421F6">
            <w:pPr>
              <w:rPr>
                <w:rFonts w:ascii="宋体"/>
              </w:rPr>
            </w:pPr>
          </w:p>
        </w:tc>
        <w:tc>
          <w:tcPr>
            <w:tcW w:w="0" w:type="auto"/>
            <w:shd w:val="clear" w:color="auto" w:fill="auto"/>
          </w:tcPr>
          <w:p w14:paraId="1D025FB3" w14:textId="77777777" w:rsidR="004421F6" w:rsidRDefault="004421F6">
            <w:pPr>
              <w:rPr>
                <w:rFonts w:ascii="宋体"/>
              </w:rPr>
            </w:pPr>
          </w:p>
        </w:tc>
        <w:tc>
          <w:tcPr>
            <w:tcW w:w="0" w:type="auto"/>
            <w:shd w:val="clear" w:color="auto" w:fill="auto"/>
          </w:tcPr>
          <w:p w14:paraId="1D025FB4" w14:textId="77777777" w:rsidR="004421F6" w:rsidRDefault="004421F6">
            <w:pPr>
              <w:rPr>
                <w:rFonts w:ascii="宋体"/>
              </w:rPr>
            </w:pPr>
          </w:p>
        </w:tc>
        <w:tc>
          <w:tcPr>
            <w:tcW w:w="0" w:type="auto"/>
            <w:shd w:val="clear" w:color="auto" w:fill="auto"/>
          </w:tcPr>
          <w:p w14:paraId="1D025FB5" w14:textId="77777777" w:rsidR="004421F6" w:rsidRDefault="004421F6">
            <w:pPr>
              <w:rPr>
                <w:rFonts w:ascii="宋体"/>
              </w:rPr>
            </w:pPr>
          </w:p>
        </w:tc>
      </w:tr>
      <w:tr w:rsidR="004421F6" w14:paraId="1D025FC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FB7" w14:textId="77777777" w:rsidR="004421F6" w:rsidRDefault="00F15622">
            <w:pPr>
              <w:textAlignment w:val="bottom"/>
            </w:pPr>
            <w:r>
              <w:rPr>
                <w:rFonts w:ascii="Arial" w:eastAsia="宋体" w:hAnsi="Arial" w:cs="Arial"/>
                <w:color w:val="000000"/>
                <w:sz w:val="17"/>
                <w:szCs w:val="17"/>
              </w:rPr>
              <w:t>Gains (losses) on other</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FB8" w14:textId="77777777" w:rsidR="004421F6" w:rsidRDefault="00F15622">
            <w:pPr>
              <w:jc w:val="right"/>
              <w:textAlignment w:val="bottom"/>
            </w:pPr>
            <w:r>
              <w:rPr>
                <w:rFonts w:ascii="Arial" w:eastAsia="宋体" w:hAnsi="Arial" w:cs="Arial"/>
                <w:color w:val="000000"/>
                <w:sz w:val="17"/>
                <w:szCs w:val="17"/>
              </w:rPr>
              <w:t>(8)</w:t>
            </w:r>
          </w:p>
        </w:tc>
        <w:tc>
          <w:tcPr>
            <w:tcW w:w="0" w:type="auto"/>
            <w:tcBorders>
              <w:top w:val="single" w:sz="8" w:space="0" w:color="E87722"/>
            </w:tcBorders>
            <w:shd w:val="clear" w:color="auto" w:fill="FFF1E7"/>
            <w:tcMar>
              <w:top w:w="40" w:type="dxa"/>
              <w:bottom w:w="40" w:type="dxa"/>
              <w:right w:w="20" w:type="dxa"/>
            </w:tcMar>
            <w:vAlign w:val="bottom"/>
          </w:tcPr>
          <w:p w14:paraId="1D025FB9"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FBA"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bottom w:w="40" w:type="dxa"/>
              <w:right w:w="20" w:type="dxa"/>
            </w:tcMar>
            <w:vAlign w:val="bottom"/>
          </w:tcPr>
          <w:p w14:paraId="1D025FBB" w14:textId="77777777" w:rsidR="004421F6" w:rsidRDefault="004421F6">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FBC" w14:textId="77777777" w:rsidR="004421F6" w:rsidRDefault="00F15622">
            <w:pPr>
              <w:jc w:val="right"/>
              <w:textAlignment w:val="bottom"/>
            </w:pPr>
            <w:r>
              <w:rPr>
                <w:rFonts w:ascii="Arial" w:eastAsia="宋体" w:hAnsi="Arial" w:cs="Arial"/>
                <w:color w:val="000000"/>
                <w:sz w:val="17"/>
                <w:szCs w:val="17"/>
              </w:rPr>
              <w:t>Other (income) expense, net</w:t>
            </w:r>
          </w:p>
        </w:tc>
        <w:tc>
          <w:tcPr>
            <w:tcW w:w="0" w:type="auto"/>
            <w:shd w:val="clear" w:color="auto" w:fill="auto"/>
          </w:tcPr>
          <w:p w14:paraId="1D025FBD" w14:textId="77777777" w:rsidR="004421F6" w:rsidRDefault="004421F6">
            <w:pPr>
              <w:rPr>
                <w:rFonts w:ascii="宋体"/>
              </w:rPr>
            </w:pPr>
          </w:p>
        </w:tc>
        <w:tc>
          <w:tcPr>
            <w:tcW w:w="0" w:type="auto"/>
            <w:shd w:val="clear" w:color="auto" w:fill="auto"/>
          </w:tcPr>
          <w:p w14:paraId="1D025FBE" w14:textId="77777777" w:rsidR="004421F6" w:rsidRDefault="004421F6">
            <w:pPr>
              <w:rPr>
                <w:rFonts w:ascii="宋体"/>
              </w:rPr>
            </w:pPr>
          </w:p>
        </w:tc>
        <w:tc>
          <w:tcPr>
            <w:tcW w:w="0" w:type="auto"/>
            <w:shd w:val="clear" w:color="auto" w:fill="auto"/>
          </w:tcPr>
          <w:p w14:paraId="1D025FBF" w14:textId="77777777" w:rsidR="004421F6" w:rsidRDefault="004421F6">
            <w:pPr>
              <w:rPr>
                <w:rFonts w:ascii="宋体"/>
              </w:rPr>
            </w:pPr>
          </w:p>
        </w:tc>
        <w:tc>
          <w:tcPr>
            <w:tcW w:w="0" w:type="auto"/>
            <w:shd w:val="clear" w:color="auto" w:fill="auto"/>
          </w:tcPr>
          <w:p w14:paraId="1D025FC0" w14:textId="77777777" w:rsidR="004421F6" w:rsidRDefault="004421F6">
            <w:pPr>
              <w:rPr>
                <w:rFonts w:ascii="宋体"/>
              </w:rPr>
            </w:pPr>
          </w:p>
        </w:tc>
        <w:tc>
          <w:tcPr>
            <w:tcW w:w="0" w:type="auto"/>
            <w:shd w:val="clear" w:color="auto" w:fill="auto"/>
          </w:tcPr>
          <w:p w14:paraId="1D025FC1" w14:textId="77777777" w:rsidR="004421F6" w:rsidRDefault="004421F6">
            <w:pPr>
              <w:rPr>
                <w:rFonts w:ascii="宋体"/>
              </w:rPr>
            </w:pPr>
          </w:p>
        </w:tc>
        <w:tc>
          <w:tcPr>
            <w:tcW w:w="0" w:type="auto"/>
            <w:shd w:val="clear" w:color="auto" w:fill="auto"/>
          </w:tcPr>
          <w:p w14:paraId="1D025FC2" w14:textId="77777777" w:rsidR="004421F6" w:rsidRDefault="004421F6">
            <w:pPr>
              <w:rPr>
                <w:rFonts w:ascii="宋体"/>
              </w:rPr>
            </w:pPr>
          </w:p>
        </w:tc>
      </w:tr>
      <w:tr w:rsidR="004421F6" w14:paraId="1D025FD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FC4" w14:textId="77777777" w:rsidR="004421F6" w:rsidRDefault="00F15622">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FC5" w14:textId="77777777" w:rsidR="004421F6" w:rsidRDefault="00F15622">
            <w:pPr>
              <w:jc w:val="right"/>
              <w:textAlignment w:val="bottom"/>
            </w:pPr>
            <w:r>
              <w:rPr>
                <w:rFonts w:ascii="Arial" w:eastAsia="宋体" w:hAnsi="Arial" w:cs="Arial"/>
                <w:color w:val="000000"/>
                <w:sz w:val="17"/>
                <w:szCs w:val="17"/>
              </w:rPr>
              <w:t>(8)</w:t>
            </w:r>
          </w:p>
        </w:tc>
        <w:tc>
          <w:tcPr>
            <w:tcW w:w="0" w:type="auto"/>
            <w:tcBorders>
              <w:top w:val="single" w:sz="8" w:space="0" w:color="E87722"/>
            </w:tcBorders>
            <w:shd w:val="clear" w:color="auto" w:fill="FFF1E7"/>
            <w:tcMar>
              <w:top w:w="40" w:type="dxa"/>
              <w:bottom w:w="40" w:type="dxa"/>
              <w:right w:w="20" w:type="dxa"/>
            </w:tcMar>
            <w:vAlign w:val="bottom"/>
          </w:tcPr>
          <w:p w14:paraId="1D025FC6"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FC7"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bottom w:w="40" w:type="dxa"/>
              <w:right w:w="20" w:type="dxa"/>
            </w:tcMar>
            <w:vAlign w:val="bottom"/>
          </w:tcPr>
          <w:p w14:paraId="1D025FC8"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FC9" w14:textId="77777777" w:rsidR="004421F6" w:rsidRDefault="004421F6">
            <w:pPr>
              <w:rPr>
                <w:rFonts w:ascii="宋体"/>
              </w:rPr>
            </w:pPr>
          </w:p>
        </w:tc>
        <w:tc>
          <w:tcPr>
            <w:tcW w:w="0" w:type="auto"/>
            <w:shd w:val="clear" w:color="auto" w:fill="auto"/>
          </w:tcPr>
          <w:p w14:paraId="1D025FCA" w14:textId="77777777" w:rsidR="004421F6" w:rsidRDefault="004421F6">
            <w:pPr>
              <w:rPr>
                <w:rFonts w:ascii="宋体"/>
              </w:rPr>
            </w:pPr>
          </w:p>
        </w:tc>
        <w:tc>
          <w:tcPr>
            <w:tcW w:w="0" w:type="auto"/>
            <w:shd w:val="clear" w:color="auto" w:fill="auto"/>
          </w:tcPr>
          <w:p w14:paraId="1D025FCB" w14:textId="77777777" w:rsidR="004421F6" w:rsidRDefault="004421F6">
            <w:pPr>
              <w:rPr>
                <w:rFonts w:ascii="宋体"/>
              </w:rPr>
            </w:pPr>
          </w:p>
        </w:tc>
        <w:tc>
          <w:tcPr>
            <w:tcW w:w="0" w:type="auto"/>
            <w:shd w:val="clear" w:color="auto" w:fill="auto"/>
          </w:tcPr>
          <w:p w14:paraId="1D025FCC" w14:textId="77777777" w:rsidR="004421F6" w:rsidRDefault="004421F6">
            <w:pPr>
              <w:rPr>
                <w:rFonts w:ascii="宋体"/>
              </w:rPr>
            </w:pPr>
          </w:p>
        </w:tc>
        <w:tc>
          <w:tcPr>
            <w:tcW w:w="0" w:type="auto"/>
            <w:shd w:val="clear" w:color="auto" w:fill="auto"/>
          </w:tcPr>
          <w:p w14:paraId="1D025FCD" w14:textId="77777777" w:rsidR="004421F6" w:rsidRDefault="004421F6">
            <w:pPr>
              <w:rPr>
                <w:rFonts w:ascii="宋体"/>
              </w:rPr>
            </w:pPr>
          </w:p>
        </w:tc>
        <w:tc>
          <w:tcPr>
            <w:tcW w:w="0" w:type="auto"/>
            <w:shd w:val="clear" w:color="auto" w:fill="auto"/>
          </w:tcPr>
          <w:p w14:paraId="1D025FCE" w14:textId="77777777" w:rsidR="004421F6" w:rsidRDefault="004421F6">
            <w:pPr>
              <w:rPr>
                <w:rFonts w:ascii="宋体"/>
              </w:rPr>
            </w:pPr>
          </w:p>
        </w:tc>
        <w:tc>
          <w:tcPr>
            <w:tcW w:w="0" w:type="auto"/>
            <w:shd w:val="clear" w:color="auto" w:fill="auto"/>
          </w:tcPr>
          <w:p w14:paraId="1D025FCF" w14:textId="77777777" w:rsidR="004421F6" w:rsidRDefault="004421F6">
            <w:pPr>
              <w:rPr>
                <w:rFonts w:ascii="宋体"/>
              </w:rPr>
            </w:pPr>
          </w:p>
        </w:tc>
      </w:tr>
      <w:tr w:rsidR="004421F6" w14:paraId="1D025FD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5FD1" w14:textId="77777777" w:rsidR="004421F6" w:rsidRDefault="00F15622">
            <w:pPr>
              <w:textAlignment w:val="bottom"/>
            </w:pPr>
            <w:r>
              <w:rPr>
                <w:rFonts w:ascii="Arial" w:eastAsia="宋体" w:hAnsi="Arial" w:cs="Arial"/>
                <w:color w:val="000000"/>
                <w:sz w:val="17"/>
                <w:szCs w:val="17"/>
              </w:rPr>
              <w:t>Tax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5FD2"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5FD3"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5FD4"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5FD5"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5FD6" w14:textId="77777777" w:rsidR="004421F6" w:rsidRDefault="004421F6">
            <w:pPr>
              <w:rPr>
                <w:rFonts w:ascii="宋体"/>
              </w:rPr>
            </w:pPr>
          </w:p>
        </w:tc>
        <w:tc>
          <w:tcPr>
            <w:tcW w:w="0" w:type="auto"/>
            <w:shd w:val="clear" w:color="auto" w:fill="auto"/>
          </w:tcPr>
          <w:p w14:paraId="1D025FD7" w14:textId="77777777" w:rsidR="004421F6" w:rsidRDefault="004421F6">
            <w:pPr>
              <w:rPr>
                <w:rFonts w:ascii="宋体"/>
              </w:rPr>
            </w:pPr>
          </w:p>
        </w:tc>
        <w:tc>
          <w:tcPr>
            <w:tcW w:w="0" w:type="auto"/>
            <w:shd w:val="clear" w:color="auto" w:fill="auto"/>
          </w:tcPr>
          <w:p w14:paraId="1D025FD8" w14:textId="77777777" w:rsidR="004421F6" w:rsidRDefault="004421F6">
            <w:pPr>
              <w:rPr>
                <w:rFonts w:ascii="宋体"/>
              </w:rPr>
            </w:pPr>
          </w:p>
        </w:tc>
        <w:tc>
          <w:tcPr>
            <w:tcW w:w="0" w:type="auto"/>
            <w:shd w:val="clear" w:color="auto" w:fill="auto"/>
          </w:tcPr>
          <w:p w14:paraId="1D025FD9" w14:textId="77777777" w:rsidR="004421F6" w:rsidRDefault="004421F6">
            <w:pPr>
              <w:rPr>
                <w:rFonts w:ascii="宋体"/>
              </w:rPr>
            </w:pPr>
          </w:p>
        </w:tc>
        <w:tc>
          <w:tcPr>
            <w:tcW w:w="0" w:type="auto"/>
            <w:shd w:val="clear" w:color="auto" w:fill="auto"/>
          </w:tcPr>
          <w:p w14:paraId="1D025FDA" w14:textId="77777777" w:rsidR="004421F6" w:rsidRDefault="004421F6">
            <w:pPr>
              <w:rPr>
                <w:rFonts w:ascii="宋体"/>
              </w:rPr>
            </w:pPr>
          </w:p>
        </w:tc>
        <w:tc>
          <w:tcPr>
            <w:tcW w:w="0" w:type="auto"/>
            <w:shd w:val="clear" w:color="auto" w:fill="auto"/>
          </w:tcPr>
          <w:p w14:paraId="1D025FDB" w14:textId="77777777" w:rsidR="004421F6" w:rsidRDefault="004421F6">
            <w:pPr>
              <w:rPr>
                <w:rFonts w:ascii="宋体"/>
              </w:rPr>
            </w:pPr>
          </w:p>
        </w:tc>
        <w:tc>
          <w:tcPr>
            <w:tcW w:w="0" w:type="auto"/>
            <w:shd w:val="clear" w:color="auto" w:fill="auto"/>
          </w:tcPr>
          <w:p w14:paraId="1D025FDC" w14:textId="77777777" w:rsidR="004421F6" w:rsidRDefault="004421F6">
            <w:pPr>
              <w:rPr>
                <w:rFonts w:ascii="宋体"/>
              </w:rPr>
            </w:pPr>
          </w:p>
        </w:tc>
      </w:tr>
      <w:tr w:rsidR="004421F6" w14:paraId="1D025FE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5FDE" w14:textId="77777777" w:rsidR="004421F6" w:rsidRDefault="00F15622">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5FDF" w14:textId="77777777" w:rsidR="004421F6" w:rsidRDefault="00F15622">
            <w:pPr>
              <w:jc w:val="right"/>
              <w:textAlignment w:val="bottom"/>
            </w:pPr>
            <w:r>
              <w:rPr>
                <w:rFonts w:ascii="Arial" w:eastAsia="宋体" w:hAnsi="Arial" w:cs="Arial"/>
                <w:b/>
                <w:bCs/>
                <w:color w:val="000000"/>
                <w:sz w:val="17"/>
                <w:szCs w:val="17"/>
              </w:rPr>
              <w:t>(8)</w:t>
            </w:r>
          </w:p>
        </w:tc>
        <w:tc>
          <w:tcPr>
            <w:tcW w:w="0" w:type="auto"/>
            <w:tcBorders>
              <w:top w:val="single" w:sz="8" w:space="0" w:color="E87722"/>
            </w:tcBorders>
            <w:shd w:val="clear" w:color="auto" w:fill="FFF1E7"/>
            <w:tcMar>
              <w:top w:w="40" w:type="dxa"/>
              <w:bottom w:w="40" w:type="dxa"/>
              <w:right w:w="20" w:type="dxa"/>
            </w:tcMar>
            <w:vAlign w:val="bottom"/>
          </w:tcPr>
          <w:p w14:paraId="1D025FE0"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5FE1" w14:textId="77777777" w:rsidR="004421F6" w:rsidRDefault="00F1562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5FE2"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5FE3" w14:textId="77777777" w:rsidR="004421F6" w:rsidRDefault="004421F6">
            <w:pPr>
              <w:rPr>
                <w:rFonts w:ascii="宋体"/>
              </w:rPr>
            </w:pPr>
          </w:p>
        </w:tc>
        <w:tc>
          <w:tcPr>
            <w:tcW w:w="0" w:type="auto"/>
            <w:shd w:val="clear" w:color="auto" w:fill="auto"/>
          </w:tcPr>
          <w:p w14:paraId="1D025FE4" w14:textId="77777777" w:rsidR="004421F6" w:rsidRDefault="004421F6">
            <w:pPr>
              <w:rPr>
                <w:rFonts w:ascii="宋体"/>
              </w:rPr>
            </w:pPr>
          </w:p>
        </w:tc>
        <w:tc>
          <w:tcPr>
            <w:tcW w:w="0" w:type="auto"/>
            <w:shd w:val="clear" w:color="auto" w:fill="auto"/>
          </w:tcPr>
          <w:p w14:paraId="1D025FE5" w14:textId="77777777" w:rsidR="004421F6" w:rsidRDefault="004421F6">
            <w:pPr>
              <w:rPr>
                <w:rFonts w:ascii="宋体"/>
              </w:rPr>
            </w:pPr>
          </w:p>
        </w:tc>
        <w:tc>
          <w:tcPr>
            <w:tcW w:w="0" w:type="auto"/>
            <w:shd w:val="clear" w:color="auto" w:fill="auto"/>
          </w:tcPr>
          <w:p w14:paraId="1D025FE6" w14:textId="77777777" w:rsidR="004421F6" w:rsidRDefault="004421F6">
            <w:pPr>
              <w:rPr>
                <w:rFonts w:ascii="宋体"/>
              </w:rPr>
            </w:pPr>
          </w:p>
        </w:tc>
        <w:tc>
          <w:tcPr>
            <w:tcW w:w="0" w:type="auto"/>
            <w:shd w:val="clear" w:color="auto" w:fill="auto"/>
          </w:tcPr>
          <w:p w14:paraId="1D025FE7" w14:textId="77777777" w:rsidR="004421F6" w:rsidRDefault="004421F6">
            <w:pPr>
              <w:rPr>
                <w:rFonts w:ascii="宋体"/>
              </w:rPr>
            </w:pPr>
          </w:p>
        </w:tc>
        <w:tc>
          <w:tcPr>
            <w:tcW w:w="0" w:type="auto"/>
            <w:shd w:val="clear" w:color="auto" w:fill="auto"/>
          </w:tcPr>
          <w:p w14:paraId="1D025FE8" w14:textId="77777777" w:rsidR="004421F6" w:rsidRDefault="004421F6">
            <w:pPr>
              <w:rPr>
                <w:rFonts w:ascii="宋体"/>
              </w:rPr>
            </w:pPr>
          </w:p>
        </w:tc>
        <w:tc>
          <w:tcPr>
            <w:tcW w:w="0" w:type="auto"/>
            <w:shd w:val="clear" w:color="auto" w:fill="auto"/>
          </w:tcPr>
          <w:p w14:paraId="1D025FE9" w14:textId="77777777" w:rsidR="004421F6" w:rsidRDefault="004421F6">
            <w:pPr>
              <w:rPr>
                <w:rFonts w:ascii="宋体"/>
              </w:rPr>
            </w:pPr>
          </w:p>
        </w:tc>
      </w:tr>
      <w:tr w:rsidR="004421F6" w14:paraId="1D025FF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5FEB" w14:textId="77777777" w:rsidR="004421F6" w:rsidRDefault="00F15622">
            <w:pPr>
              <w:textAlignment w:val="bottom"/>
            </w:pPr>
            <w:r>
              <w:rPr>
                <w:rFonts w:ascii="Arial" w:eastAsia="宋体" w:hAnsi="Arial" w:cs="Arial"/>
                <w:b/>
                <w:bCs/>
                <w:color w:val="000000"/>
                <w:sz w:val="17"/>
                <w:szCs w:val="17"/>
              </w:rPr>
              <w:t xml:space="preserve">Total net gain (loss) reclassified for the </w:t>
            </w:r>
            <w:r>
              <w:rPr>
                <w:rFonts w:ascii="Arial" w:eastAsia="宋体" w:hAnsi="Arial" w:cs="Arial"/>
                <w:b/>
                <w:bCs/>
                <w:color w:val="000000"/>
                <w:sz w:val="17"/>
                <w:szCs w:val="17"/>
              </w:rPr>
              <w:t>period</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5FEC"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5FED" w14:textId="77777777" w:rsidR="004421F6" w:rsidRDefault="00F15622">
            <w:pPr>
              <w:jc w:val="right"/>
              <w:textAlignment w:val="bottom"/>
            </w:pPr>
            <w:r>
              <w:rPr>
                <w:rFonts w:ascii="Arial" w:eastAsia="宋体" w:hAnsi="Arial" w:cs="Arial"/>
                <w:b/>
                <w:bCs/>
                <w:color w:val="000000"/>
                <w:sz w:val="17"/>
                <w:szCs w:val="17"/>
              </w:rPr>
              <w:t>124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5FEE"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5FEF"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5FF0" w14:textId="77777777" w:rsidR="004421F6" w:rsidRDefault="00F15622">
            <w:pPr>
              <w:jc w:val="right"/>
              <w:textAlignment w:val="bottom"/>
            </w:pPr>
            <w:r>
              <w:rPr>
                <w:rFonts w:ascii="Arial" w:eastAsia="宋体" w:hAnsi="Arial" w:cs="Arial"/>
                <w:b/>
                <w:bCs/>
                <w:color w:val="000000"/>
                <w:sz w:val="17"/>
                <w:szCs w:val="17"/>
              </w:rPr>
              <w:t>128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5FF1" w14:textId="77777777" w:rsidR="004421F6" w:rsidRDefault="004421F6">
            <w:pPr>
              <w:jc w:val="right"/>
              <w:rPr>
                <w:rFonts w:ascii="宋体"/>
              </w:rPr>
            </w:pPr>
          </w:p>
        </w:tc>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5FF2" w14:textId="77777777" w:rsidR="004421F6" w:rsidRDefault="004421F6">
            <w:pPr>
              <w:rPr>
                <w:rFonts w:ascii="宋体"/>
              </w:rPr>
            </w:pPr>
          </w:p>
        </w:tc>
        <w:tc>
          <w:tcPr>
            <w:tcW w:w="0" w:type="auto"/>
            <w:shd w:val="clear" w:color="auto" w:fill="auto"/>
          </w:tcPr>
          <w:p w14:paraId="1D025FF3" w14:textId="77777777" w:rsidR="004421F6" w:rsidRDefault="004421F6">
            <w:pPr>
              <w:rPr>
                <w:rFonts w:ascii="宋体"/>
              </w:rPr>
            </w:pPr>
          </w:p>
        </w:tc>
        <w:tc>
          <w:tcPr>
            <w:tcW w:w="0" w:type="auto"/>
            <w:shd w:val="clear" w:color="auto" w:fill="auto"/>
          </w:tcPr>
          <w:p w14:paraId="1D025FF4" w14:textId="77777777" w:rsidR="004421F6" w:rsidRDefault="004421F6">
            <w:pPr>
              <w:rPr>
                <w:rFonts w:ascii="宋体"/>
              </w:rPr>
            </w:pPr>
          </w:p>
        </w:tc>
        <w:tc>
          <w:tcPr>
            <w:tcW w:w="0" w:type="auto"/>
            <w:shd w:val="clear" w:color="auto" w:fill="auto"/>
          </w:tcPr>
          <w:p w14:paraId="1D025FF5" w14:textId="77777777" w:rsidR="004421F6" w:rsidRDefault="004421F6">
            <w:pPr>
              <w:rPr>
                <w:rFonts w:ascii="宋体"/>
              </w:rPr>
            </w:pPr>
          </w:p>
        </w:tc>
        <w:tc>
          <w:tcPr>
            <w:tcW w:w="0" w:type="auto"/>
            <w:shd w:val="clear" w:color="auto" w:fill="auto"/>
          </w:tcPr>
          <w:p w14:paraId="1D025FF6" w14:textId="77777777" w:rsidR="004421F6" w:rsidRDefault="004421F6">
            <w:pPr>
              <w:rPr>
                <w:rFonts w:ascii="宋体"/>
              </w:rPr>
            </w:pPr>
          </w:p>
        </w:tc>
        <w:tc>
          <w:tcPr>
            <w:tcW w:w="0" w:type="auto"/>
            <w:shd w:val="clear" w:color="auto" w:fill="auto"/>
          </w:tcPr>
          <w:p w14:paraId="1D025FF7" w14:textId="77777777" w:rsidR="004421F6" w:rsidRDefault="004421F6">
            <w:pPr>
              <w:rPr>
                <w:rFonts w:ascii="宋体"/>
              </w:rPr>
            </w:pPr>
          </w:p>
        </w:tc>
        <w:tc>
          <w:tcPr>
            <w:tcW w:w="0" w:type="auto"/>
            <w:shd w:val="clear" w:color="auto" w:fill="auto"/>
          </w:tcPr>
          <w:p w14:paraId="1D025FF8" w14:textId="77777777" w:rsidR="004421F6" w:rsidRDefault="004421F6">
            <w:pPr>
              <w:rPr>
                <w:rFonts w:ascii="宋体"/>
              </w:rPr>
            </w:pPr>
          </w:p>
        </w:tc>
      </w:tr>
    </w:tbl>
    <w:p w14:paraId="1D025FFA" w14:textId="77777777" w:rsidR="004421F6" w:rsidRDefault="00F15622">
      <w:pPr>
        <w:spacing w:before="120" w:after="120"/>
      </w:pPr>
      <w:r>
        <w:rPr>
          <w:rFonts w:ascii="Arial" w:eastAsia="宋体" w:hAnsi="Arial" w:cs="Arial"/>
          <w:color w:val="E87722"/>
          <w:sz w:val="17"/>
          <w:szCs w:val="17"/>
        </w:rPr>
        <w:t>16</w:t>
      </w:r>
      <w:r>
        <w:rPr>
          <w:rFonts w:ascii="sans-serif" w:eastAsia="sans-serif" w:hAnsi="sans-serif" w:cs="sans-serif"/>
          <w:color w:val="000000"/>
          <w:sz w:val="17"/>
          <w:szCs w:val="17"/>
        </w:rPr>
        <w:t xml:space="preserve"> </w:t>
      </w:r>
    </w:p>
    <w:p w14:paraId="1D025FFB" w14:textId="77777777" w:rsidR="004421F6" w:rsidRDefault="00F15622">
      <w:r>
        <w:pict w14:anchorId="1D02728B">
          <v:rect id="_x0000_i1042" style="width:415.3pt;height:1.5pt" o:hralign="center" o:hrstd="t" o:hr="t" fillcolor="#a0a0a0" stroked="f"/>
        </w:pict>
      </w:r>
    </w:p>
    <w:p w14:paraId="1D025FFC" w14:textId="77777777" w:rsidR="004421F6" w:rsidRDefault="004421F6"/>
    <w:p w14:paraId="1D025FFD" w14:textId="77777777" w:rsidR="004421F6" w:rsidRDefault="00F15622">
      <w:hyperlink r:id="rId87" w:anchor="i3e524f2e23844e81ba9d33a05ac3917c_7" w:history="1">
        <w:r>
          <w:rPr>
            <w:rStyle w:val="a5"/>
            <w:rFonts w:ascii="sans-serif" w:eastAsia="sans-serif" w:hAnsi="sans-serif" w:cs="sans-serif"/>
            <w:sz w:val="17"/>
            <w:szCs w:val="17"/>
          </w:rPr>
          <w:t>Table of Contents</w:t>
        </w:r>
      </w:hyperlink>
    </w:p>
    <w:p w14:paraId="1D025FFE" w14:textId="77777777" w:rsidR="004421F6" w:rsidRDefault="004421F6"/>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421F6" w14:paraId="1D026002" w14:textId="77777777">
        <w:tc>
          <w:tcPr>
            <w:tcW w:w="50" w:type="pct"/>
            <w:shd w:val="clear" w:color="auto" w:fill="auto"/>
          </w:tcPr>
          <w:p w14:paraId="1D025FFF" w14:textId="77777777" w:rsidR="004421F6" w:rsidRDefault="004421F6">
            <w:pPr>
              <w:rPr>
                <w:rFonts w:ascii="宋体"/>
              </w:rPr>
            </w:pPr>
          </w:p>
        </w:tc>
        <w:tc>
          <w:tcPr>
            <w:tcW w:w="4945" w:type="pct"/>
            <w:shd w:val="clear" w:color="auto" w:fill="auto"/>
          </w:tcPr>
          <w:p w14:paraId="1D026000" w14:textId="77777777" w:rsidR="004421F6" w:rsidRDefault="004421F6">
            <w:pPr>
              <w:rPr>
                <w:rFonts w:ascii="宋体"/>
              </w:rPr>
            </w:pPr>
          </w:p>
        </w:tc>
        <w:tc>
          <w:tcPr>
            <w:tcW w:w="5" w:type="pct"/>
            <w:shd w:val="clear" w:color="auto" w:fill="auto"/>
          </w:tcPr>
          <w:p w14:paraId="1D026001" w14:textId="77777777" w:rsidR="004421F6" w:rsidRDefault="004421F6">
            <w:pPr>
              <w:rPr>
                <w:rFonts w:ascii="宋体"/>
              </w:rPr>
            </w:pPr>
          </w:p>
        </w:tc>
      </w:tr>
      <w:tr w:rsidR="004421F6" w14:paraId="1D026004" w14:textId="77777777">
        <w:tc>
          <w:tcPr>
            <w:tcW w:w="0" w:type="auto"/>
            <w:gridSpan w:val="3"/>
            <w:shd w:val="clear" w:color="auto" w:fill="auto"/>
            <w:tcMar>
              <w:top w:w="40" w:type="dxa"/>
              <w:left w:w="20" w:type="dxa"/>
              <w:bottom w:w="40" w:type="dxa"/>
              <w:right w:w="20" w:type="dxa"/>
            </w:tcMar>
            <w:vAlign w:val="bottom"/>
          </w:tcPr>
          <w:p w14:paraId="1D026003" w14:textId="77777777" w:rsidR="004421F6" w:rsidRDefault="00F15622">
            <w:pPr>
              <w:textAlignment w:val="bottom"/>
            </w:pPr>
            <w:r>
              <w:rPr>
                <w:rFonts w:ascii="sans-serif" w:eastAsia="sans-serif" w:hAnsi="sans-serif" w:cs="sans-serif"/>
                <w:b/>
                <w:bCs/>
                <w:color w:val="E87722"/>
                <w:sz w:val="36"/>
                <w:szCs w:val="36"/>
              </w:rPr>
              <w:t>NOTE 11 — REVENUES</w:t>
            </w:r>
          </w:p>
        </w:tc>
      </w:tr>
    </w:tbl>
    <w:p w14:paraId="1D026005" w14:textId="77777777" w:rsidR="004421F6" w:rsidRDefault="00F15622">
      <w:pPr>
        <w:spacing w:before="120" w:after="120"/>
      </w:pPr>
      <w:r>
        <w:rPr>
          <w:rFonts w:ascii="sans-serif" w:eastAsia="sans-serif" w:hAnsi="sans-serif" w:cs="sans-serif"/>
          <w:b/>
          <w:bCs/>
          <w:color w:val="000000"/>
          <w:sz w:val="28"/>
          <w:szCs w:val="28"/>
        </w:rPr>
        <w:t>DISAGGREGATION OF REVENUES</w:t>
      </w:r>
    </w:p>
    <w:p w14:paraId="1D026006" w14:textId="77777777" w:rsidR="004421F6" w:rsidRDefault="00F15622">
      <w:pPr>
        <w:spacing w:before="120"/>
      </w:pPr>
      <w:r>
        <w:rPr>
          <w:rFonts w:ascii="Arial" w:eastAsia="宋体" w:hAnsi="Arial" w:cs="Arial"/>
          <w:color w:val="000000"/>
          <w:sz w:val="17"/>
          <w:szCs w:val="17"/>
        </w:rPr>
        <w:t xml:space="preserve">The following tables </w:t>
      </w:r>
      <w:r>
        <w:rPr>
          <w:rFonts w:ascii="Arial" w:eastAsia="宋体" w:hAnsi="Arial" w:cs="Arial"/>
          <w:color w:val="000000"/>
          <w:sz w:val="17"/>
          <w:szCs w:val="17"/>
        </w:rPr>
        <w:t>present the Company's revenues disaggregated by reportable operating segment, major product line and by distribution channel:</w:t>
      </w:r>
    </w:p>
    <w:tbl>
      <w:tblPr>
        <w:tblW w:w="4985" w:type="pct"/>
        <w:tblCellMar>
          <w:top w:w="15" w:type="dxa"/>
          <w:left w:w="15" w:type="dxa"/>
          <w:bottom w:w="15" w:type="dxa"/>
          <w:right w:w="15" w:type="dxa"/>
        </w:tblCellMar>
        <w:tblLook w:val="04A0" w:firstRow="1" w:lastRow="0" w:firstColumn="1" w:lastColumn="0" w:noHBand="0" w:noVBand="1"/>
      </w:tblPr>
      <w:tblGrid>
        <w:gridCol w:w="155"/>
        <w:gridCol w:w="732"/>
        <w:gridCol w:w="39"/>
        <w:gridCol w:w="123"/>
        <w:gridCol w:w="555"/>
        <w:gridCol w:w="41"/>
        <w:gridCol w:w="122"/>
        <w:gridCol w:w="442"/>
        <w:gridCol w:w="41"/>
        <w:gridCol w:w="123"/>
        <w:gridCol w:w="541"/>
        <w:gridCol w:w="40"/>
        <w:gridCol w:w="122"/>
        <w:gridCol w:w="554"/>
        <w:gridCol w:w="40"/>
        <w:gridCol w:w="122"/>
        <w:gridCol w:w="606"/>
        <w:gridCol w:w="40"/>
        <w:gridCol w:w="121"/>
        <w:gridCol w:w="526"/>
        <w:gridCol w:w="40"/>
        <w:gridCol w:w="122"/>
        <w:gridCol w:w="631"/>
        <w:gridCol w:w="40"/>
        <w:gridCol w:w="122"/>
        <w:gridCol w:w="729"/>
        <w:gridCol w:w="40"/>
        <w:gridCol w:w="121"/>
        <w:gridCol w:w="526"/>
        <w:gridCol w:w="40"/>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tblGrid>
      <w:tr w:rsidR="004421F6" w14:paraId="1D026025" w14:textId="77777777">
        <w:trPr>
          <w:gridAfter w:val="24"/>
        </w:trPr>
        <w:tc>
          <w:tcPr>
            <w:tcW w:w="50" w:type="pct"/>
            <w:shd w:val="clear" w:color="auto" w:fill="auto"/>
          </w:tcPr>
          <w:p w14:paraId="1D026007" w14:textId="77777777" w:rsidR="004421F6" w:rsidRDefault="004421F6">
            <w:pPr>
              <w:rPr>
                <w:rFonts w:ascii="宋体"/>
              </w:rPr>
            </w:pPr>
          </w:p>
        </w:tc>
        <w:tc>
          <w:tcPr>
            <w:tcW w:w="1129" w:type="pct"/>
            <w:shd w:val="clear" w:color="auto" w:fill="auto"/>
          </w:tcPr>
          <w:p w14:paraId="1D026008" w14:textId="77777777" w:rsidR="004421F6" w:rsidRDefault="004421F6">
            <w:pPr>
              <w:rPr>
                <w:rFonts w:ascii="宋体"/>
              </w:rPr>
            </w:pPr>
          </w:p>
        </w:tc>
        <w:tc>
          <w:tcPr>
            <w:tcW w:w="5" w:type="pct"/>
            <w:shd w:val="clear" w:color="auto" w:fill="auto"/>
          </w:tcPr>
          <w:p w14:paraId="1D026009" w14:textId="77777777" w:rsidR="004421F6" w:rsidRDefault="004421F6">
            <w:pPr>
              <w:rPr>
                <w:rFonts w:ascii="宋体"/>
              </w:rPr>
            </w:pPr>
          </w:p>
        </w:tc>
        <w:tc>
          <w:tcPr>
            <w:tcW w:w="50" w:type="pct"/>
            <w:shd w:val="clear" w:color="auto" w:fill="auto"/>
          </w:tcPr>
          <w:p w14:paraId="1D02600A" w14:textId="77777777" w:rsidR="004421F6" w:rsidRDefault="004421F6">
            <w:pPr>
              <w:rPr>
                <w:rFonts w:ascii="宋体"/>
              </w:rPr>
            </w:pPr>
          </w:p>
        </w:tc>
        <w:tc>
          <w:tcPr>
            <w:tcW w:w="355" w:type="pct"/>
            <w:shd w:val="clear" w:color="auto" w:fill="auto"/>
          </w:tcPr>
          <w:p w14:paraId="1D02600B" w14:textId="77777777" w:rsidR="004421F6" w:rsidRDefault="004421F6">
            <w:pPr>
              <w:rPr>
                <w:rFonts w:ascii="宋体"/>
              </w:rPr>
            </w:pPr>
          </w:p>
        </w:tc>
        <w:tc>
          <w:tcPr>
            <w:tcW w:w="5" w:type="pct"/>
            <w:shd w:val="clear" w:color="auto" w:fill="auto"/>
          </w:tcPr>
          <w:p w14:paraId="1D02600C" w14:textId="77777777" w:rsidR="004421F6" w:rsidRDefault="004421F6">
            <w:pPr>
              <w:rPr>
                <w:rFonts w:ascii="宋体"/>
              </w:rPr>
            </w:pPr>
          </w:p>
        </w:tc>
        <w:tc>
          <w:tcPr>
            <w:tcW w:w="50" w:type="pct"/>
            <w:shd w:val="clear" w:color="auto" w:fill="auto"/>
          </w:tcPr>
          <w:p w14:paraId="1D02600D" w14:textId="77777777" w:rsidR="004421F6" w:rsidRDefault="004421F6">
            <w:pPr>
              <w:rPr>
                <w:rFonts w:ascii="宋体"/>
              </w:rPr>
            </w:pPr>
          </w:p>
        </w:tc>
        <w:tc>
          <w:tcPr>
            <w:tcW w:w="355" w:type="pct"/>
            <w:shd w:val="clear" w:color="auto" w:fill="auto"/>
          </w:tcPr>
          <w:p w14:paraId="1D02600E" w14:textId="77777777" w:rsidR="004421F6" w:rsidRDefault="004421F6">
            <w:pPr>
              <w:rPr>
                <w:rFonts w:ascii="宋体"/>
              </w:rPr>
            </w:pPr>
          </w:p>
        </w:tc>
        <w:tc>
          <w:tcPr>
            <w:tcW w:w="5" w:type="pct"/>
            <w:shd w:val="clear" w:color="auto" w:fill="auto"/>
          </w:tcPr>
          <w:p w14:paraId="1D02600F" w14:textId="77777777" w:rsidR="004421F6" w:rsidRDefault="004421F6">
            <w:pPr>
              <w:rPr>
                <w:rFonts w:ascii="宋体"/>
              </w:rPr>
            </w:pPr>
          </w:p>
        </w:tc>
        <w:tc>
          <w:tcPr>
            <w:tcW w:w="50" w:type="pct"/>
            <w:shd w:val="clear" w:color="auto" w:fill="auto"/>
          </w:tcPr>
          <w:p w14:paraId="1D026010" w14:textId="77777777" w:rsidR="004421F6" w:rsidRDefault="004421F6">
            <w:pPr>
              <w:rPr>
                <w:rFonts w:ascii="宋体"/>
              </w:rPr>
            </w:pPr>
          </w:p>
        </w:tc>
        <w:tc>
          <w:tcPr>
            <w:tcW w:w="355" w:type="pct"/>
            <w:shd w:val="clear" w:color="auto" w:fill="auto"/>
          </w:tcPr>
          <w:p w14:paraId="1D026011" w14:textId="77777777" w:rsidR="004421F6" w:rsidRDefault="004421F6">
            <w:pPr>
              <w:rPr>
                <w:rFonts w:ascii="宋体"/>
              </w:rPr>
            </w:pPr>
          </w:p>
        </w:tc>
        <w:tc>
          <w:tcPr>
            <w:tcW w:w="5" w:type="pct"/>
            <w:shd w:val="clear" w:color="auto" w:fill="auto"/>
          </w:tcPr>
          <w:p w14:paraId="1D026012" w14:textId="77777777" w:rsidR="004421F6" w:rsidRDefault="004421F6">
            <w:pPr>
              <w:rPr>
                <w:rFonts w:ascii="宋体"/>
              </w:rPr>
            </w:pPr>
          </w:p>
        </w:tc>
        <w:tc>
          <w:tcPr>
            <w:tcW w:w="50" w:type="pct"/>
            <w:shd w:val="clear" w:color="auto" w:fill="auto"/>
          </w:tcPr>
          <w:p w14:paraId="1D026013" w14:textId="77777777" w:rsidR="004421F6" w:rsidRDefault="004421F6">
            <w:pPr>
              <w:rPr>
                <w:rFonts w:ascii="宋体"/>
              </w:rPr>
            </w:pPr>
          </w:p>
        </w:tc>
        <w:tc>
          <w:tcPr>
            <w:tcW w:w="355" w:type="pct"/>
            <w:shd w:val="clear" w:color="auto" w:fill="auto"/>
          </w:tcPr>
          <w:p w14:paraId="1D026014" w14:textId="77777777" w:rsidR="004421F6" w:rsidRDefault="004421F6">
            <w:pPr>
              <w:rPr>
                <w:rFonts w:ascii="宋体"/>
              </w:rPr>
            </w:pPr>
          </w:p>
        </w:tc>
        <w:tc>
          <w:tcPr>
            <w:tcW w:w="5" w:type="pct"/>
            <w:shd w:val="clear" w:color="auto" w:fill="auto"/>
          </w:tcPr>
          <w:p w14:paraId="1D026015" w14:textId="77777777" w:rsidR="004421F6" w:rsidRDefault="004421F6">
            <w:pPr>
              <w:rPr>
                <w:rFonts w:ascii="宋体"/>
              </w:rPr>
            </w:pPr>
          </w:p>
        </w:tc>
        <w:tc>
          <w:tcPr>
            <w:tcW w:w="50" w:type="pct"/>
            <w:shd w:val="clear" w:color="auto" w:fill="auto"/>
          </w:tcPr>
          <w:p w14:paraId="1D026016" w14:textId="77777777" w:rsidR="004421F6" w:rsidRDefault="004421F6">
            <w:pPr>
              <w:rPr>
                <w:rFonts w:ascii="宋体"/>
              </w:rPr>
            </w:pPr>
          </w:p>
        </w:tc>
        <w:tc>
          <w:tcPr>
            <w:tcW w:w="370" w:type="pct"/>
            <w:shd w:val="clear" w:color="auto" w:fill="auto"/>
          </w:tcPr>
          <w:p w14:paraId="1D026017" w14:textId="77777777" w:rsidR="004421F6" w:rsidRDefault="004421F6">
            <w:pPr>
              <w:rPr>
                <w:rFonts w:ascii="宋体"/>
              </w:rPr>
            </w:pPr>
          </w:p>
        </w:tc>
        <w:tc>
          <w:tcPr>
            <w:tcW w:w="5" w:type="pct"/>
            <w:shd w:val="clear" w:color="auto" w:fill="auto"/>
          </w:tcPr>
          <w:p w14:paraId="1D026018" w14:textId="77777777" w:rsidR="004421F6" w:rsidRDefault="004421F6">
            <w:pPr>
              <w:rPr>
                <w:rFonts w:ascii="宋体"/>
              </w:rPr>
            </w:pPr>
          </w:p>
        </w:tc>
        <w:tc>
          <w:tcPr>
            <w:tcW w:w="50" w:type="pct"/>
            <w:shd w:val="clear" w:color="auto" w:fill="auto"/>
          </w:tcPr>
          <w:p w14:paraId="1D026019" w14:textId="77777777" w:rsidR="004421F6" w:rsidRDefault="004421F6">
            <w:pPr>
              <w:rPr>
                <w:rFonts w:ascii="宋体"/>
              </w:rPr>
            </w:pPr>
          </w:p>
        </w:tc>
        <w:tc>
          <w:tcPr>
            <w:tcW w:w="355" w:type="pct"/>
            <w:shd w:val="clear" w:color="auto" w:fill="auto"/>
          </w:tcPr>
          <w:p w14:paraId="1D02601A" w14:textId="77777777" w:rsidR="004421F6" w:rsidRDefault="004421F6">
            <w:pPr>
              <w:rPr>
                <w:rFonts w:ascii="宋体"/>
              </w:rPr>
            </w:pPr>
          </w:p>
        </w:tc>
        <w:tc>
          <w:tcPr>
            <w:tcW w:w="5" w:type="pct"/>
            <w:shd w:val="clear" w:color="auto" w:fill="auto"/>
          </w:tcPr>
          <w:p w14:paraId="1D02601B" w14:textId="77777777" w:rsidR="004421F6" w:rsidRDefault="004421F6">
            <w:pPr>
              <w:rPr>
                <w:rFonts w:ascii="宋体"/>
              </w:rPr>
            </w:pPr>
          </w:p>
        </w:tc>
        <w:tc>
          <w:tcPr>
            <w:tcW w:w="50" w:type="pct"/>
            <w:shd w:val="clear" w:color="auto" w:fill="auto"/>
          </w:tcPr>
          <w:p w14:paraId="1D02601C" w14:textId="77777777" w:rsidR="004421F6" w:rsidRDefault="004421F6">
            <w:pPr>
              <w:rPr>
                <w:rFonts w:ascii="宋体"/>
              </w:rPr>
            </w:pPr>
          </w:p>
        </w:tc>
        <w:tc>
          <w:tcPr>
            <w:tcW w:w="386" w:type="pct"/>
            <w:shd w:val="clear" w:color="auto" w:fill="auto"/>
          </w:tcPr>
          <w:p w14:paraId="1D02601D" w14:textId="77777777" w:rsidR="004421F6" w:rsidRDefault="004421F6">
            <w:pPr>
              <w:rPr>
                <w:rFonts w:ascii="宋体"/>
              </w:rPr>
            </w:pPr>
          </w:p>
        </w:tc>
        <w:tc>
          <w:tcPr>
            <w:tcW w:w="5" w:type="pct"/>
            <w:shd w:val="clear" w:color="auto" w:fill="auto"/>
          </w:tcPr>
          <w:p w14:paraId="1D02601E" w14:textId="77777777" w:rsidR="004421F6" w:rsidRDefault="004421F6">
            <w:pPr>
              <w:rPr>
                <w:rFonts w:ascii="宋体"/>
              </w:rPr>
            </w:pPr>
          </w:p>
        </w:tc>
        <w:tc>
          <w:tcPr>
            <w:tcW w:w="50" w:type="pct"/>
            <w:shd w:val="clear" w:color="auto" w:fill="auto"/>
          </w:tcPr>
          <w:p w14:paraId="1D02601F" w14:textId="77777777" w:rsidR="004421F6" w:rsidRDefault="004421F6">
            <w:pPr>
              <w:rPr>
                <w:rFonts w:ascii="宋体"/>
              </w:rPr>
            </w:pPr>
          </w:p>
        </w:tc>
        <w:tc>
          <w:tcPr>
            <w:tcW w:w="432" w:type="pct"/>
            <w:shd w:val="clear" w:color="auto" w:fill="auto"/>
          </w:tcPr>
          <w:p w14:paraId="1D026020" w14:textId="77777777" w:rsidR="004421F6" w:rsidRDefault="004421F6">
            <w:pPr>
              <w:rPr>
                <w:rFonts w:ascii="宋体"/>
              </w:rPr>
            </w:pPr>
          </w:p>
        </w:tc>
        <w:tc>
          <w:tcPr>
            <w:tcW w:w="5" w:type="pct"/>
            <w:shd w:val="clear" w:color="auto" w:fill="auto"/>
          </w:tcPr>
          <w:p w14:paraId="1D026021" w14:textId="77777777" w:rsidR="004421F6" w:rsidRDefault="004421F6">
            <w:pPr>
              <w:rPr>
                <w:rFonts w:ascii="宋体"/>
              </w:rPr>
            </w:pPr>
          </w:p>
        </w:tc>
        <w:tc>
          <w:tcPr>
            <w:tcW w:w="50" w:type="pct"/>
            <w:shd w:val="clear" w:color="auto" w:fill="auto"/>
          </w:tcPr>
          <w:p w14:paraId="1D026022" w14:textId="77777777" w:rsidR="004421F6" w:rsidRDefault="004421F6">
            <w:pPr>
              <w:rPr>
                <w:rFonts w:ascii="宋体"/>
              </w:rPr>
            </w:pPr>
          </w:p>
        </w:tc>
        <w:tc>
          <w:tcPr>
            <w:tcW w:w="355" w:type="pct"/>
            <w:shd w:val="clear" w:color="auto" w:fill="auto"/>
          </w:tcPr>
          <w:p w14:paraId="1D026023" w14:textId="77777777" w:rsidR="004421F6" w:rsidRDefault="004421F6">
            <w:pPr>
              <w:rPr>
                <w:rFonts w:ascii="宋体"/>
              </w:rPr>
            </w:pPr>
          </w:p>
        </w:tc>
        <w:tc>
          <w:tcPr>
            <w:tcW w:w="5" w:type="pct"/>
            <w:shd w:val="clear" w:color="auto" w:fill="auto"/>
          </w:tcPr>
          <w:p w14:paraId="1D026024" w14:textId="77777777" w:rsidR="004421F6" w:rsidRDefault="004421F6">
            <w:pPr>
              <w:rPr>
                <w:rFonts w:ascii="宋体"/>
              </w:rPr>
            </w:pPr>
          </w:p>
        </w:tc>
      </w:tr>
      <w:tr w:rsidR="004421F6" w14:paraId="1D026030" w14:textId="77777777">
        <w:tc>
          <w:tcPr>
            <w:tcW w:w="0" w:type="auto"/>
            <w:gridSpan w:val="3"/>
            <w:shd w:val="clear" w:color="auto" w:fill="auto"/>
            <w:tcMar>
              <w:left w:w="20" w:type="dxa"/>
              <w:right w:w="20" w:type="dxa"/>
            </w:tcMar>
            <w:vAlign w:val="bottom"/>
          </w:tcPr>
          <w:p w14:paraId="1D026026" w14:textId="77777777" w:rsidR="004421F6" w:rsidRDefault="004421F6">
            <w:pPr>
              <w:rPr>
                <w:rFonts w:ascii="宋体"/>
              </w:rPr>
            </w:pPr>
          </w:p>
        </w:tc>
        <w:tc>
          <w:tcPr>
            <w:tcW w:w="0" w:type="auto"/>
            <w:gridSpan w:val="27"/>
            <w:shd w:val="clear" w:color="auto" w:fill="auto"/>
            <w:tcMar>
              <w:top w:w="40" w:type="dxa"/>
              <w:left w:w="20" w:type="dxa"/>
              <w:bottom w:w="40" w:type="dxa"/>
              <w:right w:w="20" w:type="dxa"/>
            </w:tcMar>
            <w:vAlign w:val="bottom"/>
          </w:tcPr>
          <w:p w14:paraId="1D026027" w14:textId="77777777" w:rsidR="004421F6" w:rsidRDefault="00F15622">
            <w:pPr>
              <w:jc w:val="center"/>
              <w:textAlignment w:val="bottom"/>
            </w:pPr>
            <w:r>
              <w:rPr>
                <w:rFonts w:ascii="sans-serif" w:eastAsia="sans-serif" w:hAnsi="sans-serif" w:cs="sans-serif"/>
                <w:b/>
                <w:bCs/>
                <w:color w:val="000000"/>
                <w:sz w:val="17"/>
                <w:szCs w:val="17"/>
              </w:rPr>
              <w:t>THREE MONTHS ENDED AUGUST 31, 2020</w:t>
            </w:r>
          </w:p>
        </w:tc>
        <w:tc>
          <w:tcPr>
            <w:tcW w:w="0" w:type="auto"/>
            <w:gridSpan w:val="3"/>
            <w:shd w:val="clear" w:color="auto" w:fill="auto"/>
          </w:tcPr>
          <w:p w14:paraId="1D026028" w14:textId="77777777" w:rsidR="004421F6" w:rsidRDefault="004421F6">
            <w:pPr>
              <w:rPr>
                <w:rFonts w:ascii="宋体"/>
                <w:vanish/>
              </w:rPr>
            </w:pPr>
          </w:p>
        </w:tc>
        <w:tc>
          <w:tcPr>
            <w:tcW w:w="0" w:type="auto"/>
            <w:gridSpan w:val="3"/>
            <w:shd w:val="clear" w:color="auto" w:fill="auto"/>
          </w:tcPr>
          <w:p w14:paraId="1D026029" w14:textId="77777777" w:rsidR="004421F6" w:rsidRDefault="004421F6">
            <w:pPr>
              <w:rPr>
                <w:rFonts w:ascii="宋体"/>
                <w:vanish/>
              </w:rPr>
            </w:pPr>
          </w:p>
        </w:tc>
        <w:tc>
          <w:tcPr>
            <w:tcW w:w="0" w:type="auto"/>
            <w:gridSpan w:val="3"/>
            <w:shd w:val="clear" w:color="auto" w:fill="auto"/>
          </w:tcPr>
          <w:p w14:paraId="1D02602A" w14:textId="77777777" w:rsidR="004421F6" w:rsidRDefault="004421F6">
            <w:pPr>
              <w:rPr>
                <w:rFonts w:ascii="宋体"/>
                <w:vanish/>
              </w:rPr>
            </w:pPr>
          </w:p>
        </w:tc>
        <w:tc>
          <w:tcPr>
            <w:tcW w:w="0" w:type="auto"/>
            <w:gridSpan w:val="3"/>
            <w:shd w:val="clear" w:color="auto" w:fill="auto"/>
          </w:tcPr>
          <w:p w14:paraId="1D02602B" w14:textId="77777777" w:rsidR="004421F6" w:rsidRDefault="004421F6">
            <w:pPr>
              <w:rPr>
                <w:rFonts w:ascii="宋体"/>
                <w:vanish/>
              </w:rPr>
            </w:pPr>
          </w:p>
        </w:tc>
        <w:tc>
          <w:tcPr>
            <w:tcW w:w="0" w:type="auto"/>
            <w:gridSpan w:val="3"/>
            <w:shd w:val="clear" w:color="auto" w:fill="auto"/>
          </w:tcPr>
          <w:p w14:paraId="1D02602C" w14:textId="77777777" w:rsidR="004421F6" w:rsidRDefault="004421F6">
            <w:pPr>
              <w:rPr>
                <w:rFonts w:ascii="宋体"/>
                <w:vanish/>
              </w:rPr>
            </w:pPr>
          </w:p>
        </w:tc>
        <w:tc>
          <w:tcPr>
            <w:tcW w:w="0" w:type="auto"/>
            <w:gridSpan w:val="3"/>
            <w:shd w:val="clear" w:color="auto" w:fill="auto"/>
          </w:tcPr>
          <w:p w14:paraId="1D02602D" w14:textId="77777777" w:rsidR="004421F6" w:rsidRDefault="004421F6">
            <w:pPr>
              <w:rPr>
                <w:rFonts w:ascii="宋体"/>
                <w:vanish/>
              </w:rPr>
            </w:pPr>
          </w:p>
        </w:tc>
        <w:tc>
          <w:tcPr>
            <w:tcW w:w="0" w:type="auto"/>
            <w:gridSpan w:val="3"/>
            <w:shd w:val="clear" w:color="auto" w:fill="auto"/>
          </w:tcPr>
          <w:p w14:paraId="1D02602E" w14:textId="77777777" w:rsidR="004421F6" w:rsidRDefault="004421F6">
            <w:pPr>
              <w:rPr>
                <w:rFonts w:ascii="宋体"/>
                <w:vanish/>
              </w:rPr>
            </w:pPr>
          </w:p>
        </w:tc>
        <w:tc>
          <w:tcPr>
            <w:tcW w:w="0" w:type="auto"/>
            <w:gridSpan w:val="3"/>
            <w:shd w:val="clear" w:color="auto" w:fill="auto"/>
          </w:tcPr>
          <w:p w14:paraId="1D02602F" w14:textId="77777777" w:rsidR="004421F6" w:rsidRDefault="004421F6">
            <w:pPr>
              <w:rPr>
                <w:rFonts w:ascii="宋体"/>
                <w:vanish/>
              </w:rPr>
            </w:pPr>
          </w:p>
        </w:tc>
      </w:tr>
      <w:tr w:rsidR="004421F6" w14:paraId="1D026053" w14:textId="77777777">
        <w:tc>
          <w:tcPr>
            <w:tcW w:w="0" w:type="auto"/>
            <w:gridSpan w:val="3"/>
            <w:shd w:val="clear" w:color="auto" w:fill="auto"/>
            <w:tcMar>
              <w:top w:w="40" w:type="dxa"/>
              <w:left w:w="20" w:type="dxa"/>
              <w:bottom w:w="40" w:type="dxa"/>
              <w:right w:w="20" w:type="dxa"/>
            </w:tcMar>
            <w:vAlign w:val="bottom"/>
          </w:tcPr>
          <w:p w14:paraId="1D026031"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032" w14:textId="77777777" w:rsidR="004421F6" w:rsidRDefault="00F15622">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033" w14:textId="77777777" w:rsidR="004421F6" w:rsidRDefault="00F15622">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034" w14:textId="77777777" w:rsidR="004421F6" w:rsidRDefault="00F15622">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035" w14:textId="77777777" w:rsidR="004421F6" w:rsidRDefault="00F15622">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036" w14:textId="77777777" w:rsidR="004421F6" w:rsidRDefault="00F15622">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037" w14:textId="77777777" w:rsidR="004421F6" w:rsidRDefault="00F15622">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038" w14:textId="77777777" w:rsidR="004421F6" w:rsidRDefault="00F15622">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039" w14:textId="77777777" w:rsidR="004421F6" w:rsidRDefault="00F15622">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03A" w14:textId="77777777" w:rsidR="004421F6" w:rsidRDefault="00F15622">
            <w:pPr>
              <w:jc w:val="right"/>
              <w:textAlignment w:val="bottom"/>
            </w:pPr>
            <w:r>
              <w:rPr>
                <w:rFonts w:ascii="sans-serif" w:eastAsia="sans-serif" w:hAnsi="sans-serif" w:cs="sans-serif"/>
                <w:b/>
                <w:bCs/>
                <w:color w:val="000000"/>
                <w:sz w:val="17"/>
                <w:szCs w:val="17"/>
              </w:rPr>
              <w:t>TOTAL NIKE, INC.</w:t>
            </w:r>
          </w:p>
        </w:tc>
        <w:tc>
          <w:tcPr>
            <w:tcW w:w="0" w:type="auto"/>
            <w:shd w:val="clear" w:color="auto" w:fill="auto"/>
          </w:tcPr>
          <w:p w14:paraId="1D02603B" w14:textId="77777777" w:rsidR="004421F6" w:rsidRDefault="004421F6">
            <w:pPr>
              <w:rPr>
                <w:rFonts w:ascii="宋体"/>
              </w:rPr>
            </w:pPr>
          </w:p>
        </w:tc>
        <w:tc>
          <w:tcPr>
            <w:tcW w:w="0" w:type="auto"/>
            <w:shd w:val="clear" w:color="auto" w:fill="auto"/>
          </w:tcPr>
          <w:p w14:paraId="1D02603C" w14:textId="77777777" w:rsidR="004421F6" w:rsidRDefault="004421F6">
            <w:pPr>
              <w:rPr>
                <w:rFonts w:ascii="宋体"/>
              </w:rPr>
            </w:pPr>
          </w:p>
        </w:tc>
        <w:tc>
          <w:tcPr>
            <w:tcW w:w="0" w:type="auto"/>
            <w:shd w:val="clear" w:color="auto" w:fill="auto"/>
          </w:tcPr>
          <w:p w14:paraId="1D02603D" w14:textId="77777777" w:rsidR="004421F6" w:rsidRDefault="004421F6">
            <w:pPr>
              <w:rPr>
                <w:rFonts w:ascii="宋体"/>
              </w:rPr>
            </w:pPr>
          </w:p>
        </w:tc>
        <w:tc>
          <w:tcPr>
            <w:tcW w:w="0" w:type="auto"/>
            <w:shd w:val="clear" w:color="auto" w:fill="auto"/>
          </w:tcPr>
          <w:p w14:paraId="1D02603E" w14:textId="77777777" w:rsidR="004421F6" w:rsidRDefault="004421F6">
            <w:pPr>
              <w:rPr>
                <w:rFonts w:ascii="宋体"/>
              </w:rPr>
            </w:pPr>
          </w:p>
        </w:tc>
        <w:tc>
          <w:tcPr>
            <w:tcW w:w="0" w:type="auto"/>
            <w:shd w:val="clear" w:color="auto" w:fill="auto"/>
          </w:tcPr>
          <w:p w14:paraId="1D02603F" w14:textId="77777777" w:rsidR="004421F6" w:rsidRDefault="004421F6">
            <w:pPr>
              <w:rPr>
                <w:rFonts w:ascii="宋体"/>
              </w:rPr>
            </w:pPr>
          </w:p>
        </w:tc>
        <w:tc>
          <w:tcPr>
            <w:tcW w:w="0" w:type="auto"/>
            <w:shd w:val="clear" w:color="auto" w:fill="auto"/>
          </w:tcPr>
          <w:p w14:paraId="1D026040" w14:textId="77777777" w:rsidR="004421F6" w:rsidRDefault="004421F6">
            <w:pPr>
              <w:rPr>
                <w:rFonts w:ascii="宋体"/>
              </w:rPr>
            </w:pPr>
          </w:p>
        </w:tc>
        <w:tc>
          <w:tcPr>
            <w:tcW w:w="0" w:type="auto"/>
            <w:shd w:val="clear" w:color="auto" w:fill="auto"/>
          </w:tcPr>
          <w:p w14:paraId="1D026041" w14:textId="77777777" w:rsidR="004421F6" w:rsidRDefault="004421F6">
            <w:pPr>
              <w:rPr>
                <w:rFonts w:ascii="宋体"/>
              </w:rPr>
            </w:pPr>
          </w:p>
        </w:tc>
        <w:tc>
          <w:tcPr>
            <w:tcW w:w="0" w:type="auto"/>
            <w:shd w:val="clear" w:color="auto" w:fill="auto"/>
          </w:tcPr>
          <w:p w14:paraId="1D026042" w14:textId="77777777" w:rsidR="004421F6" w:rsidRDefault="004421F6">
            <w:pPr>
              <w:rPr>
                <w:rFonts w:ascii="宋体"/>
              </w:rPr>
            </w:pPr>
          </w:p>
        </w:tc>
        <w:tc>
          <w:tcPr>
            <w:tcW w:w="0" w:type="auto"/>
            <w:shd w:val="clear" w:color="auto" w:fill="auto"/>
          </w:tcPr>
          <w:p w14:paraId="1D026043" w14:textId="77777777" w:rsidR="004421F6" w:rsidRDefault="004421F6">
            <w:pPr>
              <w:rPr>
                <w:rFonts w:ascii="宋体"/>
              </w:rPr>
            </w:pPr>
          </w:p>
        </w:tc>
        <w:tc>
          <w:tcPr>
            <w:tcW w:w="0" w:type="auto"/>
            <w:shd w:val="clear" w:color="auto" w:fill="auto"/>
          </w:tcPr>
          <w:p w14:paraId="1D026044" w14:textId="77777777" w:rsidR="004421F6" w:rsidRDefault="004421F6">
            <w:pPr>
              <w:rPr>
                <w:rFonts w:ascii="宋体"/>
              </w:rPr>
            </w:pPr>
          </w:p>
        </w:tc>
        <w:tc>
          <w:tcPr>
            <w:tcW w:w="0" w:type="auto"/>
            <w:shd w:val="clear" w:color="auto" w:fill="auto"/>
          </w:tcPr>
          <w:p w14:paraId="1D026045" w14:textId="77777777" w:rsidR="004421F6" w:rsidRDefault="004421F6">
            <w:pPr>
              <w:rPr>
                <w:rFonts w:ascii="宋体"/>
              </w:rPr>
            </w:pPr>
          </w:p>
        </w:tc>
        <w:tc>
          <w:tcPr>
            <w:tcW w:w="0" w:type="auto"/>
            <w:shd w:val="clear" w:color="auto" w:fill="auto"/>
          </w:tcPr>
          <w:p w14:paraId="1D026046" w14:textId="77777777" w:rsidR="004421F6" w:rsidRDefault="004421F6">
            <w:pPr>
              <w:rPr>
                <w:rFonts w:ascii="宋体"/>
              </w:rPr>
            </w:pPr>
          </w:p>
        </w:tc>
        <w:tc>
          <w:tcPr>
            <w:tcW w:w="0" w:type="auto"/>
            <w:shd w:val="clear" w:color="auto" w:fill="auto"/>
          </w:tcPr>
          <w:p w14:paraId="1D026047" w14:textId="77777777" w:rsidR="004421F6" w:rsidRDefault="004421F6">
            <w:pPr>
              <w:rPr>
                <w:rFonts w:ascii="宋体"/>
              </w:rPr>
            </w:pPr>
          </w:p>
        </w:tc>
        <w:tc>
          <w:tcPr>
            <w:tcW w:w="0" w:type="auto"/>
            <w:shd w:val="clear" w:color="auto" w:fill="auto"/>
          </w:tcPr>
          <w:p w14:paraId="1D026048" w14:textId="77777777" w:rsidR="004421F6" w:rsidRDefault="004421F6">
            <w:pPr>
              <w:rPr>
                <w:rFonts w:ascii="宋体"/>
              </w:rPr>
            </w:pPr>
          </w:p>
        </w:tc>
        <w:tc>
          <w:tcPr>
            <w:tcW w:w="0" w:type="auto"/>
            <w:shd w:val="clear" w:color="auto" w:fill="auto"/>
          </w:tcPr>
          <w:p w14:paraId="1D026049" w14:textId="77777777" w:rsidR="004421F6" w:rsidRDefault="004421F6">
            <w:pPr>
              <w:rPr>
                <w:rFonts w:ascii="宋体"/>
              </w:rPr>
            </w:pPr>
          </w:p>
        </w:tc>
        <w:tc>
          <w:tcPr>
            <w:tcW w:w="0" w:type="auto"/>
            <w:shd w:val="clear" w:color="auto" w:fill="auto"/>
          </w:tcPr>
          <w:p w14:paraId="1D02604A" w14:textId="77777777" w:rsidR="004421F6" w:rsidRDefault="004421F6">
            <w:pPr>
              <w:rPr>
                <w:rFonts w:ascii="宋体"/>
              </w:rPr>
            </w:pPr>
          </w:p>
        </w:tc>
        <w:tc>
          <w:tcPr>
            <w:tcW w:w="0" w:type="auto"/>
            <w:shd w:val="clear" w:color="auto" w:fill="auto"/>
          </w:tcPr>
          <w:p w14:paraId="1D02604B" w14:textId="77777777" w:rsidR="004421F6" w:rsidRDefault="004421F6">
            <w:pPr>
              <w:rPr>
                <w:rFonts w:ascii="宋体"/>
              </w:rPr>
            </w:pPr>
          </w:p>
        </w:tc>
        <w:tc>
          <w:tcPr>
            <w:tcW w:w="0" w:type="auto"/>
            <w:shd w:val="clear" w:color="auto" w:fill="auto"/>
          </w:tcPr>
          <w:p w14:paraId="1D02604C" w14:textId="77777777" w:rsidR="004421F6" w:rsidRDefault="004421F6">
            <w:pPr>
              <w:rPr>
                <w:rFonts w:ascii="宋体"/>
              </w:rPr>
            </w:pPr>
          </w:p>
        </w:tc>
        <w:tc>
          <w:tcPr>
            <w:tcW w:w="0" w:type="auto"/>
            <w:shd w:val="clear" w:color="auto" w:fill="auto"/>
          </w:tcPr>
          <w:p w14:paraId="1D02604D" w14:textId="77777777" w:rsidR="004421F6" w:rsidRDefault="004421F6">
            <w:pPr>
              <w:rPr>
                <w:rFonts w:ascii="宋体"/>
              </w:rPr>
            </w:pPr>
          </w:p>
        </w:tc>
        <w:tc>
          <w:tcPr>
            <w:tcW w:w="0" w:type="auto"/>
            <w:shd w:val="clear" w:color="auto" w:fill="auto"/>
          </w:tcPr>
          <w:p w14:paraId="1D02604E" w14:textId="77777777" w:rsidR="004421F6" w:rsidRDefault="004421F6">
            <w:pPr>
              <w:rPr>
                <w:rFonts w:ascii="宋体"/>
              </w:rPr>
            </w:pPr>
          </w:p>
        </w:tc>
        <w:tc>
          <w:tcPr>
            <w:tcW w:w="0" w:type="auto"/>
            <w:shd w:val="clear" w:color="auto" w:fill="auto"/>
          </w:tcPr>
          <w:p w14:paraId="1D02604F" w14:textId="77777777" w:rsidR="004421F6" w:rsidRDefault="004421F6">
            <w:pPr>
              <w:rPr>
                <w:rFonts w:ascii="宋体"/>
              </w:rPr>
            </w:pPr>
          </w:p>
        </w:tc>
        <w:tc>
          <w:tcPr>
            <w:tcW w:w="0" w:type="auto"/>
            <w:shd w:val="clear" w:color="auto" w:fill="auto"/>
          </w:tcPr>
          <w:p w14:paraId="1D026050" w14:textId="77777777" w:rsidR="004421F6" w:rsidRDefault="004421F6">
            <w:pPr>
              <w:rPr>
                <w:rFonts w:ascii="宋体"/>
              </w:rPr>
            </w:pPr>
          </w:p>
        </w:tc>
        <w:tc>
          <w:tcPr>
            <w:tcW w:w="0" w:type="auto"/>
            <w:shd w:val="clear" w:color="auto" w:fill="auto"/>
          </w:tcPr>
          <w:p w14:paraId="1D026051" w14:textId="77777777" w:rsidR="004421F6" w:rsidRDefault="004421F6">
            <w:pPr>
              <w:rPr>
                <w:rFonts w:ascii="宋体"/>
              </w:rPr>
            </w:pPr>
          </w:p>
        </w:tc>
        <w:tc>
          <w:tcPr>
            <w:tcW w:w="0" w:type="auto"/>
            <w:shd w:val="clear" w:color="auto" w:fill="auto"/>
          </w:tcPr>
          <w:p w14:paraId="1D026052" w14:textId="77777777" w:rsidR="004421F6" w:rsidRDefault="004421F6">
            <w:pPr>
              <w:rPr>
                <w:rFonts w:ascii="宋体"/>
              </w:rPr>
            </w:pPr>
          </w:p>
        </w:tc>
      </w:tr>
      <w:tr w:rsidR="004421F6" w14:paraId="1D02607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054" w14:textId="77777777" w:rsidR="004421F6" w:rsidRDefault="00F1562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left w:w="20" w:type="dxa"/>
              <w:right w:w="20" w:type="dxa"/>
            </w:tcMar>
            <w:vAlign w:val="bottom"/>
          </w:tcPr>
          <w:p w14:paraId="1D026055"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6056"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6057"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6058"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6059"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605A"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605B"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605C"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605D" w14:textId="77777777" w:rsidR="004421F6" w:rsidRDefault="004421F6">
            <w:pPr>
              <w:rPr>
                <w:rFonts w:ascii="宋体"/>
              </w:rPr>
            </w:pPr>
          </w:p>
        </w:tc>
        <w:tc>
          <w:tcPr>
            <w:tcW w:w="0" w:type="auto"/>
            <w:shd w:val="clear" w:color="auto" w:fill="auto"/>
          </w:tcPr>
          <w:p w14:paraId="1D02605E" w14:textId="77777777" w:rsidR="004421F6" w:rsidRDefault="004421F6">
            <w:pPr>
              <w:rPr>
                <w:rFonts w:ascii="宋体"/>
              </w:rPr>
            </w:pPr>
          </w:p>
        </w:tc>
        <w:tc>
          <w:tcPr>
            <w:tcW w:w="0" w:type="auto"/>
            <w:shd w:val="clear" w:color="auto" w:fill="auto"/>
          </w:tcPr>
          <w:p w14:paraId="1D02605F" w14:textId="77777777" w:rsidR="004421F6" w:rsidRDefault="004421F6">
            <w:pPr>
              <w:rPr>
                <w:rFonts w:ascii="宋体"/>
              </w:rPr>
            </w:pPr>
          </w:p>
        </w:tc>
        <w:tc>
          <w:tcPr>
            <w:tcW w:w="0" w:type="auto"/>
            <w:shd w:val="clear" w:color="auto" w:fill="auto"/>
          </w:tcPr>
          <w:p w14:paraId="1D026060" w14:textId="77777777" w:rsidR="004421F6" w:rsidRDefault="004421F6">
            <w:pPr>
              <w:rPr>
                <w:rFonts w:ascii="宋体"/>
              </w:rPr>
            </w:pPr>
          </w:p>
        </w:tc>
        <w:tc>
          <w:tcPr>
            <w:tcW w:w="0" w:type="auto"/>
            <w:shd w:val="clear" w:color="auto" w:fill="auto"/>
          </w:tcPr>
          <w:p w14:paraId="1D026061" w14:textId="77777777" w:rsidR="004421F6" w:rsidRDefault="004421F6">
            <w:pPr>
              <w:rPr>
                <w:rFonts w:ascii="宋体"/>
              </w:rPr>
            </w:pPr>
          </w:p>
        </w:tc>
        <w:tc>
          <w:tcPr>
            <w:tcW w:w="0" w:type="auto"/>
            <w:shd w:val="clear" w:color="auto" w:fill="auto"/>
          </w:tcPr>
          <w:p w14:paraId="1D026062" w14:textId="77777777" w:rsidR="004421F6" w:rsidRDefault="004421F6">
            <w:pPr>
              <w:rPr>
                <w:rFonts w:ascii="宋体"/>
              </w:rPr>
            </w:pPr>
          </w:p>
        </w:tc>
        <w:tc>
          <w:tcPr>
            <w:tcW w:w="0" w:type="auto"/>
            <w:shd w:val="clear" w:color="auto" w:fill="auto"/>
          </w:tcPr>
          <w:p w14:paraId="1D026063" w14:textId="77777777" w:rsidR="004421F6" w:rsidRDefault="004421F6">
            <w:pPr>
              <w:rPr>
                <w:rFonts w:ascii="宋体"/>
              </w:rPr>
            </w:pPr>
          </w:p>
        </w:tc>
        <w:tc>
          <w:tcPr>
            <w:tcW w:w="0" w:type="auto"/>
            <w:shd w:val="clear" w:color="auto" w:fill="auto"/>
          </w:tcPr>
          <w:p w14:paraId="1D026064" w14:textId="77777777" w:rsidR="004421F6" w:rsidRDefault="004421F6">
            <w:pPr>
              <w:rPr>
                <w:rFonts w:ascii="宋体"/>
              </w:rPr>
            </w:pPr>
          </w:p>
        </w:tc>
        <w:tc>
          <w:tcPr>
            <w:tcW w:w="0" w:type="auto"/>
            <w:shd w:val="clear" w:color="auto" w:fill="auto"/>
          </w:tcPr>
          <w:p w14:paraId="1D026065" w14:textId="77777777" w:rsidR="004421F6" w:rsidRDefault="004421F6">
            <w:pPr>
              <w:rPr>
                <w:rFonts w:ascii="宋体"/>
              </w:rPr>
            </w:pPr>
          </w:p>
        </w:tc>
        <w:tc>
          <w:tcPr>
            <w:tcW w:w="0" w:type="auto"/>
            <w:shd w:val="clear" w:color="auto" w:fill="auto"/>
          </w:tcPr>
          <w:p w14:paraId="1D026066" w14:textId="77777777" w:rsidR="004421F6" w:rsidRDefault="004421F6">
            <w:pPr>
              <w:rPr>
                <w:rFonts w:ascii="宋体"/>
              </w:rPr>
            </w:pPr>
          </w:p>
        </w:tc>
        <w:tc>
          <w:tcPr>
            <w:tcW w:w="0" w:type="auto"/>
            <w:shd w:val="clear" w:color="auto" w:fill="auto"/>
          </w:tcPr>
          <w:p w14:paraId="1D026067" w14:textId="77777777" w:rsidR="004421F6" w:rsidRDefault="004421F6">
            <w:pPr>
              <w:rPr>
                <w:rFonts w:ascii="宋体"/>
              </w:rPr>
            </w:pPr>
          </w:p>
        </w:tc>
        <w:tc>
          <w:tcPr>
            <w:tcW w:w="0" w:type="auto"/>
            <w:shd w:val="clear" w:color="auto" w:fill="auto"/>
          </w:tcPr>
          <w:p w14:paraId="1D026068" w14:textId="77777777" w:rsidR="004421F6" w:rsidRDefault="004421F6">
            <w:pPr>
              <w:rPr>
                <w:rFonts w:ascii="宋体"/>
              </w:rPr>
            </w:pPr>
          </w:p>
        </w:tc>
        <w:tc>
          <w:tcPr>
            <w:tcW w:w="0" w:type="auto"/>
            <w:shd w:val="clear" w:color="auto" w:fill="auto"/>
          </w:tcPr>
          <w:p w14:paraId="1D026069" w14:textId="77777777" w:rsidR="004421F6" w:rsidRDefault="004421F6">
            <w:pPr>
              <w:rPr>
                <w:rFonts w:ascii="宋体"/>
              </w:rPr>
            </w:pPr>
          </w:p>
        </w:tc>
        <w:tc>
          <w:tcPr>
            <w:tcW w:w="0" w:type="auto"/>
            <w:shd w:val="clear" w:color="auto" w:fill="auto"/>
          </w:tcPr>
          <w:p w14:paraId="1D02606A" w14:textId="77777777" w:rsidR="004421F6" w:rsidRDefault="004421F6">
            <w:pPr>
              <w:rPr>
                <w:rFonts w:ascii="宋体"/>
              </w:rPr>
            </w:pPr>
          </w:p>
        </w:tc>
        <w:tc>
          <w:tcPr>
            <w:tcW w:w="0" w:type="auto"/>
            <w:shd w:val="clear" w:color="auto" w:fill="auto"/>
          </w:tcPr>
          <w:p w14:paraId="1D02606B" w14:textId="77777777" w:rsidR="004421F6" w:rsidRDefault="004421F6">
            <w:pPr>
              <w:rPr>
                <w:rFonts w:ascii="宋体"/>
              </w:rPr>
            </w:pPr>
          </w:p>
        </w:tc>
        <w:tc>
          <w:tcPr>
            <w:tcW w:w="0" w:type="auto"/>
            <w:shd w:val="clear" w:color="auto" w:fill="auto"/>
          </w:tcPr>
          <w:p w14:paraId="1D02606C" w14:textId="77777777" w:rsidR="004421F6" w:rsidRDefault="004421F6">
            <w:pPr>
              <w:rPr>
                <w:rFonts w:ascii="宋体"/>
              </w:rPr>
            </w:pPr>
          </w:p>
        </w:tc>
        <w:tc>
          <w:tcPr>
            <w:tcW w:w="0" w:type="auto"/>
            <w:shd w:val="clear" w:color="auto" w:fill="auto"/>
          </w:tcPr>
          <w:p w14:paraId="1D02606D" w14:textId="77777777" w:rsidR="004421F6" w:rsidRDefault="004421F6">
            <w:pPr>
              <w:rPr>
                <w:rFonts w:ascii="宋体"/>
              </w:rPr>
            </w:pPr>
          </w:p>
        </w:tc>
        <w:tc>
          <w:tcPr>
            <w:tcW w:w="0" w:type="auto"/>
            <w:shd w:val="clear" w:color="auto" w:fill="auto"/>
          </w:tcPr>
          <w:p w14:paraId="1D02606E" w14:textId="77777777" w:rsidR="004421F6" w:rsidRDefault="004421F6">
            <w:pPr>
              <w:rPr>
                <w:rFonts w:ascii="宋体"/>
              </w:rPr>
            </w:pPr>
          </w:p>
        </w:tc>
        <w:tc>
          <w:tcPr>
            <w:tcW w:w="0" w:type="auto"/>
            <w:shd w:val="clear" w:color="auto" w:fill="auto"/>
          </w:tcPr>
          <w:p w14:paraId="1D02606F" w14:textId="77777777" w:rsidR="004421F6" w:rsidRDefault="004421F6">
            <w:pPr>
              <w:rPr>
                <w:rFonts w:ascii="宋体"/>
              </w:rPr>
            </w:pPr>
          </w:p>
        </w:tc>
        <w:tc>
          <w:tcPr>
            <w:tcW w:w="0" w:type="auto"/>
            <w:shd w:val="clear" w:color="auto" w:fill="auto"/>
          </w:tcPr>
          <w:p w14:paraId="1D026070" w14:textId="77777777" w:rsidR="004421F6" w:rsidRDefault="004421F6">
            <w:pPr>
              <w:rPr>
                <w:rFonts w:ascii="宋体"/>
              </w:rPr>
            </w:pPr>
          </w:p>
        </w:tc>
        <w:tc>
          <w:tcPr>
            <w:tcW w:w="0" w:type="auto"/>
            <w:shd w:val="clear" w:color="auto" w:fill="auto"/>
          </w:tcPr>
          <w:p w14:paraId="1D026071" w14:textId="77777777" w:rsidR="004421F6" w:rsidRDefault="004421F6">
            <w:pPr>
              <w:rPr>
                <w:rFonts w:ascii="宋体"/>
              </w:rPr>
            </w:pPr>
          </w:p>
        </w:tc>
        <w:tc>
          <w:tcPr>
            <w:tcW w:w="0" w:type="auto"/>
            <w:shd w:val="clear" w:color="auto" w:fill="auto"/>
          </w:tcPr>
          <w:p w14:paraId="1D026072" w14:textId="77777777" w:rsidR="004421F6" w:rsidRDefault="004421F6">
            <w:pPr>
              <w:rPr>
                <w:rFonts w:ascii="宋体"/>
              </w:rPr>
            </w:pPr>
          </w:p>
        </w:tc>
        <w:tc>
          <w:tcPr>
            <w:tcW w:w="0" w:type="auto"/>
            <w:shd w:val="clear" w:color="auto" w:fill="auto"/>
          </w:tcPr>
          <w:p w14:paraId="1D026073" w14:textId="77777777" w:rsidR="004421F6" w:rsidRDefault="004421F6">
            <w:pPr>
              <w:rPr>
                <w:rFonts w:ascii="宋体"/>
              </w:rPr>
            </w:pPr>
          </w:p>
        </w:tc>
        <w:tc>
          <w:tcPr>
            <w:tcW w:w="0" w:type="auto"/>
            <w:shd w:val="clear" w:color="auto" w:fill="auto"/>
          </w:tcPr>
          <w:p w14:paraId="1D026074" w14:textId="77777777" w:rsidR="004421F6" w:rsidRDefault="004421F6">
            <w:pPr>
              <w:rPr>
                <w:rFonts w:ascii="宋体"/>
              </w:rPr>
            </w:pPr>
          </w:p>
        </w:tc>
        <w:tc>
          <w:tcPr>
            <w:tcW w:w="0" w:type="auto"/>
            <w:shd w:val="clear" w:color="auto" w:fill="auto"/>
          </w:tcPr>
          <w:p w14:paraId="1D026075" w14:textId="77777777" w:rsidR="004421F6" w:rsidRDefault="004421F6">
            <w:pPr>
              <w:rPr>
                <w:rFonts w:ascii="宋体"/>
              </w:rPr>
            </w:pPr>
          </w:p>
        </w:tc>
      </w:tr>
      <w:tr w:rsidR="004421F6" w14:paraId="1D0260AB"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077" w14:textId="77777777" w:rsidR="004421F6" w:rsidRDefault="00F1562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tcMar>
            <w:vAlign w:val="bottom"/>
          </w:tcPr>
          <w:p w14:paraId="1D026078"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079" w14:textId="77777777" w:rsidR="004421F6" w:rsidRDefault="00F15622">
            <w:pPr>
              <w:jc w:val="right"/>
              <w:textAlignment w:val="bottom"/>
            </w:pPr>
            <w:r>
              <w:rPr>
                <w:rFonts w:ascii="Arial" w:eastAsia="宋体" w:hAnsi="Arial" w:cs="Arial"/>
                <w:color w:val="000000"/>
                <w:sz w:val="17"/>
                <w:szCs w:val="17"/>
              </w:rPr>
              <w:t>2,957 </w:t>
            </w:r>
          </w:p>
        </w:tc>
        <w:tc>
          <w:tcPr>
            <w:tcW w:w="0" w:type="auto"/>
            <w:tcBorders>
              <w:top w:val="single" w:sz="8" w:space="0" w:color="808080"/>
            </w:tcBorders>
            <w:shd w:val="clear" w:color="auto" w:fill="FFF1E7"/>
            <w:tcMar>
              <w:top w:w="40" w:type="dxa"/>
              <w:bottom w:w="40" w:type="dxa"/>
              <w:right w:w="20" w:type="dxa"/>
            </w:tcMar>
            <w:vAlign w:val="bottom"/>
          </w:tcPr>
          <w:p w14:paraId="1D02607A"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607B"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07C" w14:textId="77777777" w:rsidR="004421F6" w:rsidRDefault="00F15622">
            <w:pPr>
              <w:jc w:val="right"/>
              <w:textAlignment w:val="bottom"/>
            </w:pPr>
            <w:r>
              <w:rPr>
                <w:rFonts w:ascii="Arial" w:eastAsia="宋体" w:hAnsi="Arial" w:cs="Arial"/>
                <w:color w:val="000000"/>
                <w:sz w:val="17"/>
                <w:szCs w:val="17"/>
              </w:rPr>
              <w:t>1,802 </w:t>
            </w:r>
          </w:p>
        </w:tc>
        <w:tc>
          <w:tcPr>
            <w:tcW w:w="0" w:type="auto"/>
            <w:tcBorders>
              <w:top w:val="single" w:sz="8" w:space="0" w:color="808080"/>
            </w:tcBorders>
            <w:shd w:val="clear" w:color="auto" w:fill="FFF1E7"/>
            <w:tcMar>
              <w:top w:w="40" w:type="dxa"/>
              <w:bottom w:w="40" w:type="dxa"/>
              <w:right w:w="20" w:type="dxa"/>
            </w:tcMar>
            <w:vAlign w:val="bottom"/>
          </w:tcPr>
          <w:p w14:paraId="1D02607D"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607E"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07F" w14:textId="77777777" w:rsidR="004421F6" w:rsidRDefault="00F15622">
            <w:pPr>
              <w:jc w:val="right"/>
              <w:textAlignment w:val="bottom"/>
            </w:pPr>
            <w:r>
              <w:rPr>
                <w:rFonts w:ascii="Arial" w:eastAsia="宋体" w:hAnsi="Arial" w:cs="Arial"/>
                <w:color w:val="000000"/>
                <w:sz w:val="17"/>
                <w:szCs w:val="17"/>
              </w:rPr>
              <w:t>1,251 </w:t>
            </w:r>
          </w:p>
        </w:tc>
        <w:tc>
          <w:tcPr>
            <w:tcW w:w="0" w:type="auto"/>
            <w:tcBorders>
              <w:top w:val="single" w:sz="8" w:space="0" w:color="808080"/>
            </w:tcBorders>
            <w:shd w:val="clear" w:color="auto" w:fill="FFF1E7"/>
            <w:tcMar>
              <w:top w:w="40" w:type="dxa"/>
              <w:bottom w:w="40" w:type="dxa"/>
              <w:right w:w="20" w:type="dxa"/>
            </w:tcMar>
            <w:vAlign w:val="bottom"/>
          </w:tcPr>
          <w:p w14:paraId="1D026080"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6081"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082" w14:textId="77777777" w:rsidR="004421F6" w:rsidRDefault="00F15622">
            <w:pPr>
              <w:jc w:val="right"/>
              <w:textAlignment w:val="bottom"/>
            </w:pPr>
            <w:r>
              <w:rPr>
                <w:rFonts w:ascii="Arial" w:eastAsia="宋体" w:hAnsi="Arial" w:cs="Arial"/>
                <w:color w:val="000000"/>
                <w:sz w:val="17"/>
                <w:szCs w:val="17"/>
              </w:rPr>
              <w:t>758 </w:t>
            </w:r>
          </w:p>
        </w:tc>
        <w:tc>
          <w:tcPr>
            <w:tcW w:w="0" w:type="auto"/>
            <w:tcBorders>
              <w:top w:val="single" w:sz="8" w:space="0" w:color="808080"/>
            </w:tcBorders>
            <w:shd w:val="clear" w:color="auto" w:fill="FFF1E7"/>
            <w:tcMar>
              <w:top w:w="40" w:type="dxa"/>
              <w:bottom w:w="40" w:type="dxa"/>
              <w:right w:w="20" w:type="dxa"/>
            </w:tcMar>
            <w:vAlign w:val="bottom"/>
          </w:tcPr>
          <w:p w14:paraId="1D026083"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6084"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085"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086"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6087"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088" w14:textId="77777777" w:rsidR="004421F6" w:rsidRDefault="00F15622">
            <w:pPr>
              <w:jc w:val="right"/>
              <w:textAlignment w:val="bottom"/>
            </w:pPr>
            <w:r>
              <w:rPr>
                <w:rFonts w:ascii="Arial" w:eastAsia="宋体" w:hAnsi="Arial" w:cs="Arial"/>
                <w:color w:val="000000"/>
                <w:sz w:val="17"/>
                <w:szCs w:val="17"/>
              </w:rPr>
              <w:t>6,768 </w:t>
            </w:r>
          </w:p>
        </w:tc>
        <w:tc>
          <w:tcPr>
            <w:tcW w:w="0" w:type="auto"/>
            <w:tcBorders>
              <w:top w:val="single" w:sz="8" w:space="0" w:color="808080"/>
            </w:tcBorders>
            <w:shd w:val="clear" w:color="auto" w:fill="FFF1E7"/>
            <w:tcMar>
              <w:top w:w="40" w:type="dxa"/>
              <w:bottom w:w="40" w:type="dxa"/>
              <w:right w:w="20" w:type="dxa"/>
            </w:tcMar>
            <w:vAlign w:val="bottom"/>
          </w:tcPr>
          <w:p w14:paraId="1D026089"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608A"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08B" w14:textId="77777777" w:rsidR="004421F6" w:rsidRDefault="00F15622">
            <w:pPr>
              <w:jc w:val="right"/>
              <w:textAlignment w:val="bottom"/>
            </w:pPr>
            <w:r>
              <w:rPr>
                <w:rFonts w:ascii="Arial" w:eastAsia="宋体" w:hAnsi="Arial" w:cs="Arial"/>
                <w:color w:val="000000"/>
                <w:sz w:val="17"/>
                <w:szCs w:val="17"/>
              </w:rPr>
              <w:t>513 </w:t>
            </w:r>
          </w:p>
        </w:tc>
        <w:tc>
          <w:tcPr>
            <w:tcW w:w="0" w:type="auto"/>
            <w:tcBorders>
              <w:top w:val="single" w:sz="8" w:space="0" w:color="808080"/>
            </w:tcBorders>
            <w:shd w:val="clear" w:color="auto" w:fill="FFF1E7"/>
            <w:tcMar>
              <w:top w:w="40" w:type="dxa"/>
              <w:bottom w:w="40" w:type="dxa"/>
              <w:right w:w="20" w:type="dxa"/>
            </w:tcMar>
            <w:vAlign w:val="bottom"/>
          </w:tcPr>
          <w:p w14:paraId="1D02608C"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608D"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08E"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08F"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6090"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091" w14:textId="77777777" w:rsidR="004421F6" w:rsidRDefault="00F15622">
            <w:pPr>
              <w:jc w:val="right"/>
              <w:textAlignment w:val="bottom"/>
            </w:pPr>
            <w:r>
              <w:rPr>
                <w:rFonts w:ascii="Arial" w:eastAsia="宋体" w:hAnsi="Arial" w:cs="Arial"/>
                <w:color w:val="000000"/>
                <w:sz w:val="17"/>
                <w:szCs w:val="17"/>
              </w:rPr>
              <w:t>7,281 </w:t>
            </w:r>
          </w:p>
        </w:tc>
        <w:tc>
          <w:tcPr>
            <w:tcW w:w="0" w:type="auto"/>
            <w:tcBorders>
              <w:top w:val="single" w:sz="8" w:space="0" w:color="808080"/>
            </w:tcBorders>
            <w:shd w:val="clear" w:color="auto" w:fill="FFF1E7"/>
            <w:tcMar>
              <w:top w:w="40" w:type="dxa"/>
              <w:bottom w:w="40" w:type="dxa"/>
              <w:right w:w="20" w:type="dxa"/>
            </w:tcMar>
            <w:vAlign w:val="bottom"/>
          </w:tcPr>
          <w:p w14:paraId="1D026092" w14:textId="77777777" w:rsidR="004421F6" w:rsidRDefault="004421F6">
            <w:pPr>
              <w:jc w:val="right"/>
              <w:rPr>
                <w:rFonts w:ascii="宋体"/>
              </w:rPr>
            </w:pPr>
          </w:p>
        </w:tc>
        <w:tc>
          <w:tcPr>
            <w:tcW w:w="0" w:type="auto"/>
            <w:shd w:val="clear" w:color="auto" w:fill="auto"/>
          </w:tcPr>
          <w:p w14:paraId="1D026093" w14:textId="77777777" w:rsidR="004421F6" w:rsidRDefault="004421F6">
            <w:pPr>
              <w:rPr>
                <w:rFonts w:ascii="宋体"/>
              </w:rPr>
            </w:pPr>
          </w:p>
        </w:tc>
        <w:tc>
          <w:tcPr>
            <w:tcW w:w="0" w:type="auto"/>
            <w:shd w:val="clear" w:color="auto" w:fill="auto"/>
          </w:tcPr>
          <w:p w14:paraId="1D026094" w14:textId="77777777" w:rsidR="004421F6" w:rsidRDefault="004421F6">
            <w:pPr>
              <w:rPr>
                <w:rFonts w:ascii="宋体"/>
              </w:rPr>
            </w:pPr>
          </w:p>
        </w:tc>
        <w:tc>
          <w:tcPr>
            <w:tcW w:w="0" w:type="auto"/>
            <w:shd w:val="clear" w:color="auto" w:fill="auto"/>
          </w:tcPr>
          <w:p w14:paraId="1D026095" w14:textId="77777777" w:rsidR="004421F6" w:rsidRDefault="004421F6">
            <w:pPr>
              <w:rPr>
                <w:rFonts w:ascii="宋体"/>
              </w:rPr>
            </w:pPr>
          </w:p>
        </w:tc>
        <w:tc>
          <w:tcPr>
            <w:tcW w:w="0" w:type="auto"/>
            <w:shd w:val="clear" w:color="auto" w:fill="auto"/>
          </w:tcPr>
          <w:p w14:paraId="1D026096" w14:textId="77777777" w:rsidR="004421F6" w:rsidRDefault="004421F6">
            <w:pPr>
              <w:rPr>
                <w:rFonts w:ascii="宋体"/>
              </w:rPr>
            </w:pPr>
          </w:p>
        </w:tc>
        <w:tc>
          <w:tcPr>
            <w:tcW w:w="0" w:type="auto"/>
            <w:shd w:val="clear" w:color="auto" w:fill="auto"/>
          </w:tcPr>
          <w:p w14:paraId="1D026097" w14:textId="77777777" w:rsidR="004421F6" w:rsidRDefault="004421F6">
            <w:pPr>
              <w:rPr>
                <w:rFonts w:ascii="宋体"/>
              </w:rPr>
            </w:pPr>
          </w:p>
        </w:tc>
        <w:tc>
          <w:tcPr>
            <w:tcW w:w="0" w:type="auto"/>
            <w:shd w:val="clear" w:color="auto" w:fill="auto"/>
          </w:tcPr>
          <w:p w14:paraId="1D026098" w14:textId="77777777" w:rsidR="004421F6" w:rsidRDefault="004421F6">
            <w:pPr>
              <w:rPr>
                <w:rFonts w:ascii="宋体"/>
              </w:rPr>
            </w:pPr>
          </w:p>
        </w:tc>
        <w:tc>
          <w:tcPr>
            <w:tcW w:w="0" w:type="auto"/>
            <w:shd w:val="clear" w:color="auto" w:fill="auto"/>
          </w:tcPr>
          <w:p w14:paraId="1D026099" w14:textId="77777777" w:rsidR="004421F6" w:rsidRDefault="004421F6">
            <w:pPr>
              <w:rPr>
                <w:rFonts w:ascii="宋体"/>
              </w:rPr>
            </w:pPr>
          </w:p>
        </w:tc>
        <w:tc>
          <w:tcPr>
            <w:tcW w:w="0" w:type="auto"/>
            <w:shd w:val="clear" w:color="auto" w:fill="auto"/>
          </w:tcPr>
          <w:p w14:paraId="1D02609A" w14:textId="77777777" w:rsidR="004421F6" w:rsidRDefault="004421F6">
            <w:pPr>
              <w:rPr>
                <w:rFonts w:ascii="宋体"/>
              </w:rPr>
            </w:pPr>
          </w:p>
        </w:tc>
        <w:tc>
          <w:tcPr>
            <w:tcW w:w="0" w:type="auto"/>
            <w:shd w:val="clear" w:color="auto" w:fill="auto"/>
          </w:tcPr>
          <w:p w14:paraId="1D02609B" w14:textId="77777777" w:rsidR="004421F6" w:rsidRDefault="004421F6">
            <w:pPr>
              <w:rPr>
                <w:rFonts w:ascii="宋体"/>
              </w:rPr>
            </w:pPr>
          </w:p>
        </w:tc>
        <w:tc>
          <w:tcPr>
            <w:tcW w:w="0" w:type="auto"/>
            <w:shd w:val="clear" w:color="auto" w:fill="auto"/>
          </w:tcPr>
          <w:p w14:paraId="1D02609C" w14:textId="77777777" w:rsidR="004421F6" w:rsidRDefault="004421F6">
            <w:pPr>
              <w:rPr>
                <w:rFonts w:ascii="宋体"/>
              </w:rPr>
            </w:pPr>
          </w:p>
        </w:tc>
        <w:tc>
          <w:tcPr>
            <w:tcW w:w="0" w:type="auto"/>
            <w:shd w:val="clear" w:color="auto" w:fill="auto"/>
          </w:tcPr>
          <w:p w14:paraId="1D02609D" w14:textId="77777777" w:rsidR="004421F6" w:rsidRDefault="004421F6">
            <w:pPr>
              <w:rPr>
                <w:rFonts w:ascii="宋体"/>
              </w:rPr>
            </w:pPr>
          </w:p>
        </w:tc>
        <w:tc>
          <w:tcPr>
            <w:tcW w:w="0" w:type="auto"/>
            <w:shd w:val="clear" w:color="auto" w:fill="auto"/>
          </w:tcPr>
          <w:p w14:paraId="1D02609E" w14:textId="77777777" w:rsidR="004421F6" w:rsidRDefault="004421F6">
            <w:pPr>
              <w:rPr>
                <w:rFonts w:ascii="宋体"/>
              </w:rPr>
            </w:pPr>
          </w:p>
        </w:tc>
        <w:tc>
          <w:tcPr>
            <w:tcW w:w="0" w:type="auto"/>
            <w:shd w:val="clear" w:color="auto" w:fill="auto"/>
          </w:tcPr>
          <w:p w14:paraId="1D02609F" w14:textId="77777777" w:rsidR="004421F6" w:rsidRDefault="004421F6">
            <w:pPr>
              <w:rPr>
                <w:rFonts w:ascii="宋体"/>
              </w:rPr>
            </w:pPr>
          </w:p>
        </w:tc>
        <w:tc>
          <w:tcPr>
            <w:tcW w:w="0" w:type="auto"/>
            <w:shd w:val="clear" w:color="auto" w:fill="auto"/>
          </w:tcPr>
          <w:p w14:paraId="1D0260A0" w14:textId="77777777" w:rsidR="004421F6" w:rsidRDefault="004421F6">
            <w:pPr>
              <w:rPr>
                <w:rFonts w:ascii="宋体"/>
              </w:rPr>
            </w:pPr>
          </w:p>
        </w:tc>
        <w:tc>
          <w:tcPr>
            <w:tcW w:w="0" w:type="auto"/>
            <w:shd w:val="clear" w:color="auto" w:fill="auto"/>
          </w:tcPr>
          <w:p w14:paraId="1D0260A1" w14:textId="77777777" w:rsidR="004421F6" w:rsidRDefault="004421F6">
            <w:pPr>
              <w:rPr>
                <w:rFonts w:ascii="宋体"/>
              </w:rPr>
            </w:pPr>
          </w:p>
        </w:tc>
        <w:tc>
          <w:tcPr>
            <w:tcW w:w="0" w:type="auto"/>
            <w:shd w:val="clear" w:color="auto" w:fill="auto"/>
          </w:tcPr>
          <w:p w14:paraId="1D0260A2" w14:textId="77777777" w:rsidR="004421F6" w:rsidRDefault="004421F6">
            <w:pPr>
              <w:rPr>
                <w:rFonts w:ascii="宋体"/>
              </w:rPr>
            </w:pPr>
          </w:p>
        </w:tc>
        <w:tc>
          <w:tcPr>
            <w:tcW w:w="0" w:type="auto"/>
            <w:shd w:val="clear" w:color="auto" w:fill="auto"/>
          </w:tcPr>
          <w:p w14:paraId="1D0260A3" w14:textId="77777777" w:rsidR="004421F6" w:rsidRDefault="004421F6">
            <w:pPr>
              <w:rPr>
                <w:rFonts w:ascii="宋体"/>
              </w:rPr>
            </w:pPr>
          </w:p>
        </w:tc>
        <w:tc>
          <w:tcPr>
            <w:tcW w:w="0" w:type="auto"/>
            <w:shd w:val="clear" w:color="auto" w:fill="auto"/>
          </w:tcPr>
          <w:p w14:paraId="1D0260A4" w14:textId="77777777" w:rsidR="004421F6" w:rsidRDefault="004421F6">
            <w:pPr>
              <w:rPr>
                <w:rFonts w:ascii="宋体"/>
              </w:rPr>
            </w:pPr>
          </w:p>
        </w:tc>
        <w:tc>
          <w:tcPr>
            <w:tcW w:w="0" w:type="auto"/>
            <w:shd w:val="clear" w:color="auto" w:fill="auto"/>
          </w:tcPr>
          <w:p w14:paraId="1D0260A5" w14:textId="77777777" w:rsidR="004421F6" w:rsidRDefault="004421F6">
            <w:pPr>
              <w:rPr>
                <w:rFonts w:ascii="宋体"/>
              </w:rPr>
            </w:pPr>
          </w:p>
        </w:tc>
        <w:tc>
          <w:tcPr>
            <w:tcW w:w="0" w:type="auto"/>
            <w:shd w:val="clear" w:color="auto" w:fill="auto"/>
          </w:tcPr>
          <w:p w14:paraId="1D0260A6" w14:textId="77777777" w:rsidR="004421F6" w:rsidRDefault="004421F6">
            <w:pPr>
              <w:rPr>
                <w:rFonts w:ascii="宋体"/>
              </w:rPr>
            </w:pPr>
          </w:p>
        </w:tc>
        <w:tc>
          <w:tcPr>
            <w:tcW w:w="0" w:type="auto"/>
            <w:shd w:val="clear" w:color="auto" w:fill="auto"/>
          </w:tcPr>
          <w:p w14:paraId="1D0260A7" w14:textId="77777777" w:rsidR="004421F6" w:rsidRDefault="004421F6">
            <w:pPr>
              <w:rPr>
                <w:rFonts w:ascii="宋体"/>
              </w:rPr>
            </w:pPr>
          </w:p>
        </w:tc>
        <w:tc>
          <w:tcPr>
            <w:tcW w:w="0" w:type="auto"/>
            <w:shd w:val="clear" w:color="auto" w:fill="auto"/>
          </w:tcPr>
          <w:p w14:paraId="1D0260A8" w14:textId="77777777" w:rsidR="004421F6" w:rsidRDefault="004421F6">
            <w:pPr>
              <w:rPr>
                <w:rFonts w:ascii="宋体"/>
              </w:rPr>
            </w:pPr>
          </w:p>
        </w:tc>
        <w:tc>
          <w:tcPr>
            <w:tcW w:w="0" w:type="auto"/>
            <w:shd w:val="clear" w:color="auto" w:fill="auto"/>
          </w:tcPr>
          <w:p w14:paraId="1D0260A9" w14:textId="77777777" w:rsidR="004421F6" w:rsidRDefault="004421F6">
            <w:pPr>
              <w:rPr>
                <w:rFonts w:ascii="宋体"/>
              </w:rPr>
            </w:pPr>
          </w:p>
        </w:tc>
        <w:tc>
          <w:tcPr>
            <w:tcW w:w="0" w:type="auto"/>
            <w:shd w:val="clear" w:color="auto" w:fill="auto"/>
          </w:tcPr>
          <w:p w14:paraId="1D0260AA" w14:textId="77777777" w:rsidR="004421F6" w:rsidRDefault="004421F6">
            <w:pPr>
              <w:rPr>
                <w:rFonts w:ascii="宋体"/>
              </w:rPr>
            </w:pPr>
          </w:p>
        </w:tc>
      </w:tr>
      <w:tr w:rsidR="004421F6" w14:paraId="1D0260D7"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0AC" w14:textId="77777777" w:rsidR="004421F6" w:rsidRDefault="00F1562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AD" w14:textId="77777777" w:rsidR="004421F6" w:rsidRDefault="00F15622">
            <w:pPr>
              <w:jc w:val="right"/>
              <w:textAlignment w:val="bottom"/>
            </w:pPr>
            <w:r>
              <w:rPr>
                <w:rFonts w:ascii="Arial" w:eastAsia="宋体" w:hAnsi="Arial" w:cs="Arial"/>
                <w:color w:val="000000"/>
                <w:sz w:val="17"/>
                <w:szCs w:val="17"/>
              </w:rPr>
              <w:t>1,125 </w:t>
            </w:r>
          </w:p>
        </w:tc>
        <w:tc>
          <w:tcPr>
            <w:tcW w:w="0" w:type="auto"/>
            <w:tcBorders>
              <w:top w:val="single" w:sz="8" w:space="0" w:color="808080"/>
            </w:tcBorders>
            <w:shd w:val="clear" w:color="auto" w:fill="FFF1E7"/>
            <w:tcMar>
              <w:top w:w="40" w:type="dxa"/>
              <w:bottom w:w="40" w:type="dxa"/>
              <w:right w:w="20" w:type="dxa"/>
            </w:tcMar>
            <w:vAlign w:val="bottom"/>
          </w:tcPr>
          <w:p w14:paraId="1D0260AE"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AF" w14:textId="77777777" w:rsidR="004421F6" w:rsidRDefault="00F15622">
            <w:pPr>
              <w:jc w:val="right"/>
              <w:textAlignment w:val="bottom"/>
            </w:pPr>
            <w:r>
              <w:rPr>
                <w:rFonts w:ascii="Arial" w:eastAsia="宋体" w:hAnsi="Arial" w:cs="Arial"/>
                <w:color w:val="000000"/>
                <w:sz w:val="17"/>
                <w:szCs w:val="17"/>
              </w:rPr>
              <w:t>971 </w:t>
            </w:r>
          </w:p>
        </w:tc>
        <w:tc>
          <w:tcPr>
            <w:tcW w:w="0" w:type="auto"/>
            <w:tcBorders>
              <w:top w:val="single" w:sz="8" w:space="0" w:color="808080"/>
            </w:tcBorders>
            <w:shd w:val="clear" w:color="auto" w:fill="FFF1E7"/>
            <w:tcMar>
              <w:top w:w="40" w:type="dxa"/>
              <w:bottom w:w="40" w:type="dxa"/>
              <w:right w:w="20" w:type="dxa"/>
            </w:tcMar>
            <w:vAlign w:val="bottom"/>
          </w:tcPr>
          <w:p w14:paraId="1D0260B0"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B1" w14:textId="77777777" w:rsidR="004421F6" w:rsidRDefault="00F15622">
            <w:pPr>
              <w:jc w:val="right"/>
              <w:textAlignment w:val="bottom"/>
            </w:pPr>
            <w:r>
              <w:rPr>
                <w:rFonts w:ascii="Arial" w:eastAsia="宋体" w:hAnsi="Arial" w:cs="Arial"/>
                <w:color w:val="000000"/>
                <w:sz w:val="17"/>
                <w:szCs w:val="17"/>
              </w:rPr>
              <w:t>478 </w:t>
            </w:r>
          </w:p>
        </w:tc>
        <w:tc>
          <w:tcPr>
            <w:tcW w:w="0" w:type="auto"/>
            <w:tcBorders>
              <w:top w:val="single" w:sz="8" w:space="0" w:color="808080"/>
            </w:tcBorders>
            <w:shd w:val="clear" w:color="auto" w:fill="FFF1E7"/>
            <w:tcMar>
              <w:top w:w="40" w:type="dxa"/>
              <w:bottom w:w="40" w:type="dxa"/>
              <w:right w:w="20" w:type="dxa"/>
            </w:tcMar>
            <w:vAlign w:val="bottom"/>
          </w:tcPr>
          <w:p w14:paraId="1D0260B2"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B3" w14:textId="77777777" w:rsidR="004421F6" w:rsidRDefault="00F15622">
            <w:pPr>
              <w:jc w:val="right"/>
              <w:textAlignment w:val="bottom"/>
            </w:pPr>
            <w:r>
              <w:rPr>
                <w:rFonts w:ascii="Arial" w:eastAsia="宋体" w:hAnsi="Arial" w:cs="Arial"/>
                <w:color w:val="000000"/>
                <w:sz w:val="17"/>
                <w:szCs w:val="17"/>
              </w:rPr>
              <w:t>301 </w:t>
            </w:r>
          </w:p>
        </w:tc>
        <w:tc>
          <w:tcPr>
            <w:tcW w:w="0" w:type="auto"/>
            <w:tcBorders>
              <w:top w:val="single" w:sz="8" w:space="0" w:color="808080"/>
            </w:tcBorders>
            <w:shd w:val="clear" w:color="auto" w:fill="FFF1E7"/>
            <w:tcMar>
              <w:top w:w="40" w:type="dxa"/>
              <w:bottom w:w="40" w:type="dxa"/>
              <w:right w:w="20" w:type="dxa"/>
            </w:tcMar>
            <w:vAlign w:val="bottom"/>
          </w:tcPr>
          <w:p w14:paraId="1D0260B4"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B5"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0B6"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B7" w14:textId="77777777" w:rsidR="004421F6" w:rsidRDefault="00F15622">
            <w:pPr>
              <w:jc w:val="right"/>
              <w:textAlignment w:val="bottom"/>
            </w:pPr>
            <w:r>
              <w:rPr>
                <w:rFonts w:ascii="Arial" w:eastAsia="宋体" w:hAnsi="Arial" w:cs="Arial"/>
                <w:color w:val="000000"/>
                <w:sz w:val="17"/>
                <w:szCs w:val="17"/>
              </w:rPr>
              <w:t>2,875 </w:t>
            </w:r>
          </w:p>
        </w:tc>
        <w:tc>
          <w:tcPr>
            <w:tcW w:w="0" w:type="auto"/>
            <w:tcBorders>
              <w:top w:val="single" w:sz="8" w:space="0" w:color="808080"/>
            </w:tcBorders>
            <w:shd w:val="clear" w:color="auto" w:fill="FFF1E7"/>
            <w:tcMar>
              <w:top w:w="40" w:type="dxa"/>
              <w:bottom w:w="40" w:type="dxa"/>
              <w:right w:w="20" w:type="dxa"/>
            </w:tcMar>
            <w:vAlign w:val="bottom"/>
          </w:tcPr>
          <w:p w14:paraId="1D0260B8"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B9" w14:textId="77777777" w:rsidR="004421F6" w:rsidRDefault="00F15622">
            <w:pPr>
              <w:jc w:val="right"/>
              <w:textAlignment w:val="bottom"/>
            </w:pPr>
            <w:r>
              <w:rPr>
                <w:rFonts w:ascii="Arial" w:eastAsia="宋体" w:hAnsi="Arial" w:cs="Arial"/>
                <w:color w:val="000000"/>
                <w:sz w:val="17"/>
                <w:szCs w:val="17"/>
              </w:rPr>
              <w:t>22 </w:t>
            </w:r>
          </w:p>
        </w:tc>
        <w:tc>
          <w:tcPr>
            <w:tcW w:w="0" w:type="auto"/>
            <w:tcBorders>
              <w:top w:val="single" w:sz="8" w:space="0" w:color="808080"/>
            </w:tcBorders>
            <w:shd w:val="clear" w:color="auto" w:fill="FFF1E7"/>
            <w:tcMar>
              <w:top w:w="40" w:type="dxa"/>
              <w:bottom w:w="40" w:type="dxa"/>
              <w:right w:w="20" w:type="dxa"/>
            </w:tcMar>
            <w:vAlign w:val="bottom"/>
          </w:tcPr>
          <w:p w14:paraId="1D0260BA"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BB"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0BC"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BD" w14:textId="77777777" w:rsidR="004421F6" w:rsidRDefault="00F15622">
            <w:pPr>
              <w:jc w:val="right"/>
              <w:textAlignment w:val="bottom"/>
            </w:pPr>
            <w:r>
              <w:rPr>
                <w:rFonts w:ascii="Arial" w:eastAsia="宋体" w:hAnsi="Arial" w:cs="Arial"/>
                <w:color w:val="000000"/>
                <w:sz w:val="17"/>
                <w:szCs w:val="17"/>
              </w:rPr>
              <w:t>2,897 </w:t>
            </w:r>
          </w:p>
        </w:tc>
        <w:tc>
          <w:tcPr>
            <w:tcW w:w="0" w:type="auto"/>
            <w:tcBorders>
              <w:top w:val="single" w:sz="8" w:space="0" w:color="808080"/>
            </w:tcBorders>
            <w:shd w:val="clear" w:color="auto" w:fill="FFF1E7"/>
            <w:tcMar>
              <w:top w:w="40" w:type="dxa"/>
              <w:bottom w:w="40" w:type="dxa"/>
              <w:right w:w="20" w:type="dxa"/>
            </w:tcMar>
            <w:vAlign w:val="bottom"/>
          </w:tcPr>
          <w:p w14:paraId="1D0260BE" w14:textId="77777777" w:rsidR="004421F6" w:rsidRDefault="004421F6">
            <w:pPr>
              <w:jc w:val="right"/>
              <w:rPr>
                <w:rFonts w:ascii="宋体"/>
              </w:rPr>
            </w:pPr>
          </w:p>
        </w:tc>
        <w:tc>
          <w:tcPr>
            <w:tcW w:w="0" w:type="auto"/>
            <w:shd w:val="clear" w:color="auto" w:fill="auto"/>
          </w:tcPr>
          <w:p w14:paraId="1D0260BF" w14:textId="77777777" w:rsidR="004421F6" w:rsidRDefault="004421F6">
            <w:pPr>
              <w:rPr>
                <w:rFonts w:ascii="宋体"/>
              </w:rPr>
            </w:pPr>
          </w:p>
        </w:tc>
        <w:tc>
          <w:tcPr>
            <w:tcW w:w="0" w:type="auto"/>
            <w:shd w:val="clear" w:color="auto" w:fill="auto"/>
          </w:tcPr>
          <w:p w14:paraId="1D0260C0" w14:textId="77777777" w:rsidR="004421F6" w:rsidRDefault="004421F6">
            <w:pPr>
              <w:rPr>
                <w:rFonts w:ascii="宋体"/>
              </w:rPr>
            </w:pPr>
          </w:p>
        </w:tc>
        <w:tc>
          <w:tcPr>
            <w:tcW w:w="0" w:type="auto"/>
            <w:shd w:val="clear" w:color="auto" w:fill="auto"/>
          </w:tcPr>
          <w:p w14:paraId="1D0260C1" w14:textId="77777777" w:rsidR="004421F6" w:rsidRDefault="004421F6">
            <w:pPr>
              <w:rPr>
                <w:rFonts w:ascii="宋体"/>
              </w:rPr>
            </w:pPr>
          </w:p>
        </w:tc>
        <w:tc>
          <w:tcPr>
            <w:tcW w:w="0" w:type="auto"/>
            <w:shd w:val="clear" w:color="auto" w:fill="auto"/>
          </w:tcPr>
          <w:p w14:paraId="1D0260C2" w14:textId="77777777" w:rsidR="004421F6" w:rsidRDefault="004421F6">
            <w:pPr>
              <w:rPr>
                <w:rFonts w:ascii="宋体"/>
              </w:rPr>
            </w:pPr>
          </w:p>
        </w:tc>
        <w:tc>
          <w:tcPr>
            <w:tcW w:w="0" w:type="auto"/>
            <w:shd w:val="clear" w:color="auto" w:fill="auto"/>
          </w:tcPr>
          <w:p w14:paraId="1D0260C3" w14:textId="77777777" w:rsidR="004421F6" w:rsidRDefault="004421F6">
            <w:pPr>
              <w:rPr>
                <w:rFonts w:ascii="宋体"/>
              </w:rPr>
            </w:pPr>
          </w:p>
        </w:tc>
        <w:tc>
          <w:tcPr>
            <w:tcW w:w="0" w:type="auto"/>
            <w:shd w:val="clear" w:color="auto" w:fill="auto"/>
          </w:tcPr>
          <w:p w14:paraId="1D0260C4" w14:textId="77777777" w:rsidR="004421F6" w:rsidRDefault="004421F6">
            <w:pPr>
              <w:rPr>
                <w:rFonts w:ascii="宋体"/>
              </w:rPr>
            </w:pPr>
          </w:p>
        </w:tc>
        <w:tc>
          <w:tcPr>
            <w:tcW w:w="0" w:type="auto"/>
            <w:shd w:val="clear" w:color="auto" w:fill="auto"/>
          </w:tcPr>
          <w:p w14:paraId="1D0260C5" w14:textId="77777777" w:rsidR="004421F6" w:rsidRDefault="004421F6">
            <w:pPr>
              <w:rPr>
                <w:rFonts w:ascii="宋体"/>
              </w:rPr>
            </w:pPr>
          </w:p>
        </w:tc>
        <w:tc>
          <w:tcPr>
            <w:tcW w:w="0" w:type="auto"/>
            <w:shd w:val="clear" w:color="auto" w:fill="auto"/>
          </w:tcPr>
          <w:p w14:paraId="1D0260C6" w14:textId="77777777" w:rsidR="004421F6" w:rsidRDefault="004421F6">
            <w:pPr>
              <w:rPr>
                <w:rFonts w:ascii="宋体"/>
              </w:rPr>
            </w:pPr>
          </w:p>
        </w:tc>
        <w:tc>
          <w:tcPr>
            <w:tcW w:w="0" w:type="auto"/>
            <w:shd w:val="clear" w:color="auto" w:fill="auto"/>
          </w:tcPr>
          <w:p w14:paraId="1D0260C7" w14:textId="77777777" w:rsidR="004421F6" w:rsidRDefault="004421F6">
            <w:pPr>
              <w:rPr>
                <w:rFonts w:ascii="宋体"/>
              </w:rPr>
            </w:pPr>
          </w:p>
        </w:tc>
        <w:tc>
          <w:tcPr>
            <w:tcW w:w="0" w:type="auto"/>
            <w:shd w:val="clear" w:color="auto" w:fill="auto"/>
          </w:tcPr>
          <w:p w14:paraId="1D0260C8" w14:textId="77777777" w:rsidR="004421F6" w:rsidRDefault="004421F6">
            <w:pPr>
              <w:rPr>
                <w:rFonts w:ascii="宋体"/>
              </w:rPr>
            </w:pPr>
          </w:p>
        </w:tc>
        <w:tc>
          <w:tcPr>
            <w:tcW w:w="0" w:type="auto"/>
            <w:shd w:val="clear" w:color="auto" w:fill="auto"/>
          </w:tcPr>
          <w:p w14:paraId="1D0260C9" w14:textId="77777777" w:rsidR="004421F6" w:rsidRDefault="004421F6">
            <w:pPr>
              <w:rPr>
                <w:rFonts w:ascii="宋体"/>
              </w:rPr>
            </w:pPr>
          </w:p>
        </w:tc>
        <w:tc>
          <w:tcPr>
            <w:tcW w:w="0" w:type="auto"/>
            <w:shd w:val="clear" w:color="auto" w:fill="auto"/>
          </w:tcPr>
          <w:p w14:paraId="1D0260CA" w14:textId="77777777" w:rsidR="004421F6" w:rsidRDefault="004421F6">
            <w:pPr>
              <w:rPr>
                <w:rFonts w:ascii="宋体"/>
              </w:rPr>
            </w:pPr>
          </w:p>
        </w:tc>
        <w:tc>
          <w:tcPr>
            <w:tcW w:w="0" w:type="auto"/>
            <w:shd w:val="clear" w:color="auto" w:fill="auto"/>
          </w:tcPr>
          <w:p w14:paraId="1D0260CB" w14:textId="77777777" w:rsidR="004421F6" w:rsidRDefault="004421F6">
            <w:pPr>
              <w:rPr>
                <w:rFonts w:ascii="宋体"/>
              </w:rPr>
            </w:pPr>
          </w:p>
        </w:tc>
        <w:tc>
          <w:tcPr>
            <w:tcW w:w="0" w:type="auto"/>
            <w:shd w:val="clear" w:color="auto" w:fill="auto"/>
          </w:tcPr>
          <w:p w14:paraId="1D0260CC" w14:textId="77777777" w:rsidR="004421F6" w:rsidRDefault="004421F6">
            <w:pPr>
              <w:rPr>
                <w:rFonts w:ascii="宋体"/>
              </w:rPr>
            </w:pPr>
          </w:p>
        </w:tc>
        <w:tc>
          <w:tcPr>
            <w:tcW w:w="0" w:type="auto"/>
            <w:shd w:val="clear" w:color="auto" w:fill="auto"/>
          </w:tcPr>
          <w:p w14:paraId="1D0260CD" w14:textId="77777777" w:rsidR="004421F6" w:rsidRDefault="004421F6">
            <w:pPr>
              <w:rPr>
                <w:rFonts w:ascii="宋体"/>
              </w:rPr>
            </w:pPr>
          </w:p>
        </w:tc>
        <w:tc>
          <w:tcPr>
            <w:tcW w:w="0" w:type="auto"/>
            <w:shd w:val="clear" w:color="auto" w:fill="auto"/>
          </w:tcPr>
          <w:p w14:paraId="1D0260CE" w14:textId="77777777" w:rsidR="004421F6" w:rsidRDefault="004421F6">
            <w:pPr>
              <w:rPr>
                <w:rFonts w:ascii="宋体"/>
              </w:rPr>
            </w:pPr>
          </w:p>
        </w:tc>
        <w:tc>
          <w:tcPr>
            <w:tcW w:w="0" w:type="auto"/>
            <w:shd w:val="clear" w:color="auto" w:fill="auto"/>
          </w:tcPr>
          <w:p w14:paraId="1D0260CF" w14:textId="77777777" w:rsidR="004421F6" w:rsidRDefault="004421F6">
            <w:pPr>
              <w:rPr>
                <w:rFonts w:ascii="宋体"/>
              </w:rPr>
            </w:pPr>
          </w:p>
        </w:tc>
        <w:tc>
          <w:tcPr>
            <w:tcW w:w="0" w:type="auto"/>
            <w:shd w:val="clear" w:color="auto" w:fill="auto"/>
          </w:tcPr>
          <w:p w14:paraId="1D0260D0" w14:textId="77777777" w:rsidR="004421F6" w:rsidRDefault="004421F6">
            <w:pPr>
              <w:rPr>
                <w:rFonts w:ascii="宋体"/>
              </w:rPr>
            </w:pPr>
          </w:p>
        </w:tc>
        <w:tc>
          <w:tcPr>
            <w:tcW w:w="0" w:type="auto"/>
            <w:shd w:val="clear" w:color="auto" w:fill="auto"/>
          </w:tcPr>
          <w:p w14:paraId="1D0260D1" w14:textId="77777777" w:rsidR="004421F6" w:rsidRDefault="004421F6">
            <w:pPr>
              <w:rPr>
                <w:rFonts w:ascii="宋体"/>
              </w:rPr>
            </w:pPr>
          </w:p>
        </w:tc>
        <w:tc>
          <w:tcPr>
            <w:tcW w:w="0" w:type="auto"/>
            <w:shd w:val="clear" w:color="auto" w:fill="auto"/>
          </w:tcPr>
          <w:p w14:paraId="1D0260D2" w14:textId="77777777" w:rsidR="004421F6" w:rsidRDefault="004421F6">
            <w:pPr>
              <w:rPr>
                <w:rFonts w:ascii="宋体"/>
              </w:rPr>
            </w:pPr>
          </w:p>
        </w:tc>
        <w:tc>
          <w:tcPr>
            <w:tcW w:w="0" w:type="auto"/>
            <w:shd w:val="clear" w:color="auto" w:fill="auto"/>
          </w:tcPr>
          <w:p w14:paraId="1D0260D3" w14:textId="77777777" w:rsidR="004421F6" w:rsidRDefault="004421F6">
            <w:pPr>
              <w:rPr>
                <w:rFonts w:ascii="宋体"/>
              </w:rPr>
            </w:pPr>
          </w:p>
        </w:tc>
        <w:tc>
          <w:tcPr>
            <w:tcW w:w="0" w:type="auto"/>
            <w:shd w:val="clear" w:color="auto" w:fill="auto"/>
          </w:tcPr>
          <w:p w14:paraId="1D0260D4" w14:textId="77777777" w:rsidR="004421F6" w:rsidRDefault="004421F6">
            <w:pPr>
              <w:rPr>
                <w:rFonts w:ascii="宋体"/>
              </w:rPr>
            </w:pPr>
          </w:p>
        </w:tc>
        <w:tc>
          <w:tcPr>
            <w:tcW w:w="0" w:type="auto"/>
            <w:shd w:val="clear" w:color="auto" w:fill="auto"/>
          </w:tcPr>
          <w:p w14:paraId="1D0260D5" w14:textId="77777777" w:rsidR="004421F6" w:rsidRDefault="004421F6">
            <w:pPr>
              <w:rPr>
                <w:rFonts w:ascii="宋体"/>
              </w:rPr>
            </w:pPr>
          </w:p>
        </w:tc>
        <w:tc>
          <w:tcPr>
            <w:tcW w:w="0" w:type="auto"/>
            <w:shd w:val="clear" w:color="auto" w:fill="auto"/>
          </w:tcPr>
          <w:p w14:paraId="1D0260D6" w14:textId="77777777" w:rsidR="004421F6" w:rsidRDefault="004421F6">
            <w:pPr>
              <w:rPr>
                <w:rFonts w:ascii="宋体"/>
              </w:rPr>
            </w:pPr>
          </w:p>
        </w:tc>
      </w:tr>
      <w:tr w:rsidR="004421F6" w14:paraId="1D026103"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0D8" w14:textId="77777777" w:rsidR="004421F6" w:rsidRDefault="00F1562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D9" w14:textId="77777777" w:rsidR="004421F6" w:rsidRDefault="00F15622">
            <w:pPr>
              <w:jc w:val="right"/>
              <w:textAlignment w:val="bottom"/>
            </w:pPr>
            <w:r>
              <w:rPr>
                <w:rFonts w:ascii="Arial" w:eastAsia="宋体" w:hAnsi="Arial" w:cs="Arial"/>
                <w:color w:val="000000"/>
                <w:sz w:val="17"/>
                <w:szCs w:val="17"/>
              </w:rPr>
              <w:t>143 </w:t>
            </w:r>
          </w:p>
        </w:tc>
        <w:tc>
          <w:tcPr>
            <w:tcW w:w="0" w:type="auto"/>
            <w:tcBorders>
              <w:top w:val="single" w:sz="8" w:space="0" w:color="808080"/>
            </w:tcBorders>
            <w:shd w:val="clear" w:color="auto" w:fill="FFF1E7"/>
            <w:tcMar>
              <w:top w:w="40" w:type="dxa"/>
              <w:bottom w:w="40" w:type="dxa"/>
              <w:right w:w="20" w:type="dxa"/>
            </w:tcMar>
            <w:vAlign w:val="bottom"/>
          </w:tcPr>
          <w:p w14:paraId="1D0260DA"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DB" w14:textId="77777777" w:rsidR="004421F6" w:rsidRDefault="00F15622">
            <w:pPr>
              <w:jc w:val="right"/>
              <w:textAlignment w:val="bottom"/>
            </w:pPr>
            <w:r>
              <w:rPr>
                <w:rFonts w:ascii="Arial" w:eastAsia="宋体" w:hAnsi="Arial" w:cs="Arial"/>
                <w:color w:val="000000"/>
                <w:sz w:val="17"/>
                <w:szCs w:val="17"/>
              </w:rPr>
              <w:t>137 </w:t>
            </w:r>
          </w:p>
        </w:tc>
        <w:tc>
          <w:tcPr>
            <w:tcW w:w="0" w:type="auto"/>
            <w:tcBorders>
              <w:top w:val="single" w:sz="8" w:space="0" w:color="808080"/>
            </w:tcBorders>
            <w:shd w:val="clear" w:color="auto" w:fill="FFF1E7"/>
            <w:tcMar>
              <w:top w:w="40" w:type="dxa"/>
              <w:bottom w:w="40" w:type="dxa"/>
              <w:right w:w="20" w:type="dxa"/>
            </w:tcMar>
            <w:vAlign w:val="bottom"/>
          </w:tcPr>
          <w:p w14:paraId="1D0260DC"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DD" w14:textId="77777777" w:rsidR="004421F6" w:rsidRDefault="00F15622">
            <w:pPr>
              <w:jc w:val="right"/>
              <w:textAlignment w:val="bottom"/>
            </w:pPr>
            <w:r>
              <w:rPr>
                <w:rFonts w:ascii="Arial" w:eastAsia="宋体" w:hAnsi="Arial" w:cs="Arial"/>
                <w:color w:val="000000"/>
                <w:sz w:val="17"/>
                <w:szCs w:val="17"/>
              </w:rPr>
              <w:t>51 </w:t>
            </w:r>
          </w:p>
        </w:tc>
        <w:tc>
          <w:tcPr>
            <w:tcW w:w="0" w:type="auto"/>
            <w:tcBorders>
              <w:top w:val="single" w:sz="8" w:space="0" w:color="808080"/>
            </w:tcBorders>
            <w:shd w:val="clear" w:color="auto" w:fill="FFF1E7"/>
            <w:tcMar>
              <w:top w:w="40" w:type="dxa"/>
              <w:bottom w:w="40" w:type="dxa"/>
              <w:right w:w="20" w:type="dxa"/>
            </w:tcMar>
            <w:vAlign w:val="bottom"/>
          </w:tcPr>
          <w:p w14:paraId="1D0260DE"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DF" w14:textId="77777777" w:rsidR="004421F6" w:rsidRDefault="00F15622">
            <w:pPr>
              <w:jc w:val="right"/>
              <w:textAlignment w:val="bottom"/>
            </w:pPr>
            <w:r>
              <w:rPr>
                <w:rFonts w:ascii="Arial" w:eastAsia="宋体" w:hAnsi="Arial" w:cs="Arial"/>
                <w:color w:val="000000"/>
                <w:sz w:val="17"/>
                <w:szCs w:val="17"/>
              </w:rPr>
              <w:t>40 </w:t>
            </w:r>
          </w:p>
        </w:tc>
        <w:tc>
          <w:tcPr>
            <w:tcW w:w="0" w:type="auto"/>
            <w:tcBorders>
              <w:top w:val="single" w:sz="8" w:space="0" w:color="808080"/>
            </w:tcBorders>
            <w:shd w:val="clear" w:color="auto" w:fill="FFF1E7"/>
            <w:tcMar>
              <w:top w:w="40" w:type="dxa"/>
              <w:bottom w:w="40" w:type="dxa"/>
              <w:right w:w="20" w:type="dxa"/>
            </w:tcMar>
            <w:vAlign w:val="bottom"/>
          </w:tcPr>
          <w:p w14:paraId="1D0260E0"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E1"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0E2"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E3" w14:textId="77777777" w:rsidR="004421F6" w:rsidRDefault="00F15622">
            <w:pPr>
              <w:jc w:val="right"/>
              <w:textAlignment w:val="bottom"/>
            </w:pPr>
            <w:r>
              <w:rPr>
                <w:rFonts w:ascii="Arial" w:eastAsia="宋体" w:hAnsi="Arial" w:cs="Arial"/>
                <w:color w:val="000000"/>
                <w:sz w:val="17"/>
                <w:szCs w:val="17"/>
              </w:rPr>
              <w:t>371 </w:t>
            </w:r>
          </w:p>
        </w:tc>
        <w:tc>
          <w:tcPr>
            <w:tcW w:w="0" w:type="auto"/>
            <w:tcBorders>
              <w:top w:val="single" w:sz="8" w:space="0" w:color="808080"/>
            </w:tcBorders>
            <w:shd w:val="clear" w:color="auto" w:fill="FFF1E7"/>
            <w:tcMar>
              <w:top w:w="40" w:type="dxa"/>
              <w:bottom w:w="40" w:type="dxa"/>
              <w:right w:w="20" w:type="dxa"/>
            </w:tcMar>
            <w:vAlign w:val="bottom"/>
          </w:tcPr>
          <w:p w14:paraId="1D0260E4"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E5" w14:textId="77777777" w:rsidR="004421F6" w:rsidRDefault="00F1562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FFF1E7"/>
            <w:tcMar>
              <w:top w:w="40" w:type="dxa"/>
              <w:bottom w:w="40" w:type="dxa"/>
              <w:right w:w="20" w:type="dxa"/>
            </w:tcMar>
            <w:vAlign w:val="bottom"/>
          </w:tcPr>
          <w:p w14:paraId="1D0260E6"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E7"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0E8"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0E9" w14:textId="77777777" w:rsidR="004421F6" w:rsidRDefault="00F15622">
            <w:pPr>
              <w:jc w:val="right"/>
              <w:textAlignment w:val="bottom"/>
            </w:pPr>
            <w:r>
              <w:rPr>
                <w:rFonts w:ascii="Arial" w:eastAsia="宋体" w:hAnsi="Arial" w:cs="Arial"/>
                <w:color w:val="000000"/>
                <w:sz w:val="17"/>
                <w:szCs w:val="17"/>
              </w:rPr>
              <w:t>380 </w:t>
            </w:r>
          </w:p>
        </w:tc>
        <w:tc>
          <w:tcPr>
            <w:tcW w:w="0" w:type="auto"/>
            <w:tcBorders>
              <w:top w:val="single" w:sz="8" w:space="0" w:color="808080"/>
            </w:tcBorders>
            <w:shd w:val="clear" w:color="auto" w:fill="FFF1E7"/>
            <w:tcMar>
              <w:top w:w="40" w:type="dxa"/>
              <w:bottom w:w="40" w:type="dxa"/>
              <w:right w:w="20" w:type="dxa"/>
            </w:tcMar>
            <w:vAlign w:val="bottom"/>
          </w:tcPr>
          <w:p w14:paraId="1D0260EA" w14:textId="77777777" w:rsidR="004421F6" w:rsidRDefault="004421F6">
            <w:pPr>
              <w:jc w:val="right"/>
              <w:rPr>
                <w:rFonts w:ascii="宋体"/>
              </w:rPr>
            </w:pPr>
          </w:p>
        </w:tc>
        <w:tc>
          <w:tcPr>
            <w:tcW w:w="0" w:type="auto"/>
            <w:shd w:val="clear" w:color="auto" w:fill="auto"/>
          </w:tcPr>
          <w:p w14:paraId="1D0260EB" w14:textId="77777777" w:rsidR="004421F6" w:rsidRDefault="004421F6">
            <w:pPr>
              <w:rPr>
                <w:rFonts w:ascii="宋体"/>
              </w:rPr>
            </w:pPr>
          </w:p>
        </w:tc>
        <w:tc>
          <w:tcPr>
            <w:tcW w:w="0" w:type="auto"/>
            <w:shd w:val="clear" w:color="auto" w:fill="auto"/>
          </w:tcPr>
          <w:p w14:paraId="1D0260EC" w14:textId="77777777" w:rsidR="004421F6" w:rsidRDefault="004421F6">
            <w:pPr>
              <w:rPr>
                <w:rFonts w:ascii="宋体"/>
              </w:rPr>
            </w:pPr>
          </w:p>
        </w:tc>
        <w:tc>
          <w:tcPr>
            <w:tcW w:w="0" w:type="auto"/>
            <w:shd w:val="clear" w:color="auto" w:fill="auto"/>
          </w:tcPr>
          <w:p w14:paraId="1D0260ED" w14:textId="77777777" w:rsidR="004421F6" w:rsidRDefault="004421F6">
            <w:pPr>
              <w:rPr>
                <w:rFonts w:ascii="宋体"/>
              </w:rPr>
            </w:pPr>
          </w:p>
        </w:tc>
        <w:tc>
          <w:tcPr>
            <w:tcW w:w="0" w:type="auto"/>
            <w:shd w:val="clear" w:color="auto" w:fill="auto"/>
          </w:tcPr>
          <w:p w14:paraId="1D0260EE" w14:textId="77777777" w:rsidR="004421F6" w:rsidRDefault="004421F6">
            <w:pPr>
              <w:rPr>
                <w:rFonts w:ascii="宋体"/>
              </w:rPr>
            </w:pPr>
          </w:p>
        </w:tc>
        <w:tc>
          <w:tcPr>
            <w:tcW w:w="0" w:type="auto"/>
            <w:shd w:val="clear" w:color="auto" w:fill="auto"/>
          </w:tcPr>
          <w:p w14:paraId="1D0260EF" w14:textId="77777777" w:rsidR="004421F6" w:rsidRDefault="004421F6">
            <w:pPr>
              <w:rPr>
                <w:rFonts w:ascii="宋体"/>
              </w:rPr>
            </w:pPr>
          </w:p>
        </w:tc>
        <w:tc>
          <w:tcPr>
            <w:tcW w:w="0" w:type="auto"/>
            <w:shd w:val="clear" w:color="auto" w:fill="auto"/>
          </w:tcPr>
          <w:p w14:paraId="1D0260F0" w14:textId="77777777" w:rsidR="004421F6" w:rsidRDefault="004421F6">
            <w:pPr>
              <w:rPr>
                <w:rFonts w:ascii="宋体"/>
              </w:rPr>
            </w:pPr>
          </w:p>
        </w:tc>
        <w:tc>
          <w:tcPr>
            <w:tcW w:w="0" w:type="auto"/>
            <w:shd w:val="clear" w:color="auto" w:fill="auto"/>
          </w:tcPr>
          <w:p w14:paraId="1D0260F1" w14:textId="77777777" w:rsidR="004421F6" w:rsidRDefault="004421F6">
            <w:pPr>
              <w:rPr>
                <w:rFonts w:ascii="宋体"/>
              </w:rPr>
            </w:pPr>
          </w:p>
        </w:tc>
        <w:tc>
          <w:tcPr>
            <w:tcW w:w="0" w:type="auto"/>
            <w:shd w:val="clear" w:color="auto" w:fill="auto"/>
          </w:tcPr>
          <w:p w14:paraId="1D0260F2" w14:textId="77777777" w:rsidR="004421F6" w:rsidRDefault="004421F6">
            <w:pPr>
              <w:rPr>
                <w:rFonts w:ascii="宋体"/>
              </w:rPr>
            </w:pPr>
          </w:p>
        </w:tc>
        <w:tc>
          <w:tcPr>
            <w:tcW w:w="0" w:type="auto"/>
            <w:shd w:val="clear" w:color="auto" w:fill="auto"/>
          </w:tcPr>
          <w:p w14:paraId="1D0260F3" w14:textId="77777777" w:rsidR="004421F6" w:rsidRDefault="004421F6">
            <w:pPr>
              <w:rPr>
                <w:rFonts w:ascii="宋体"/>
              </w:rPr>
            </w:pPr>
          </w:p>
        </w:tc>
        <w:tc>
          <w:tcPr>
            <w:tcW w:w="0" w:type="auto"/>
            <w:shd w:val="clear" w:color="auto" w:fill="auto"/>
          </w:tcPr>
          <w:p w14:paraId="1D0260F4" w14:textId="77777777" w:rsidR="004421F6" w:rsidRDefault="004421F6">
            <w:pPr>
              <w:rPr>
                <w:rFonts w:ascii="宋体"/>
              </w:rPr>
            </w:pPr>
          </w:p>
        </w:tc>
        <w:tc>
          <w:tcPr>
            <w:tcW w:w="0" w:type="auto"/>
            <w:shd w:val="clear" w:color="auto" w:fill="auto"/>
          </w:tcPr>
          <w:p w14:paraId="1D0260F5" w14:textId="77777777" w:rsidR="004421F6" w:rsidRDefault="004421F6">
            <w:pPr>
              <w:rPr>
                <w:rFonts w:ascii="宋体"/>
              </w:rPr>
            </w:pPr>
          </w:p>
        </w:tc>
        <w:tc>
          <w:tcPr>
            <w:tcW w:w="0" w:type="auto"/>
            <w:shd w:val="clear" w:color="auto" w:fill="auto"/>
          </w:tcPr>
          <w:p w14:paraId="1D0260F6" w14:textId="77777777" w:rsidR="004421F6" w:rsidRDefault="004421F6">
            <w:pPr>
              <w:rPr>
                <w:rFonts w:ascii="宋体"/>
              </w:rPr>
            </w:pPr>
          </w:p>
        </w:tc>
        <w:tc>
          <w:tcPr>
            <w:tcW w:w="0" w:type="auto"/>
            <w:shd w:val="clear" w:color="auto" w:fill="auto"/>
          </w:tcPr>
          <w:p w14:paraId="1D0260F7" w14:textId="77777777" w:rsidR="004421F6" w:rsidRDefault="004421F6">
            <w:pPr>
              <w:rPr>
                <w:rFonts w:ascii="宋体"/>
              </w:rPr>
            </w:pPr>
          </w:p>
        </w:tc>
        <w:tc>
          <w:tcPr>
            <w:tcW w:w="0" w:type="auto"/>
            <w:shd w:val="clear" w:color="auto" w:fill="auto"/>
          </w:tcPr>
          <w:p w14:paraId="1D0260F8" w14:textId="77777777" w:rsidR="004421F6" w:rsidRDefault="004421F6">
            <w:pPr>
              <w:rPr>
                <w:rFonts w:ascii="宋体"/>
              </w:rPr>
            </w:pPr>
          </w:p>
        </w:tc>
        <w:tc>
          <w:tcPr>
            <w:tcW w:w="0" w:type="auto"/>
            <w:shd w:val="clear" w:color="auto" w:fill="auto"/>
          </w:tcPr>
          <w:p w14:paraId="1D0260F9" w14:textId="77777777" w:rsidR="004421F6" w:rsidRDefault="004421F6">
            <w:pPr>
              <w:rPr>
                <w:rFonts w:ascii="宋体"/>
              </w:rPr>
            </w:pPr>
          </w:p>
        </w:tc>
        <w:tc>
          <w:tcPr>
            <w:tcW w:w="0" w:type="auto"/>
            <w:shd w:val="clear" w:color="auto" w:fill="auto"/>
          </w:tcPr>
          <w:p w14:paraId="1D0260FA" w14:textId="77777777" w:rsidR="004421F6" w:rsidRDefault="004421F6">
            <w:pPr>
              <w:rPr>
                <w:rFonts w:ascii="宋体"/>
              </w:rPr>
            </w:pPr>
          </w:p>
        </w:tc>
        <w:tc>
          <w:tcPr>
            <w:tcW w:w="0" w:type="auto"/>
            <w:shd w:val="clear" w:color="auto" w:fill="auto"/>
          </w:tcPr>
          <w:p w14:paraId="1D0260FB" w14:textId="77777777" w:rsidR="004421F6" w:rsidRDefault="004421F6">
            <w:pPr>
              <w:rPr>
                <w:rFonts w:ascii="宋体"/>
              </w:rPr>
            </w:pPr>
          </w:p>
        </w:tc>
        <w:tc>
          <w:tcPr>
            <w:tcW w:w="0" w:type="auto"/>
            <w:shd w:val="clear" w:color="auto" w:fill="auto"/>
          </w:tcPr>
          <w:p w14:paraId="1D0260FC" w14:textId="77777777" w:rsidR="004421F6" w:rsidRDefault="004421F6">
            <w:pPr>
              <w:rPr>
                <w:rFonts w:ascii="宋体"/>
              </w:rPr>
            </w:pPr>
          </w:p>
        </w:tc>
        <w:tc>
          <w:tcPr>
            <w:tcW w:w="0" w:type="auto"/>
            <w:shd w:val="clear" w:color="auto" w:fill="auto"/>
          </w:tcPr>
          <w:p w14:paraId="1D0260FD" w14:textId="77777777" w:rsidR="004421F6" w:rsidRDefault="004421F6">
            <w:pPr>
              <w:rPr>
                <w:rFonts w:ascii="宋体"/>
              </w:rPr>
            </w:pPr>
          </w:p>
        </w:tc>
        <w:tc>
          <w:tcPr>
            <w:tcW w:w="0" w:type="auto"/>
            <w:shd w:val="clear" w:color="auto" w:fill="auto"/>
          </w:tcPr>
          <w:p w14:paraId="1D0260FE" w14:textId="77777777" w:rsidR="004421F6" w:rsidRDefault="004421F6">
            <w:pPr>
              <w:rPr>
                <w:rFonts w:ascii="宋体"/>
              </w:rPr>
            </w:pPr>
          </w:p>
        </w:tc>
        <w:tc>
          <w:tcPr>
            <w:tcW w:w="0" w:type="auto"/>
            <w:shd w:val="clear" w:color="auto" w:fill="auto"/>
          </w:tcPr>
          <w:p w14:paraId="1D0260FF" w14:textId="77777777" w:rsidR="004421F6" w:rsidRDefault="004421F6">
            <w:pPr>
              <w:rPr>
                <w:rFonts w:ascii="宋体"/>
              </w:rPr>
            </w:pPr>
          </w:p>
        </w:tc>
        <w:tc>
          <w:tcPr>
            <w:tcW w:w="0" w:type="auto"/>
            <w:shd w:val="clear" w:color="auto" w:fill="auto"/>
          </w:tcPr>
          <w:p w14:paraId="1D026100" w14:textId="77777777" w:rsidR="004421F6" w:rsidRDefault="004421F6">
            <w:pPr>
              <w:rPr>
                <w:rFonts w:ascii="宋体"/>
              </w:rPr>
            </w:pPr>
          </w:p>
        </w:tc>
        <w:tc>
          <w:tcPr>
            <w:tcW w:w="0" w:type="auto"/>
            <w:shd w:val="clear" w:color="auto" w:fill="auto"/>
          </w:tcPr>
          <w:p w14:paraId="1D026101" w14:textId="77777777" w:rsidR="004421F6" w:rsidRDefault="004421F6">
            <w:pPr>
              <w:rPr>
                <w:rFonts w:ascii="宋体"/>
              </w:rPr>
            </w:pPr>
          </w:p>
        </w:tc>
        <w:tc>
          <w:tcPr>
            <w:tcW w:w="0" w:type="auto"/>
            <w:shd w:val="clear" w:color="auto" w:fill="auto"/>
          </w:tcPr>
          <w:p w14:paraId="1D026102" w14:textId="77777777" w:rsidR="004421F6" w:rsidRDefault="004421F6">
            <w:pPr>
              <w:rPr>
                <w:rFonts w:ascii="宋体"/>
              </w:rPr>
            </w:pPr>
          </w:p>
        </w:tc>
      </w:tr>
      <w:tr w:rsidR="004421F6" w14:paraId="1D02612F"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104" w14:textId="77777777" w:rsidR="004421F6" w:rsidRDefault="00F15622">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05"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106"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07"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108"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09"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10A"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0B"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10C"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0D" w14:textId="77777777" w:rsidR="004421F6" w:rsidRDefault="00F1562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FFF1E7"/>
            <w:tcMar>
              <w:top w:w="40" w:type="dxa"/>
              <w:bottom w:w="40" w:type="dxa"/>
              <w:right w:w="20" w:type="dxa"/>
            </w:tcMar>
            <w:vAlign w:val="bottom"/>
          </w:tcPr>
          <w:p w14:paraId="1D02610E"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0F" w14:textId="77777777" w:rsidR="004421F6" w:rsidRDefault="00F1562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FFF1E7"/>
            <w:tcMar>
              <w:top w:w="40" w:type="dxa"/>
              <w:bottom w:w="40" w:type="dxa"/>
              <w:right w:w="20" w:type="dxa"/>
            </w:tcMar>
            <w:vAlign w:val="bottom"/>
          </w:tcPr>
          <w:p w14:paraId="1D026110"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11" w14:textId="77777777" w:rsidR="004421F6" w:rsidRDefault="00F15622">
            <w:pPr>
              <w:jc w:val="right"/>
              <w:textAlignment w:val="bottom"/>
            </w:pPr>
            <w:r>
              <w:rPr>
                <w:rFonts w:ascii="Arial" w:eastAsia="宋体" w:hAnsi="Arial" w:cs="Arial"/>
                <w:color w:val="000000"/>
                <w:sz w:val="17"/>
                <w:szCs w:val="17"/>
              </w:rPr>
              <w:t>19 </w:t>
            </w:r>
          </w:p>
        </w:tc>
        <w:tc>
          <w:tcPr>
            <w:tcW w:w="0" w:type="auto"/>
            <w:tcBorders>
              <w:top w:val="single" w:sz="8" w:space="0" w:color="808080"/>
            </w:tcBorders>
            <w:shd w:val="clear" w:color="auto" w:fill="FFF1E7"/>
            <w:tcMar>
              <w:top w:w="40" w:type="dxa"/>
              <w:bottom w:w="40" w:type="dxa"/>
              <w:right w:w="20" w:type="dxa"/>
            </w:tcMar>
            <w:vAlign w:val="bottom"/>
          </w:tcPr>
          <w:p w14:paraId="1D026112"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13" w14:textId="77777777" w:rsidR="004421F6" w:rsidRDefault="00F15622">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FFF1E7"/>
            <w:tcMar>
              <w:top w:w="40" w:type="dxa"/>
              <w:bottom w:w="40" w:type="dxa"/>
              <w:right w:w="20" w:type="dxa"/>
            </w:tcMar>
            <w:vAlign w:val="bottom"/>
          </w:tcPr>
          <w:p w14:paraId="1D026114"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15" w14:textId="77777777" w:rsidR="004421F6" w:rsidRDefault="00F15622">
            <w:pPr>
              <w:jc w:val="right"/>
              <w:textAlignment w:val="bottom"/>
            </w:pPr>
            <w:r>
              <w:rPr>
                <w:rFonts w:ascii="Arial" w:eastAsia="宋体" w:hAnsi="Arial" w:cs="Arial"/>
                <w:color w:val="000000"/>
                <w:sz w:val="17"/>
                <w:szCs w:val="17"/>
              </w:rPr>
              <w:t>36 </w:t>
            </w:r>
          </w:p>
        </w:tc>
        <w:tc>
          <w:tcPr>
            <w:tcW w:w="0" w:type="auto"/>
            <w:tcBorders>
              <w:top w:val="single" w:sz="8" w:space="0" w:color="808080"/>
            </w:tcBorders>
            <w:shd w:val="clear" w:color="auto" w:fill="FFF1E7"/>
            <w:tcMar>
              <w:top w:w="40" w:type="dxa"/>
              <w:bottom w:w="40" w:type="dxa"/>
              <w:right w:w="20" w:type="dxa"/>
            </w:tcMar>
            <w:vAlign w:val="bottom"/>
          </w:tcPr>
          <w:p w14:paraId="1D026116" w14:textId="77777777" w:rsidR="004421F6" w:rsidRDefault="004421F6">
            <w:pPr>
              <w:jc w:val="right"/>
              <w:rPr>
                <w:rFonts w:ascii="宋体"/>
              </w:rPr>
            </w:pPr>
          </w:p>
        </w:tc>
        <w:tc>
          <w:tcPr>
            <w:tcW w:w="0" w:type="auto"/>
            <w:shd w:val="clear" w:color="auto" w:fill="auto"/>
          </w:tcPr>
          <w:p w14:paraId="1D026117" w14:textId="77777777" w:rsidR="004421F6" w:rsidRDefault="004421F6">
            <w:pPr>
              <w:rPr>
                <w:rFonts w:ascii="宋体"/>
              </w:rPr>
            </w:pPr>
          </w:p>
        </w:tc>
        <w:tc>
          <w:tcPr>
            <w:tcW w:w="0" w:type="auto"/>
            <w:shd w:val="clear" w:color="auto" w:fill="auto"/>
          </w:tcPr>
          <w:p w14:paraId="1D026118" w14:textId="77777777" w:rsidR="004421F6" w:rsidRDefault="004421F6">
            <w:pPr>
              <w:rPr>
                <w:rFonts w:ascii="宋体"/>
              </w:rPr>
            </w:pPr>
          </w:p>
        </w:tc>
        <w:tc>
          <w:tcPr>
            <w:tcW w:w="0" w:type="auto"/>
            <w:shd w:val="clear" w:color="auto" w:fill="auto"/>
          </w:tcPr>
          <w:p w14:paraId="1D026119" w14:textId="77777777" w:rsidR="004421F6" w:rsidRDefault="004421F6">
            <w:pPr>
              <w:rPr>
                <w:rFonts w:ascii="宋体"/>
              </w:rPr>
            </w:pPr>
          </w:p>
        </w:tc>
        <w:tc>
          <w:tcPr>
            <w:tcW w:w="0" w:type="auto"/>
            <w:shd w:val="clear" w:color="auto" w:fill="auto"/>
          </w:tcPr>
          <w:p w14:paraId="1D02611A" w14:textId="77777777" w:rsidR="004421F6" w:rsidRDefault="004421F6">
            <w:pPr>
              <w:rPr>
                <w:rFonts w:ascii="宋体"/>
              </w:rPr>
            </w:pPr>
          </w:p>
        </w:tc>
        <w:tc>
          <w:tcPr>
            <w:tcW w:w="0" w:type="auto"/>
            <w:shd w:val="clear" w:color="auto" w:fill="auto"/>
          </w:tcPr>
          <w:p w14:paraId="1D02611B" w14:textId="77777777" w:rsidR="004421F6" w:rsidRDefault="004421F6">
            <w:pPr>
              <w:rPr>
                <w:rFonts w:ascii="宋体"/>
              </w:rPr>
            </w:pPr>
          </w:p>
        </w:tc>
        <w:tc>
          <w:tcPr>
            <w:tcW w:w="0" w:type="auto"/>
            <w:shd w:val="clear" w:color="auto" w:fill="auto"/>
          </w:tcPr>
          <w:p w14:paraId="1D02611C" w14:textId="77777777" w:rsidR="004421F6" w:rsidRDefault="004421F6">
            <w:pPr>
              <w:rPr>
                <w:rFonts w:ascii="宋体"/>
              </w:rPr>
            </w:pPr>
          </w:p>
        </w:tc>
        <w:tc>
          <w:tcPr>
            <w:tcW w:w="0" w:type="auto"/>
            <w:shd w:val="clear" w:color="auto" w:fill="auto"/>
          </w:tcPr>
          <w:p w14:paraId="1D02611D" w14:textId="77777777" w:rsidR="004421F6" w:rsidRDefault="004421F6">
            <w:pPr>
              <w:rPr>
                <w:rFonts w:ascii="宋体"/>
              </w:rPr>
            </w:pPr>
          </w:p>
        </w:tc>
        <w:tc>
          <w:tcPr>
            <w:tcW w:w="0" w:type="auto"/>
            <w:shd w:val="clear" w:color="auto" w:fill="auto"/>
          </w:tcPr>
          <w:p w14:paraId="1D02611E" w14:textId="77777777" w:rsidR="004421F6" w:rsidRDefault="004421F6">
            <w:pPr>
              <w:rPr>
                <w:rFonts w:ascii="宋体"/>
              </w:rPr>
            </w:pPr>
          </w:p>
        </w:tc>
        <w:tc>
          <w:tcPr>
            <w:tcW w:w="0" w:type="auto"/>
            <w:shd w:val="clear" w:color="auto" w:fill="auto"/>
          </w:tcPr>
          <w:p w14:paraId="1D02611F" w14:textId="77777777" w:rsidR="004421F6" w:rsidRDefault="004421F6">
            <w:pPr>
              <w:rPr>
                <w:rFonts w:ascii="宋体"/>
              </w:rPr>
            </w:pPr>
          </w:p>
        </w:tc>
        <w:tc>
          <w:tcPr>
            <w:tcW w:w="0" w:type="auto"/>
            <w:shd w:val="clear" w:color="auto" w:fill="auto"/>
          </w:tcPr>
          <w:p w14:paraId="1D026120" w14:textId="77777777" w:rsidR="004421F6" w:rsidRDefault="004421F6">
            <w:pPr>
              <w:rPr>
                <w:rFonts w:ascii="宋体"/>
              </w:rPr>
            </w:pPr>
          </w:p>
        </w:tc>
        <w:tc>
          <w:tcPr>
            <w:tcW w:w="0" w:type="auto"/>
            <w:shd w:val="clear" w:color="auto" w:fill="auto"/>
          </w:tcPr>
          <w:p w14:paraId="1D026121" w14:textId="77777777" w:rsidR="004421F6" w:rsidRDefault="004421F6">
            <w:pPr>
              <w:rPr>
                <w:rFonts w:ascii="宋体"/>
              </w:rPr>
            </w:pPr>
          </w:p>
        </w:tc>
        <w:tc>
          <w:tcPr>
            <w:tcW w:w="0" w:type="auto"/>
            <w:shd w:val="clear" w:color="auto" w:fill="auto"/>
          </w:tcPr>
          <w:p w14:paraId="1D026122" w14:textId="77777777" w:rsidR="004421F6" w:rsidRDefault="004421F6">
            <w:pPr>
              <w:rPr>
                <w:rFonts w:ascii="宋体"/>
              </w:rPr>
            </w:pPr>
          </w:p>
        </w:tc>
        <w:tc>
          <w:tcPr>
            <w:tcW w:w="0" w:type="auto"/>
            <w:shd w:val="clear" w:color="auto" w:fill="auto"/>
          </w:tcPr>
          <w:p w14:paraId="1D026123" w14:textId="77777777" w:rsidR="004421F6" w:rsidRDefault="004421F6">
            <w:pPr>
              <w:rPr>
                <w:rFonts w:ascii="宋体"/>
              </w:rPr>
            </w:pPr>
          </w:p>
        </w:tc>
        <w:tc>
          <w:tcPr>
            <w:tcW w:w="0" w:type="auto"/>
            <w:shd w:val="clear" w:color="auto" w:fill="auto"/>
          </w:tcPr>
          <w:p w14:paraId="1D026124" w14:textId="77777777" w:rsidR="004421F6" w:rsidRDefault="004421F6">
            <w:pPr>
              <w:rPr>
                <w:rFonts w:ascii="宋体"/>
              </w:rPr>
            </w:pPr>
          </w:p>
        </w:tc>
        <w:tc>
          <w:tcPr>
            <w:tcW w:w="0" w:type="auto"/>
            <w:shd w:val="clear" w:color="auto" w:fill="auto"/>
          </w:tcPr>
          <w:p w14:paraId="1D026125" w14:textId="77777777" w:rsidR="004421F6" w:rsidRDefault="004421F6">
            <w:pPr>
              <w:rPr>
                <w:rFonts w:ascii="宋体"/>
              </w:rPr>
            </w:pPr>
          </w:p>
        </w:tc>
        <w:tc>
          <w:tcPr>
            <w:tcW w:w="0" w:type="auto"/>
            <w:shd w:val="clear" w:color="auto" w:fill="auto"/>
          </w:tcPr>
          <w:p w14:paraId="1D026126" w14:textId="77777777" w:rsidR="004421F6" w:rsidRDefault="004421F6">
            <w:pPr>
              <w:rPr>
                <w:rFonts w:ascii="宋体"/>
              </w:rPr>
            </w:pPr>
          </w:p>
        </w:tc>
        <w:tc>
          <w:tcPr>
            <w:tcW w:w="0" w:type="auto"/>
            <w:shd w:val="clear" w:color="auto" w:fill="auto"/>
          </w:tcPr>
          <w:p w14:paraId="1D026127" w14:textId="77777777" w:rsidR="004421F6" w:rsidRDefault="004421F6">
            <w:pPr>
              <w:rPr>
                <w:rFonts w:ascii="宋体"/>
              </w:rPr>
            </w:pPr>
          </w:p>
        </w:tc>
        <w:tc>
          <w:tcPr>
            <w:tcW w:w="0" w:type="auto"/>
            <w:shd w:val="clear" w:color="auto" w:fill="auto"/>
          </w:tcPr>
          <w:p w14:paraId="1D026128" w14:textId="77777777" w:rsidR="004421F6" w:rsidRDefault="004421F6">
            <w:pPr>
              <w:rPr>
                <w:rFonts w:ascii="宋体"/>
              </w:rPr>
            </w:pPr>
          </w:p>
        </w:tc>
        <w:tc>
          <w:tcPr>
            <w:tcW w:w="0" w:type="auto"/>
            <w:shd w:val="clear" w:color="auto" w:fill="auto"/>
          </w:tcPr>
          <w:p w14:paraId="1D026129" w14:textId="77777777" w:rsidR="004421F6" w:rsidRDefault="004421F6">
            <w:pPr>
              <w:rPr>
                <w:rFonts w:ascii="宋体"/>
              </w:rPr>
            </w:pPr>
          </w:p>
        </w:tc>
        <w:tc>
          <w:tcPr>
            <w:tcW w:w="0" w:type="auto"/>
            <w:shd w:val="clear" w:color="auto" w:fill="auto"/>
          </w:tcPr>
          <w:p w14:paraId="1D02612A" w14:textId="77777777" w:rsidR="004421F6" w:rsidRDefault="004421F6">
            <w:pPr>
              <w:rPr>
                <w:rFonts w:ascii="宋体"/>
              </w:rPr>
            </w:pPr>
          </w:p>
        </w:tc>
        <w:tc>
          <w:tcPr>
            <w:tcW w:w="0" w:type="auto"/>
            <w:shd w:val="clear" w:color="auto" w:fill="auto"/>
          </w:tcPr>
          <w:p w14:paraId="1D02612B" w14:textId="77777777" w:rsidR="004421F6" w:rsidRDefault="004421F6">
            <w:pPr>
              <w:rPr>
                <w:rFonts w:ascii="宋体"/>
              </w:rPr>
            </w:pPr>
          </w:p>
        </w:tc>
        <w:tc>
          <w:tcPr>
            <w:tcW w:w="0" w:type="auto"/>
            <w:shd w:val="clear" w:color="auto" w:fill="auto"/>
          </w:tcPr>
          <w:p w14:paraId="1D02612C" w14:textId="77777777" w:rsidR="004421F6" w:rsidRDefault="004421F6">
            <w:pPr>
              <w:rPr>
                <w:rFonts w:ascii="宋体"/>
              </w:rPr>
            </w:pPr>
          </w:p>
        </w:tc>
        <w:tc>
          <w:tcPr>
            <w:tcW w:w="0" w:type="auto"/>
            <w:shd w:val="clear" w:color="auto" w:fill="auto"/>
          </w:tcPr>
          <w:p w14:paraId="1D02612D" w14:textId="77777777" w:rsidR="004421F6" w:rsidRDefault="004421F6">
            <w:pPr>
              <w:rPr>
                <w:rFonts w:ascii="宋体"/>
              </w:rPr>
            </w:pPr>
          </w:p>
        </w:tc>
        <w:tc>
          <w:tcPr>
            <w:tcW w:w="0" w:type="auto"/>
            <w:shd w:val="clear" w:color="auto" w:fill="auto"/>
          </w:tcPr>
          <w:p w14:paraId="1D02612E" w14:textId="77777777" w:rsidR="004421F6" w:rsidRDefault="004421F6">
            <w:pPr>
              <w:rPr>
                <w:rFonts w:ascii="宋体"/>
              </w:rPr>
            </w:pPr>
          </w:p>
        </w:tc>
      </w:tr>
      <w:tr w:rsidR="004421F6" w14:paraId="1D02616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130" w14:textId="77777777" w:rsidR="004421F6" w:rsidRDefault="00F1562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tcMar>
            <w:vAlign w:val="bottom"/>
          </w:tcPr>
          <w:p w14:paraId="1D026131"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132" w14:textId="77777777" w:rsidR="004421F6" w:rsidRDefault="00F15622">
            <w:pPr>
              <w:jc w:val="right"/>
              <w:textAlignment w:val="bottom"/>
            </w:pPr>
            <w:r>
              <w:rPr>
                <w:rFonts w:ascii="Arial" w:eastAsia="宋体" w:hAnsi="Arial" w:cs="Arial"/>
                <w:b/>
                <w:bCs/>
                <w:color w:val="000000"/>
                <w:sz w:val="17"/>
                <w:szCs w:val="17"/>
              </w:rPr>
              <w:t>4,225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133" w14:textId="77777777" w:rsidR="004421F6" w:rsidRDefault="004421F6">
            <w:pPr>
              <w:jc w:val="right"/>
              <w:rPr>
                <w:rFonts w:ascii="宋体"/>
              </w:rPr>
            </w:pPr>
          </w:p>
        </w:tc>
        <w:tc>
          <w:tcPr>
            <w:tcW w:w="0" w:type="auto"/>
            <w:tcBorders>
              <w:top w:val="single" w:sz="8" w:space="0" w:color="E87722"/>
            </w:tcBorders>
            <w:shd w:val="clear" w:color="auto" w:fill="FFF1E7"/>
            <w:tcMar>
              <w:top w:w="40" w:type="dxa"/>
              <w:left w:w="20" w:type="dxa"/>
              <w:bottom w:w="40" w:type="dxa"/>
            </w:tcMar>
            <w:vAlign w:val="bottom"/>
          </w:tcPr>
          <w:p w14:paraId="1D026134"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135" w14:textId="77777777" w:rsidR="004421F6" w:rsidRDefault="00F15622">
            <w:pPr>
              <w:jc w:val="right"/>
              <w:textAlignment w:val="bottom"/>
            </w:pPr>
            <w:r>
              <w:rPr>
                <w:rFonts w:ascii="Arial" w:eastAsia="宋体" w:hAnsi="Arial" w:cs="Arial"/>
                <w:b/>
                <w:bCs/>
                <w:color w:val="000000"/>
                <w:sz w:val="17"/>
                <w:szCs w:val="17"/>
              </w:rPr>
              <w:t>2,910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136" w14:textId="77777777" w:rsidR="004421F6" w:rsidRDefault="004421F6">
            <w:pPr>
              <w:jc w:val="right"/>
              <w:rPr>
                <w:rFonts w:ascii="宋体"/>
              </w:rPr>
            </w:pPr>
          </w:p>
        </w:tc>
        <w:tc>
          <w:tcPr>
            <w:tcW w:w="0" w:type="auto"/>
            <w:tcBorders>
              <w:top w:val="single" w:sz="8" w:space="0" w:color="E87722"/>
            </w:tcBorders>
            <w:shd w:val="clear" w:color="auto" w:fill="FFF1E7"/>
            <w:tcMar>
              <w:top w:w="40" w:type="dxa"/>
              <w:left w:w="20" w:type="dxa"/>
              <w:bottom w:w="40" w:type="dxa"/>
            </w:tcMar>
            <w:vAlign w:val="bottom"/>
          </w:tcPr>
          <w:p w14:paraId="1D026137"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138" w14:textId="77777777" w:rsidR="004421F6" w:rsidRDefault="00F15622">
            <w:pPr>
              <w:jc w:val="right"/>
              <w:textAlignment w:val="bottom"/>
            </w:pPr>
            <w:r>
              <w:rPr>
                <w:rFonts w:ascii="Arial" w:eastAsia="宋体" w:hAnsi="Arial" w:cs="Arial"/>
                <w:b/>
                <w:bCs/>
                <w:color w:val="000000"/>
                <w:sz w:val="17"/>
                <w:szCs w:val="17"/>
              </w:rPr>
              <w:t>1,780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139" w14:textId="77777777" w:rsidR="004421F6" w:rsidRDefault="004421F6">
            <w:pPr>
              <w:jc w:val="right"/>
              <w:rPr>
                <w:rFonts w:ascii="宋体"/>
              </w:rPr>
            </w:pPr>
          </w:p>
        </w:tc>
        <w:tc>
          <w:tcPr>
            <w:tcW w:w="0" w:type="auto"/>
            <w:tcBorders>
              <w:top w:val="single" w:sz="8" w:space="0" w:color="E87722"/>
            </w:tcBorders>
            <w:shd w:val="clear" w:color="auto" w:fill="FFF1E7"/>
            <w:tcMar>
              <w:top w:w="40" w:type="dxa"/>
              <w:left w:w="20" w:type="dxa"/>
              <w:bottom w:w="40" w:type="dxa"/>
            </w:tcMar>
            <w:vAlign w:val="bottom"/>
          </w:tcPr>
          <w:p w14:paraId="1D02613A"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13B" w14:textId="77777777" w:rsidR="004421F6" w:rsidRDefault="00F15622">
            <w:pPr>
              <w:jc w:val="right"/>
              <w:textAlignment w:val="bottom"/>
            </w:pPr>
            <w:r>
              <w:rPr>
                <w:rFonts w:ascii="Arial" w:eastAsia="宋体" w:hAnsi="Arial" w:cs="Arial"/>
                <w:b/>
                <w:bCs/>
                <w:color w:val="000000"/>
                <w:sz w:val="17"/>
                <w:szCs w:val="17"/>
              </w:rPr>
              <w:t>1,099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13C" w14:textId="77777777" w:rsidR="004421F6" w:rsidRDefault="004421F6">
            <w:pPr>
              <w:jc w:val="right"/>
              <w:rPr>
                <w:rFonts w:ascii="宋体"/>
              </w:rPr>
            </w:pPr>
          </w:p>
        </w:tc>
        <w:tc>
          <w:tcPr>
            <w:tcW w:w="0" w:type="auto"/>
            <w:tcBorders>
              <w:top w:val="single" w:sz="8" w:space="0" w:color="E87722"/>
            </w:tcBorders>
            <w:shd w:val="clear" w:color="auto" w:fill="FFF1E7"/>
            <w:tcMar>
              <w:top w:w="40" w:type="dxa"/>
              <w:left w:w="20" w:type="dxa"/>
              <w:bottom w:w="40" w:type="dxa"/>
            </w:tcMar>
            <w:vAlign w:val="bottom"/>
          </w:tcPr>
          <w:p w14:paraId="1D02613D"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13E" w14:textId="77777777" w:rsidR="004421F6" w:rsidRDefault="00F15622">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13F" w14:textId="77777777" w:rsidR="004421F6" w:rsidRDefault="004421F6">
            <w:pPr>
              <w:jc w:val="right"/>
              <w:rPr>
                <w:rFonts w:ascii="宋体"/>
              </w:rPr>
            </w:pPr>
          </w:p>
        </w:tc>
        <w:tc>
          <w:tcPr>
            <w:tcW w:w="0" w:type="auto"/>
            <w:tcBorders>
              <w:top w:val="single" w:sz="8" w:space="0" w:color="E87722"/>
            </w:tcBorders>
            <w:shd w:val="clear" w:color="auto" w:fill="FFF1E7"/>
            <w:tcMar>
              <w:top w:w="40" w:type="dxa"/>
              <w:left w:w="20" w:type="dxa"/>
              <w:bottom w:w="40" w:type="dxa"/>
            </w:tcMar>
            <w:vAlign w:val="bottom"/>
          </w:tcPr>
          <w:p w14:paraId="1D026140"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141" w14:textId="77777777" w:rsidR="004421F6" w:rsidRDefault="00F15622">
            <w:pPr>
              <w:jc w:val="right"/>
              <w:textAlignment w:val="bottom"/>
            </w:pPr>
            <w:r>
              <w:rPr>
                <w:rFonts w:ascii="Arial" w:eastAsia="宋体" w:hAnsi="Arial" w:cs="Arial"/>
                <w:b/>
                <w:bCs/>
                <w:color w:val="000000"/>
                <w:sz w:val="17"/>
                <w:szCs w:val="17"/>
              </w:rPr>
              <w:t>10,018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142" w14:textId="77777777" w:rsidR="004421F6" w:rsidRDefault="004421F6">
            <w:pPr>
              <w:jc w:val="right"/>
              <w:rPr>
                <w:rFonts w:ascii="宋体"/>
              </w:rPr>
            </w:pPr>
          </w:p>
        </w:tc>
        <w:tc>
          <w:tcPr>
            <w:tcW w:w="0" w:type="auto"/>
            <w:tcBorders>
              <w:top w:val="single" w:sz="8" w:space="0" w:color="E87722"/>
            </w:tcBorders>
            <w:shd w:val="clear" w:color="auto" w:fill="FFF1E7"/>
            <w:tcMar>
              <w:top w:w="40" w:type="dxa"/>
              <w:left w:w="20" w:type="dxa"/>
              <w:bottom w:w="40" w:type="dxa"/>
            </w:tcMar>
            <w:vAlign w:val="bottom"/>
          </w:tcPr>
          <w:p w14:paraId="1D026143"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144" w14:textId="77777777" w:rsidR="004421F6" w:rsidRDefault="00F15622">
            <w:pPr>
              <w:jc w:val="right"/>
              <w:textAlignment w:val="bottom"/>
            </w:pPr>
            <w:r>
              <w:rPr>
                <w:rFonts w:ascii="Arial" w:eastAsia="宋体" w:hAnsi="Arial" w:cs="Arial"/>
                <w:b/>
                <w:bCs/>
                <w:color w:val="000000"/>
                <w:sz w:val="17"/>
                <w:szCs w:val="17"/>
              </w:rPr>
              <w:t>563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145" w14:textId="77777777" w:rsidR="004421F6" w:rsidRDefault="004421F6">
            <w:pPr>
              <w:jc w:val="right"/>
              <w:rPr>
                <w:rFonts w:ascii="宋体"/>
              </w:rPr>
            </w:pPr>
          </w:p>
        </w:tc>
        <w:tc>
          <w:tcPr>
            <w:tcW w:w="0" w:type="auto"/>
            <w:tcBorders>
              <w:top w:val="single" w:sz="8" w:space="0" w:color="E87722"/>
            </w:tcBorders>
            <w:shd w:val="clear" w:color="auto" w:fill="FFF1E7"/>
            <w:tcMar>
              <w:top w:w="40" w:type="dxa"/>
              <w:left w:w="20" w:type="dxa"/>
              <w:bottom w:w="40" w:type="dxa"/>
            </w:tcMar>
            <w:vAlign w:val="bottom"/>
          </w:tcPr>
          <w:p w14:paraId="1D026146"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147" w14:textId="77777777" w:rsidR="004421F6" w:rsidRDefault="00F15622">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148" w14:textId="77777777" w:rsidR="004421F6" w:rsidRDefault="004421F6">
            <w:pPr>
              <w:jc w:val="right"/>
              <w:rPr>
                <w:rFonts w:ascii="宋体"/>
              </w:rPr>
            </w:pPr>
          </w:p>
        </w:tc>
        <w:tc>
          <w:tcPr>
            <w:tcW w:w="0" w:type="auto"/>
            <w:tcBorders>
              <w:top w:val="single" w:sz="8" w:space="0" w:color="E87722"/>
            </w:tcBorders>
            <w:shd w:val="clear" w:color="auto" w:fill="FFF1E7"/>
            <w:tcMar>
              <w:top w:w="40" w:type="dxa"/>
              <w:left w:w="20" w:type="dxa"/>
              <w:bottom w:w="40" w:type="dxa"/>
            </w:tcMar>
            <w:vAlign w:val="bottom"/>
          </w:tcPr>
          <w:p w14:paraId="1D026149"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14A" w14:textId="77777777" w:rsidR="004421F6" w:rsidRDefault="00F15622">
            <w:pPr>
              <w:jc w:val="right"/>
              <w:textAlignment w:val="bottom"/>
            </w:pPr>
            <w:r>
              <w:rPr>
                <w:rFonts w:ascii="Arial" w:eastAsia="宋体" w:hAnsi="Arial" w:cs="Arial"/>
                <w:b/>
                <w:bCs/>
                <w:color w:val="000000"/>
                <w:sz w:val="17"/>
                <w:szCs w:val="17"/>
              </w:rPr>
              <w:t>10,594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14B" w14:textId="77777777" w:rsidR="004421F6" w:rsidRDefault="004421F6">
            <w:pPr>
              <w:jc w:val="right"/>
              <w:rPr>
                <w:rFonts w:ascii="宋体"/>
              </w:rPr>
            </w:pPr>
          </w:p>
        </w:tc>
        <w:tc>
          <w:tcPr>
            <w:tcW w:w="0" w:type="auto"/>
            <w:shd w:val="clear" w:color="auto" w:fill="auto"/>
          </w:tcPr>
          <w:p w14:paraId="1D02614C" w14:textId="77777777" w:rsidR="004421F6" w:rsidRDefault="004421F6">
            <w:pPr>
              <w:rPr>
                <w:rFonts w:ascii="宋体"/>
              </w:rPr>
            </w:pPr>
          </w:p>
        </w:tc>
        <w:tc>
          <w:tcPr>
            <w:tcW w:w="0" w:type="auto"/>
            <w:shd w:val="clear" w:color="auto" w:fill="auto"/>
          </w:tcPr>
          <w:p w14:paraId="1D02614D" w14:textId="77777777" w:rsidR="004421F6" w:rsidRDefault="004421F6">
            <w:pPr>
              <w:rPr>
                <w:rFonts w:ascii="宋体"/>
              </w:rPr>
            </w:pPr>
          </w:p>
        </w:tc>
        <w:tc>
          <w:tcPr>
            <w:tcW w:w="0" w:type="auto"/>
            <w:shd w:val="clear" w:color="auto" w:fill="auto"/>
          </w:tcPr>
          <w:p w14:paraId="1D02614E" w14:textId="77777777" w:rsidR="004421F6" w:rsidRDefault="004421F6">
            <w:pPr>
              <w:rPr>
                <w:rFonts w:ascii="宋体"/>
              </w:rPr>
            </w:pPr>
          </w:p>
        </w:tc>
        <w:tc>
          <w:tcPr>
            <w:tcW w:w="0" w:type="auto"/>
            <w:shd w:val="clear" w:color="auto" w:fill="auto"/>
          </w:tcPr>
          <w:p w14:paraId="1D02614F" w14:textId="77777777" w:rsidR="004421F6" w:rsidRDefault="004421F6">
            <w:pPr>
              <w:rPr>
                <w:rFonts w:ascii="宋体"/>
              </w:rPr>
            </w:pPr>
          </w:p>
        </w:tc>
        <w:tc>
          <w:tcPr>
            <w:tcW w:w="0" w:type="auto"/>
            <w:shd w:val="clear" w:color="auto" w:fill="auto"/>
          </w:tcPr>
          <w:p w14:paraId="1D026150" w14:textId="77777777" w:rsidR="004421F6" w:rsidRDefault="004421F6">
            <w:pPr>
              <w:rPr>
                <w:rFonts w:ascii="宋体"/>
              </w:rPr>
            </w:pPr>
          </w:p>
        </w:tc>
        <w:tc>
          <w:tcPr>
            <w:tcW w:w="0" w:type="auto"/>
            <w:shd w:val="clear" w:color="auto" w:fill="auto"/>
          </w:tcPr>
          <w:p w14:paraId="1D026151" w14:textId="77777777" w:rsidR="004421F6" w:rsidRDefault="004421F6">
            <w:pPr>
              <w:rPr>
                <w:rFonts w:ascii="宋体"/>
              </w:rPr>
            </w:pPr>
          </w:p>
        </w:tc>
        <w:tc>
          <w:tcPr>
            <w:tcW w:w="0" w:type="auto"/>
            <w:shd w:val="clear" w:color="auto" w:fill="auto"/>
          </w:tcPr>
          <w:p w14:paraId="1D026152" w14:textId="77777777" w:rsidR="004421F6" w:rsidRDefault="004421F6">
            <w:pPr>
              <w:rPr>
                <w:rFonts w:ascii="宋体"/>
              </w:rPr>
            </w:pPr>
          </w:p>
        </w:tc>
        <w:tc>
          <w:tcPr>
            <w:tcW w:w="0" w:type="auto"/>
            <w:shd w:val="clear" w:color="auto" w:fill="auto"/>
          </w:tcPr>
          <w:p w14:paraId="1D026153" w14:textId="77777777" w:rsidR="004421F6" w:rsidRDefault="004421F6">
            <w:pPr>
              <w:rPr>
                <w:rFonts w:ascii="宋体"/>
              </w:rPr>
            </w:pPr>
          </w:p>
        </w:tc>
        <w:tc>
          <w:tcPr>
            <w:tcW w:w="0" w:type="auto"/>
            <w:shd w:val="clear" w:color="auto" w:fill="auto"/>
          </w:tcPr>
          <w:p w14:paraId="1D026154" w14:textId="77777777" w:rsidR="004421F6" w:rsidRDefault="004421F6">
            <w:pPr>
              <w:rPr>
                <w:rFonts w:ascii="宋体"/>
              </w:rPr>
            </w:pPr>
          </w:p>
        </w:tc>
        <w:tc>
          <w:tcPr>
            <w:tcW w:w="0" w:type="auto"/>
            <w:shd w:val="clear" w:color="auto" w:fill="auto"/>
          </w:tcPr>
          <w:p w14:paraId="1D026155" w14:textId="77777777" w:rsidR="004421F6" w:rsidRDefault="004421F6">
            <w:pPr>
              <w:rPr>
                <w:rFonts w:ascii="宋体"/>
              </w:rPr>
            </w:pPr>
          </w:p>
        </w:tc>
        <w:tc>
          <w:tcPr>
            <w:tcW w:w="0" w:type="auto"/>
            <w:shd w:val="clear" w:color="auto" w:fill="auto"/>
          </w:tcPr>
          <w:p w14:paraId="1D026156" w14:textId="77777777" w:rsidR="004421F6" w:rsidRDefault="004421F6">
            <w:pPr>
              <w:rPr>
                <w:rFonts w:ascii="宋体"/>
              </w:rPr>
            </w:pPr>
          </w:p>
        </w:tc>
        <w:tc>
          <w:tcPr>
            <w:tcW w:w="0" w:type="auto"/>
            <w:shd w:val="clear" w:color="auto" w:fill="auto"/>
          </w:tcPr>
          <w:p w14:paraId="1D026157" w14:textId="77777777" w:rsidR="004421F6" w:rsidRDefault="004421F6">
            <w:pPr>
              <w:rPr>
                <w:rFonts w:ascii="宋体"/>
              </w:rPr>
            </w:pPr>
          </w:p>
        </w:tc>
        <w:tc>
          <w:tcPr>
            <w:tcW w:w="0" w:type="auto"/>
            <w:shd w:val="clear" w:color="auto" w:fill="auto"/>
          </w:tcPr>
          <w:p w14:paraId="1D026158" w14:textId="77777777" w:rsidR="004421F6" w:rsidRDefault="004421F6">
            <w:pPr>
              <w:rPr>
                <w:rFonts w:ascii="宋体"/>
              </w:rPr>
            </w:pPr>
          </w:p>
        </w:tc>
        <w:tc>
          <w:tcPr>
            <w:tcW w:w="0" w:type="auto"/>
            <w:shd w:val="clear" w:color="auto" w:fill="auto"/>
          </w:tcPr>
          <w:p w14:paraId="1D026159" w14:textId="77777777" w:rsidR="004421F6" w:rsidRDefault="004421F6">
            <w:pPr>
              <w:rPr>
                <w:rFonts w:ascii="宋体"/>
              </w:rPr>
            </w:pPr>
          </w:p>
        </w:tc>
        <w:tc>
          <w:tcPr>
            <w:tcW w:w="0" w:type="auto"/>
            <w:shd w:val="clear" w:color="auto" w:fill="auto"/>
          </w:tcPr>
          <w:p w14:paraId="1D02615A" w14:textId="77777777" w:rsidR="004421F6" w:rsidRDefault="004421F6">
            <w:pPr>
              <w:rPr>
                <w:rFonts w:ascii="宋体"/>
              </w:rPr>
            </w:pPr>
          </w:p>
        </w:tc>
        <w:tc>
          <w:tcPr>
            <w:tcW w:w="0" w:type="auto"/>
            <w:shd w:val="clear" w:color="auto" w:fill="auto"/>
          </w:tcPr>
          <w:p w14:paraId="1D02615B" w14:textId="77777777" w:rsidR="004421F6" w:rsidRDefault="004421F6">
            <w:pPr>
              <w:rPr>
                <w:rFonts w:ascii="宋体"/>
              </w:rPr>
            </w:pPr>
          </w:p>
        </w:tc>
        <w:tc>
          <w:tcPr>
            <w:tcW w:w="0" w:type="auto"/>
            <w:shd w:val="clear" w:color="auto" w:fill="auto"/>
          </w:tcPr>
          <w:p w14:paraId="1D02615C" w14:textId="77777777" w:rsidR="004421F6" w:rsidRDefault="004421F6">
            <w:pPr>
              <w:rPr>
                <w:rFonts w:ascii="宋体"/>
              </w:rPr>
            </w:pPr>
          </w:p>
        </w:tc>
        <w:tc>
          <w:tcPr>
            <w:tcW w:w="0" w:type="auto"/>
            <w:shd w:val="clear" w:color="auto" w:fill="auto"/>
          </w:tcPr>
          <w:p w14:paraId="1D02615D" w14:textId="77777777" w:rsidR="004421F6" w:rsidRDefault="004421F6">
            <w:pPr>
              <w:rPr>
                <w:rFonts w:ascii="宋体"/>
              </w:rPr>
            </w:pPr>
          </w:p>
        </w:tc>
        <w:tc>
          <w:tcPr>
            <w:tcW w:w="0" w:type="auto"/>
            <w:shd w:val="clear" w:color="auto" w:fill="auto"/>
          </w:tcPr>
          <w:p w14:paraId="1D02615E" w14:textId="77777777" w:rsidR="004421F6" w:rsidRDefault="004421F6">
            <w:pPr>
              <w:rPr>
                <w:rFonts w:ascii="宋体"/>
              </w:rPr>
            </w:pPr>
          </w:p>
        </w:tc>
        <w:tc>
          <w:tcPr>
            <w:tcW w:w="0" w:type="auto"/>
            <w:shd w:val="clear" w:color="auto" w:fill="auto"/>
          </w:tcPr>
          <w:p w14:paraId="1D02615F" w14:textId="77777777" w:rsidR="004421F6" w:rsidRDefault="004421F6">
            <w:pPr>
              <w:rPr>
                <w:rFonts w:ascii="宋体"/>
              </w:rPr>
            </w:pPr>
          </w:p>
        </w:tc>
        <w:tc>
          <w:tcPr>
            <w:tcW w:w="0" w:type="auto"/>
            <w:shd w:val="clear" w:color="auto" w:fill="auto"/>
          </w:tcPr>
          <w:p w14:paraId="1D026160" w14:textId="77777777" w:rsidR="004421F6" w:rsidRDefault="004421F6">
            <w:pPr>
              <w:rPr>
                <w:rFonts w:ascii="宋体"/>
              </w:rPr>
            </w:pPr>
          </w:p>
        </w:tc>
        <w:tc>
          <w:tcPr>
            <w:tcW w:w="0" w:type="auto"/>
            <w:shd w:val="clear" w:color="auto" w:fill="auto"/>
          </w:tcPr>
          <w:p w14:paraId="1D026161" w14:textId="77777777" w:rsidR="004421F6" w:rsidRDefault="004421F6">
            <w:pPr>
              <w:rPr>
                <w:rFonts w:ascii="宋体"/>
              </w:rPr>
            </w:pPr>
          </w:p>
        </w:tc>
        <w:tc>
          <w:tcPr>
            <w:tcW w:w="0" w:type="auto"/>
            <w:shd w:val="clear" w:color="auto" w:fill="auto"/>
          </w:tcPr>
          <w:p w14:paraId="1D026162" w14:textId="77777777" w:rsidR="004421F6" w:rsidRDefault="004421F6">
            <w:pPr>
              <w:rPr>
                <w:rFonts w:ascii="宋体"/>
              </w:rPr>
            </w:pPr>
          </w:p>
        </w:tc>
        <w:tc>
          <w:tcPr>
            <w:tcW w:w="0" w:type="auto"/>
            <w:shd w:val="clear" w:color="auto" w:fill="auto"/>
          </w:tcPr>
          <w:p w14:paraId="1D026163" w14:textId="77777777" w:rsidR="004421F6" w:rsidRDefault="004421F6">
            <w:pPr>
              <w:rPr>
                <w:rFonts w:ascii="宋体"/>
              </w:rPr>
            </w:pPr>
          </w:p>
        </w:tc>
      </w:tr>
      <w:tr w:rsidR="004421F6" w14:paraId="1D02618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165" w14:textId="77777777" w:rsidR="004421F6" w:rsidRDefault="00F1562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left w:w="20" w:type="dxa"/>
              <w:right w:w="20" w:type="dxa"/>
            </w:tcMar>
            <w:vAlign w:val="bottom"/>
          </w:tcPr>
          <w:p w14:paraId="1D026166"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6167"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6168"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6169"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616A"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616B"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616C"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616D" w14:textId="77777777" w:rsidR="004421F6" w:rsidRDefault="004421F6">
            <w:pPr>
              <w:rPr>
                <w:rFonts w:ascii="宋体"/>
              </w:rPr>
            </w:pPr>
          </w:p>
        </w:tc>
        <w:tc>
          <w:tcPr>
            <w:tcW w:w="0" w:type="auto"/>
            <w:gridSpan w:val="3"/>
            <w:tcBorders>
              <w:top w:val="single" w:sz="8" w:space="0" w:color="E87722"/>
            </w:tcBorders>
            <w:shd w:val="clear" w:color="auto" w:fill="FFF1E7"/>
            <w:tcMar>
              <w:left w:w="20" w:type="dxa"/>
              <w:right w:w="20" w:type="dxa"/>
            </w:tcMar>
            <w:vAlign w:val="bottom"/>
          </w:tcPr>
          <w:p w14:paraId="1D02616E" w14:textId="77777777" w:rsidR="004421F6" w:rsidRDefault="004421F6">
            <w:pPr>
              <w:rPr>
                <w:rFonts w:ascii="宋体"/>
              </w:rPr>
            </w:pPr>
          </w:p>
        </w:tc>
        <w:tc>
          <w:tcPr>
            <w:tcW w:w="0" w:type="auto"/>
            <w:shd w:val="clear" w:color="auto" w:fill="auto"/>
          </w:tcPr>
          <w:p w14:paraId="1D02616F" w14:textId="77777777" w:rsidR="004421F6" w:rsidRDefault="004421F6">
            <w:pPr>
              <w:rPr>
                <w:rFonts w:ascii="宋体"/>
              </w:rPr>
            </w:pPr>
          </w:p>
        </w:tc>
        <w:tc>
          <w:tcPr>
            <w:tcW w:w="0" w:type="auto"/>
            <w:shd w:val="clear" w:color="auto" w:fill="auto"/>
          </w:tcPr>
          <w:p w14:paraId="1D026170" w14:textId="77777777" w:rsidR="004421F6" w:rsidRDefault="004421F6">
            <w:pPr>
              <w:rPr>
                <w:rFonts w:ascii="宋体"/>
              </w:rPr>
            </w:pPr>
          </w:p>
        </w:tc>
        <w:tc>
          <w:tcPr>
            <w:tcW w:w="0" w:type="auto"/>
            <w:shd w:val="clear" w:color="auto" w:fill="auto"/>
          </w:tcPr>
          <w:p w14:paraId="1D026171" w14:textId="77777777" w:rsidR="004421F6" w:rsidRDefault="004421F6">
            <w:pPr>
              <w:rPr>
                <w:rFonts w:ascii="宋体"/>
              </w:rPr>
            </w:pPr>
          </w:p>
        </w:tc>
        <w:tc>
          <w:tcPr>
            <w:tcW w:w="0" w:type="auto"/>
            <w:shd w:val="clear" w:color="auto" w:fill="auto"/>
          </w:tcPr>
          <w:p w14:paraId="1D026172" w14:textId="77777777" w:rsidR="004421F6" w:rsidRDefault="004421F6">
            <w:pPr>
              <w:rPr>
                <w:rFonts w:ascii="宋体"/>
              </w:rPr>
            </w:pPr>
          </w:p>
        </w:tc>
        <w:tc>
          <w:tcPr>
            <w:tcW w:w="0" w:type="auto"/>
            <w:shd w:val="clear" w:color="auto" w:fill="auto"/>
          </w:tcPr>
          <w:p w14:paraId="1D026173" w14:textId="77777777" w:rsidR="004421F6" w:rsidRDefault="004421F6">
            <w:pPr>
              <w:rPr>
                <w:rFonts w:ascii="宋体"/>
              </w:rPr>
            </w:pPr>
          </w:p>
        </w:tc>
        <w:tc>
          <w:tcPr>
            <w:tcW w:w="0" w:type="auto"/>
            <w:shd w:val="clear" w:color="auto" w:fill="auto"/>
          </w:tcPr>
          <w:p w14:paraId="1D026174" w14:textId="77777777" w:rsidR="004421F6" w:rsidRDefault="004421F6">
            <w:pPr>
              <w:rPr>
                <w:rFonts w:ascii="宋体"/>
              </w:rPr>
            </w:pPr>
          </w:p>
        </w:tc>
        <w:tc>
          <w:tcPr>
            <w:tcW w:w="0" w:type="auto"/>
            <w:shd w:val="clear" w:color="auto" w:fill="auto"/>
          </w:tcPr>
          <w:p w14:paraId="1D026175" w14:textId="77777777" w:rsidR="004421F6" w:rsidRDefault="004421F6">
            <w:pPr>
              <w:rPr>
                <w:rFonts w:ascii="宋体"/>
              </w:rPr>
            </w:pPr>
          </w:p>
        </w:tc>
        <w:tc>
          <w:tcPr>
            <w:tcW w:w="0" w:type="auto"/>
            <w:shd w:val="clear" w:color="auto" w:fill="auto"/>
          </w:tcPr>
          <w:p w14:paraId="1D026176" w14:textId="77777777" w:rsidR="004421F6" w:rsidRDefault="004421F6">
            <w:pPr>
              <w:rPr>
                <w:rFonts w:ascii="宋体"/>
              </w:rPr>
            </w:pPr>
          </w:p>
        </w:tc>
        <w:tc>
          <w:tcPr>
            <w:tcW w:w="0" w:type="auto"/>
            <w:shd w:val="clear" w:color="auto" w:fill="auto"/>
          </w:tcPr>
          <w:p w14:paraId="1D026177" w14:textId="77777777" w:rsidR="004421F6" w:rsidRDefault="004421F6">
            <w:pPr>
              <w:rPr>
                <w:rFonts w:ascii="宋体"/>
              </w:rPr>
            </w:pPr>
          </w:p>
        </w:tc>
        <w:tc>
          <w:tcPr>
            <w:tcW w:w="0" w:type="auto"/>
            <w:shd w:val="clear" w:color="auto" w:fill="auto"/>
          </w:tcPr>
          <w:p w14:paraId="1D026178" w14:textId="77777777" w:rsidR="004421F6" w:rsidRDefault="004421F6">
            <w:pPr>
              <w:rPr>
                <w:rFonts w:ascii="宋体"/>
              </w:rPr>
            </w:pPr>
          </w:p>
        </w:tc>
        <w:tc>
          <w:tcPr>
            <w:tcW w:w="0" w:type="auto"/>
            <w:shd w:val="clear" w:color="auto" w:fill="auto"/>
          </w:tcPr>
          <w:p w14:paraId="1D026179" w14:textId="77777777" w:rsidR="004421F6" w:rsidRDefault="004421F6">
            <w:pPr>
              <w:rPr>
                <w:rFonts w:ascii="宋体"/>
              </w:rPr>
            </w:pPr>
          </w:p>
        </w:tc>
        <w:tc>
          <w:tcPr>
            <w:tcW w:w="0" w:type="auto"/>
            <w:shd w:val="clear" w:color="auto" w:fill="auto"/>
          </w:tcPr>
          <w:p w14:paraId="1D02617A" w14:textId="77777777" w:rsidR="004421F6" w:rsidRDefault="004421F6">
            <w:pPr>
              <w:rPr>
                <w:rFonts w:ascii="宋体"/>
              </w:rPr>
            </w:pPr>
          </w:p>
        </w:tc>
        <w:tc>
          <w:tcPr>
            <w:tcW w:w="0" w:type="auto"/>
            <w:shd w:val="clear" w:color="auto" w:fill="auto"/>
          </w:tcPr>
          <w:p w14:paraId="1D02617B" w14:textId="77777777" w:rsidR="004421F6" w:rsidRDefault="004421F6">
            <w:pPr>
              <w:rPr>
                <w:rFonts w:ascii="宋体"/>
              </w:rPr>
            </w:pPr>
          </w:p>
        </w:tc>
        <w:tc>
          <w:tcPr>
            <w:tcW w:w="0" w:type="auto"/>
            <w:shd w:val="clear" w:color="auto" w:fill="auto"/>
          </w:tcPr>
          <w:p w14:paraId="1D02617C" w14:textId="77777777" w:rsidR="004421F6" w:rsidRDefault="004421F6">
            <w:pPr>
              <w:rPr>
                <w:rFonts w:ascii="宋体"/>
              </w:rPr>
            </w:pPr>
          </w:p>
        </w:tc>
        <w:tc>
          <w:tcPr>
            <w:tcW w:w="0" w:type="auto"/>
            <w:shd w:val="clear" w:color="auto" w:fill="auto"/>
          </w:tcPr>
          <w:p w14:paraId="1D02617D" w14:textId="77777777" w:rsidR="004421F6" w:rsidRDefault="004421F6">
            <w:pPr>
              <w:rPr>
                <w:rFonts w:ascii="宋体"/>
              </w:rPr>
            </w:pPr>
          </w:p>
        </w:tc>
        <w:tc>
          <w:tcPr>
            <w:tcW w:w="0" w:type="auto"/>
            <w:shd w:val="clear" w:color="auto" w:fill="auto"/>
          </w:tcPr>
          <w:p w14:paraId="1D02617E" w14:textId="77777777" w:rsidR="004421F6" w:rsidRDefault="004421F6">
            <w:pPr>
              <w:rPr>
                <w:rFonts w:ascii="宋体"/>
              </w:rPr>
            </w:pPr>
          </w:p>
        </w:tc>
        <w:tc>
          <w:tcPr>
            <w:tcW w:w="0" w:type="auto"/>
            <w:shd w:val="clear" w:color="auto" w:fill="auto"/>
          </w:tcPr>
          <w:p w14:paraId="1D02617F" w14:textId="77777777" w:rsidR="004421F6" w:rsidRDefault="004421F6">
            <w:pPr>
              <w:rPr>
                <w:rFonts w:ascii="宋体"/>
              </w:rPr>
            </w:pPr>
          </w:p>
        </w:tc>
        <w:tc>
          <w:tcPr>
            <w:tcW w:w="0" w:type="auto"/>
            <w:shd w:val="clear" w:color="auto" w:fill="auto"/>
          </w:tcPr>
          <w:p w14:paraId="1D026180" w14:textId="77777777" w:rsidR="004421F6" w:rsidRDefault="004421F6">
            <w:pPr>
              <w:rPr>
                <w:rFonts w:ascii="宋体"/>
              </w:rPr>
            </w:pPr>
          </w:p>
        </w:tc>
        <w:tc>
          <w:tcPr>
            <w:tcW w:w="0" w:type="auto"/>
            <w:shd w:val="clear" w:color="auto" w:fill="auto"/>
          </w:tcPr>
          <w:p w14:paraId="1D026181" w14:textId="77777777" w:rsidR="004421F6" w:rsidRDefault="004421F6">
            <w:pPr>
              <w:rPr>
                <w:rFonts w:ascii="宋体"/>
              </w:rPr>
            </w:pPr>
          </w:p>
        </w:tc>
        <w:tc>
          <w:tcPr>
            <w:tcW w:w="0" w:type="auto"/>
            <w:shd w:val="clear" w:color="auto" w:fill="auto"/>
          </w:tcPr>
          <w:p w14:paraId="1D026182" w14:textId="77777777" w:rsidR="004421F6" w:rsidRDefault="004421F6">
            <w:pPr>
              <w:rPr>
                <w:rFonts w:ascii="宋体"/>
              </w:rPr>
            </w:pPr>
          </w:p>
        </w:tc>
        <w:tc>
          <w:tcPr>
            <w:tcW w:w="0" w:type="auto"/>
            <w:shd w:val="clear" w:color="auto" w:fill="auto"/>
          </w:tcPr>
          <w:p w14:paraId="1D026183" w14:textId="77777777" w:rsidR="004421F6" w:rsidRDefault="004421F6">
            <w:pPr>
              <w:rPr>
                <w:rFonts w:ascii="宋体"/>
              </w:rPr>
            </w:pPr>
          </w:p>
        </w:tc>
        <w:tc>
          <w:tcPr>
            <w:tcW w:w="0" w:type="auto"/>
            <w:shd w:val="clear" w:color="auto" w:fill="auto"/>
          </w:tcPr>
          <w:p w14:paraId="1D026184" w14:textId="77777777" w:rsidR="004421F6" w:rsidRDefault="004421F6">
            <w:pPr>
              <w:rPr>
                <w:rFonts w:ascii="宋体"/>
              </w:rPr>
            </w:pPr>
          </w:p>
        </w:tc>
        <w:tc>
          <w:tcPr>
            <w:tcW w:w="0" w:type="auto"/>
            <w:shd w:val="clear" w:color="auto" w:fill="auto"/>
          </w:tcPr>
          <w:p w14:paraId="1D026185" w14:textId="77777777" w:rsidR="004421F6" w:rsidRDefault="004421F6">
            <w:pPr>
              <w:rPr>
                <w:rFonts w:ascii="宋体"/>
              </w:rPr>
            </w:pPr>
          </w:p>
        </w:tc>
        <w:tc>
          <w:tcPr>
            <w:tcW w:w="0" w:type="auto"/>
            <w:shd w:val="clear" w:color="auto" w:fill="auto"/>
          </w:tcPr>
          <w:p w14:paraId="1D026186" w14:textId="77777777" w:rsidR="004421F6" w:rsidRDefault="004421F6">
            <w:pPr>
              <w:rPr>
                <w:rFonts w:ascii="宋体"/>
              </w:rPr>
            </w:pPr>
          </w:p>
        </w:tc>
      </w:tr>
      <w:tr w:rsidR="004421F6" w14:paraId="1D0261BC"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188" w14:textId="77777777" w:rsidR="004421F6" w:rsidRDefault="00F1562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tcMar>
            <w:vAlign w:val="bottom"/>
          </w:tcPr>
          <w:p w14:paraId="1D026189"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18A" w14:textId="77777777" w:rsidR="004421F6" w:rsidRDefault="00F15622">
            <w:pPr>
              <w:jc w:val="right"/>
              <w:textAlignment w:val="bottom"/>
            </w:pPr>
            <w:r>
              <w:rPr>
                <w:rFonts w:ascii="Arial" w:eastAsia="宋体" w:hAnsi="Arial" w:cs="Arial"/>
                <w:color w:val="000000"/>
                <w:sz w:val="17"/>
                <w:szCs w:val="17"/>
              </w:rPr>
              <w:t>2,719 </w:t>
            </w:r>
          </w:p>
        </w:tc>
        <w:tc>
          <w:tcPr>
            <w:tcW w:w="0" w:type="auto"/>
            <w:tcBorders>
              <w:top w:val="single" w:sz="8" w:space="0" w:color="808080"/>
            </w:tcBorders>
            <w:shd w:val="clear" w:color="auto" w:fill="FFF1E7"/>
            <w:tcMar>
              <w:top w:w="40" w:type="dxa"/>
              <w:bottom w:w="40" w:type="dxa"/>
              <w:right w:w="20" w:type="dxa"/>
            </w:tcMar>
            <w:vAlign w:val="bottom"/>
          </w:tcPr>
          <w:p w14:paraId="1D02618B"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618C"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18D" w14:textId="77777777" w:rsidR="004421F6" w:rsidRDefault="00F15622">
            <w:pPr>
              <w:jc w:val="right"/>
              <w:textAlignment w:val="bottom"/>
            </w:pPr>
            <w:r>
              <w:rPr>
                <w:rFonts w:ascii="Arial" w:eastAsia="宋体" w:hAnsi="Arial" w:cs="Arial"/>
                <w:color w:val="000000"/>
                <w:sz w:val="17"/>
                <w:szCs w:val="17"/>
              </w:rPr>
              <w:t>1,973 </w:t>
            </w:r>
          </w:p>
        </w:tc>
        <w:tc>
          <w:tcPr>
            <w:tcW w:w="0" w:type="auto"/>
            <w:tcBorders>
              <w:top w:val="single" w:sz="8" w:space="0" w:color="808080"/>
            </w:tcBorders>
            <w:shd w:val="clear" w:color="auto" w:fill="FFF1E7"/>
            <w:tcMar>
              <w:top w:w="40" w:type="dxa"/>
              <w:bottom w:w="40" w:type="dxa"/>
              <w:right w:w="20" w:type="dxa"/>
            </w:tcMar>
            <w:vAlign w:val="bottom"/>
          </w:tcPr>
          <w:p w14:paraId="1D02618E"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618F"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190" w14:textId="77777777" w:rsidR="004421F6" w:rsidRDefault="00F15622">
            <w:pPr>
              <w:jc w:val="right"/>
              <w:textAlignment w:val="bottom"/>
            </w:pPr>
            <w:r>
              <w:rPr>
                <w:rFonts w:ascii="Arial" w:eastAsia="宋体" w:hAnsi="Arial" w:cs="Arial"/>
                <w:color w:val="000000"/>
                <w:sz w:val="17"/>
                <w:szCs w:val="17"/>
              </w:rPr>
              <w:t>964 </w:t>
            </w:r>
          </w:p>
        </w:tc>
        <w:tc>
          <w:tcPr>
            <w:tcW w:w="0" w:type="auto"/>
            <w:tcBorders>
              <w:top w:val="single" w:sz="8" w:space="0" w:color="808080"/>
            </w:tcBorders>
            <w:shd w:val="clear" w:color="auto" w:fill="FFF1E7"/>
            <w:tcMar>
              <w:top w:w="40" w:type="dxa"/>
              <w:bottom w:w="40" w:type="dxa"/>
              <w:right w:w="20" w:type="dxa"/>
            </w:tcMar>
            <w:vAlign w:val="bottom"/>
          </w:tcPr>
          <w:p w14:paraId="1D026191"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6192"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193" w14:textId="77777777" w:rsidR="004421F6" w:rsidRDefault="00F15622">
            <w:pPr>
              <w:jc w:val="right"/>
              <w:textAlignment w:val="bottom"/>
            </w:pPr>
            <w:r>
              <w:rPr>
                <w:rFonts w:ascii="Arial" w:eastAsia="宋体" w:hAnsi="Arial" w:cs="Arial"/>
                <w:color w:val="000000"/>
                <w:sz w:val="17"/>
                <w:szCs w:val="17"/>
              </w:rPr>
              <w:t>708 </w:t>
            </w:r>
          </w:p>
        </w:tc>
        <w:tc>
          <w:tcPr>
            <w:tcW w:w="0" w:type="auto"/>
            <w:tcBorders>
              <w:top w:val="single" w:sz="8" w:space="0" w:color="808080"/>
            </w:tcBorders>
            <w:shd w:val="clear" w:color="auto" w:fill="FFF1E7"/>
            <w:tcMar>
              <w:top w:w="40" w:type="dxa"/>
              <w:bottom w:w="40" w:type="dxa"/>
              <w:right w:w="20" w:type="dxa"/>
            </w:tcMar>
            <w:vAlign w:val="bottom"/>
          </w:tcPr>
          <w:p w14:paraId="1D026194"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6195"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196"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197"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6198"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199" w14:textId="77777777" w:rsidR="004421F6" w:rsidRDefault="00F15622">
            <w:pPr>
              <w:jc w:val="right"/>
              <w:textAlignment w:val="bottom"/>
            </w:pPr>
            <w:r>
              <w:rPr>
                <w:rFonts w:ascii="Arial" w:eastAsia="宋体" w:hAnsi="Arial" w:cs="Arial"/>
                <w:color w:val="000000"/>
                <w:sz w:val="17"/>
                <w:szCs w:val="17"/>
              </w:rPr>
              <w:t>6,364 </w:t>
            </w:r>
          </w:p>
        </w:tc>
        <w:tc>
          <w:tcPr>
            <w:tcW w:w="0" w:type="auto"/>
            <w:tcBorders>
              <w:top w:val="single" w:sz="8" w:space="0" w:color="808080"/>
            </w:tcBorders>
            <w:shd w:val="clear" w:color="auto" w:fill="FFF1E7"/>
            <w:tcMar>
              <w:top w:w="40" w:type="dxa"/>
              <w:bottom w:w="40" w:type="dxa"/>
              <w:right w:w="20" w:type="dxa"/>
            </w:tcMar>
            <w:vAlign w:val="bottom"/>
          </w:tcPr>
          <w:p w14:paraId="1D02619A"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619B"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19C" w14:textId="77777777" w:rsidR="004421F6" w:rsidRDefault="00F15622">
            <w:pPr>
              <w:jc w:val="right"/>
              <w:textAlignment w:val="bottom"/>
            </w:pPr>
            <w:r>
              <w:rPr>
                <w:rFonts w:ascii="Arial" w:eastAsia="宋体" w:hAnsi="Arial" w:cs="Arial"/>
                <w:color w:val="000000"/>
                <w:sz w:val="17"/>
                <w:szCs w:val="17"/>
              </w:rPr>
              <w:t>373 </w:t>
            </w:r>
          </w:p>
        </w:tc>
        <w:tc>
          <w:tcPr>
            <w:tcW w:w="0" w:type="auto"/>
            <w:tcBorders>
              <w:top w:val="single" w:sz="8" w:space="0" w:color="808080"/>
            </w:tcBorders>
            <w:shd w:val="clear" w:color="auto" w:fill="FFF1E7"/>
            <w:tcMar>
              <w:top w:w="40" w:type="dxa"/>
              <w:bottom w:w="40" w:type="dxa"/>
              <w:right w:w="20" w:type="dxa"/>
            </w:tcMar>
            <w:vAlign w:val="bottom"/>
          </w:tcPr>
          <w:p w14:paraId="1D02619D"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619E"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19F"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1A0" w14:textId="77777777" w:rsidR="004421F6" w:rsidRDefault="004421F6">
            <w:pPr>
              <w:jc w:val="right"/>
              <w:rPr>
                <w:rFonts w:ascii="宋体"/>
              </w:rPr>
            </w:pPr>
          </w:p>
        </w:tc>
        <w:tc>
          <w:tcPr>
            <w:tcW w:w="0" w:type="auto"/>
            <w:tcBorders>
              <w:top w:val="single" w:sz="8" w:space="0" w:color="808080"/>
            </w:tcBorders>
            <w:shd w:val="clear" w:color="auto" w:fill="FFF1E7"/>
            <w:tcMar>
              <w:top w:w="40" w:type="dxa"/>
              <w:left w:w="20" w:type="dxa"/>
              <w:bottom w:w="40" w:type="dxa"/>
            </w:tcMar>
            <w:vAlign w:val="bottom"/>
          </w:tcPr>
          <w:p w14:paraId="1D0261A1"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1A2" w14:textId="77777777" w:rsidR="004421F6" w:rsidRDefault="00F15622">
            <w:pPr>
              <w:jc w:val="right"/>
              <w:textAlignment w:val="bottom"/>
            </w:pPr>
            <w:r>
              <w:rPr>
                <w:rFonts w:ascii="Arial" w:eastAsia="宋体" w:hAnsi="Arial" w:cs="Arial"/>
                <w:color w:val="000000"/>
                <w:sz w:val="17"/>
                <w:szCs w:val="17"/>
              </w:rPr>
              <w:t>6,737 </w:t>
            </w:r>
          </w:p>
        </w:tc>
        <w:tc>
          <w:tcPr>
            <w:tcW w:w="0" w:type="auto"/>
            <w:tcBorders>
              <w:top w:val="single" w:sz="8" w:space="0" w:color="808080"/>
            </w:tcBorders>
            <w:shd w:val="clear" w:color="auto" w:fill="FFF1E7"/>
            <w:tcMar>
              <w:top w:w="40" w:type="dxa"/>
              <w:bottom w:w="40" w:type="dxa"/>
              <w:right w:w="20" w:type="dxa"/>
            </w:tcMar>
            <w:vAlign w:val="bottom"/>
          </w:tcPr>
          <w:p w14:paraId="1D0261A3" w14:textId="77777777" w:rsidR="004421F6" w:rsidRDefault="004421F6">
            <w:pPr>
              <w:jc w:val="right"/>
              <w:rPr>
                <w:rFonts w:ascii="宋体"/>
              </w:rPr>
            </w:pPr>
          </w:p>
        </w:tc>
        <w:tc>
          <w:tcPr>
            <w:tcW w:w="0" w:type="auto"/>
            <w:shd w:val="clear" w:color="auto" w:fill="auto"/>
          </w:tcPr>
          <w:p w14:paraId="1D0261A4" w14:textId="77777777" w:rsidR="004421F6" w:rsidRDefault="004421F6">
            <w:pPr>
              <w:rPr>
                <w:rFonts w:ascii="宋体"/>
              </w:rPr>
            </w:pPr>
          </w:p>
        </w:tc>
        <w:tc>
          <w:tcPr>
            <w:tcW w:w="0" w:type="auto"/>
            <w:shd w:val="clear" w:color="auto" w:fill="auto"/>
          </w:tcPr>
          <w:p w14:paraId="1D0261A5" w14:textId="77777777" w:rsidR="004421F6" w:rsidRDefault="004421F6">
            <w:pPr>
              <w:rPr>
                <w:rFonts w:ascii="宋体"/>
              </w:rPr>
            </w:pPr>
          </w:p>
        </w:tc>
        <w:tc>
          <w:tcPr>
            <w:tcW w:w="0" w:type="auto"/>
            <w:shd w:val="clear" w:color="auto" w:fill="auto"/>
          </w:tcPr>
          <w:p w14:paraId="1D0261A6" w14:textId="77777777" w:rsidR="004421F6" w:rsidRDefault="004421F6">
            <w:pPr>
              <w:rPr>
                <w:rFonts w:ascii="宋体"/>
              </w:rPr>
            </w:pPr>
          </w:p>
        </w:tc>
        <w:tc>
          <w:tcPr>
            <w:tcW w:w="0" w:type="auto"/>
            <w:shd w:val="clear" w:color="auto" w:fill="auto"/>
          </w:tcPr>
          <w:p w14:paraId="1D0261A7" w14:textId="77777777" w:rsidR="004421F6" w:rsidRDefault="004421F6">
            <w:pPr>
              <w:rPr>
                <w:rFonts w:ascii="宋体"/>
              </w:rPr>
            </w:pPr>
          </w:p>
        </w:tc>
        <w:tc>
          <w:tcPr>
            <w:tcW w:w="0" w:type="auto"/>
            <w:shd w:val="clear" w:color="auto" w:fill="auto"/>
          </w:tcPr>
          <w:p w14:paraId="1D0261A8" w14:textId="77777777" w:rsidR="004421F6" w:rsidRDefault="004421F6">
            <w:pPr>
              <w:rPr>
                <w:rFonts w:ascii="宋体"/>
              </w:rPr>
            </w:pPr>
          </w:p>
        </w:tc>
        <w:tc>
          <w:tcPr>
            <w:tcW w:w="0" w:type="auto"/>
            <w:shd w:val="clear" w:color="auto" w:fill="auto"/>
          </w:tcPr>
          <w:p w14:paraId="1D0261A9" w14:textId="77777777" w:rsidR="004421F6" w:rsidRDefault="004421F6">
            <w:pPr>
              <w:rPr>
                <w:rFonts w:ascii="宋体"/>
              </w:rPr>
            </w:pPr>
          </w:p>
        </w:tc>
        <w:tc>
          <w:tcPr>
            <w:tcW w:w="0" w:type="auto"/>
            <w:shd w:val="clear" w:color="auto" w:fill="auto"/>
          </w:tcPr>
          <w:p w14:paraId="1D0261AA" w14:textId="77777777" w:rsidR="004421F6" w:rsidRDefault="004421F6">
            <w:pPr>
              <w:rPr>
                <w:rFonts w:ascii="宋体"/>
              </w:rPr>
            </w:pPr>
          </w:p>
        </w:tc>
        <w:tc>
          <w:tcPr>
            <w:tcW w:w="0" w:type="auto"/>
            <w:shd w:val="clear" w:color="auto" w:fill="auto"/>
          </w:tcPr>
          <w:p w14:paraId="1D0261AB" w14:textId="77777777" w:rsidR="004421F6" w:rsidRDefault="004421F6">
            <w:pPr>
              <w:rPr>
                <w:rFonts w:ascii="宋体"/>
              </w:rPr>
            </w:pPr>
          </w:p>
        </w:tc>
        <w:tc>
          <w:tcPr>
            <w:tcW w:w="0" w:type="auto"/>
            <w:shd w:val="clear" w:color="auto" w:fill="auto"/>
          </w:tcPr>
          <w:p w14:paraId="1D0261AC" w14:textId="77777777" w:rsidR="004421F6" w:rsidRDefault="004421F6">
            <w:pPr>
              <w:rPr>
                <w:rFonts w:ascii="宋体"/>
              </w:rPr>
            </w:pPr>
          </w:p>
        </w:tc>
        <w:tc>
          <w:tcPr>
            <w:tcW w:w="0" w:type="auto"/>
            <w:shd w:val="clear" w:color="auto" w:fill="auto"/>
          </w:tcPr>
          <w:p w14:paraId="1D0261AD" w14:textId="77777777" w:rsidR="004421F6" w:rsidRDefault="004421F6">
            <w:pPr>
              <w:rPr>
                <w:rFonts w:ascii="宋体"/>
              </w:rPr>
            </w:pPr>
          </w:p>
        </w:tc>
        <w:tc>
          <w:tcPr>
            <w:tcW w:w="0" w:type="auto"/>
            <w:shd w:val="clear" w:color="auto" w:fill="auto"/>
          </w:tcPr>
          <w:p w14:paraId="1D0261AE" w14:textId="77777777" w:rsidR="004421F6" w:rsidRDefault="004421F6">
            <w:pPr>
              <w:rPr>
                <w:rFonts w:ascii="宋体"/>
              </w:rPr>
            </w:pPr>
          </w:p>
        </w:tc>
        <w:tc>
          <w:tcPr>
            <w:tcW w:w="0" w:type="auto"/>
            <w:shd w:val="clear" w:color="auto" w:fill="auto"/>
          </w:tcPr>
          <w:p w14:paraId="1D0261AF" w14:textId="77777777" w:rsidR="004421F6" w:rsidRDefault="004421F6">
            <w:pPr>
              <w:rPr>
                <w:rFonts w:ascii="宋体"/>
              </w:rPr>
            </w:pPr>
          </w:p>
        </w:tc>
        <w:tc>
          <w:tcPr>
            <w:tcW w:w="0" w:type="auto"/>
            <w:shd w:val="clear" w:color="auto" w:fill="auto"/>
          </w:tcPr>
          <w:p w14:paraId="1D0261B0" w14:textId="77777777" w:rsidR="004421F6" w:rsidRDefault="004421F6">
            <w:pPr>
              <w:rPr>
                <w:rFonts w:ascii="宋体"/>
              </w:rPr>
            </w:pPr>
          </w:p>
        </w:tc>
        <w:tc>
          <w:tcPr>
            <w:tcW w:w="0" w:type="auto"/>
            <w:shd w:val="clear" w:color="auto" w:fill="auto"/>
          </w:tcPr>
          <w:p w14:paraId="1D0261B1" w14:textId="77777777" w:rsidR="004421F6" w:rsidRDefault="004421F6">
            <w:pPr>
              <w:rPr>
                <w:rFonts w:ascii="宋体"/>
              </w:rPr>
            </w:pPr>
          </w:p>
        </w:tc>
        <w:tc>
          <w:tcPr>
            <w:tcW w:w="0" w:type="auto"/>
            <w:shd w:val="clear" w:color="auto" w:fill="auto"/>
          </w:tcPr>
          <w:p w14:paraId="1D0261B2" w14:textId="77777777" w:rsidR="004421F6" w:rsidRDefault="004421F6">
            <w:pPr>
              <w:rPr>
                <w:rFonts w:ascii="宋体"/>
              </w:rPr>
            </w:pPr>
          </w:p>
        </w:tc>
        <w:tc>
          <w:tcPr>
            <w:tcW w:w="0" w:type="auto"/>
            <w:shd w:val="clear" w:color="auto" w:fill="auto"/>
          </w:tcPr>
          <w:p w14:paraId="1D0261B3" w14:textId="77777777" w:rsidR="004421F6" w:rsidRDefault="004421F6">
            <w:pPr>
              <w:rPr>
                <w:rFonts w:ascii="宋体"/>
              </w:rPr>
            </w:pPr>
          </w:p>
        </w:tc>
        <w:tc>
          <w:tcPr>
            <w:tcW w:w="0" w:type="auto"/>
            <w:shd w:val="clear" w:color="auto" w:fill="auto"/>
          </w:tcPr>
          <w:p w14:paraId="1D0261B4" w14:textId="77777777" w:rsidR="004421F6" w:rsidRDefault="004421F6">
            <w:pPr>
              <w:rPr>
                <w:rFonts w:ascii="宋体"/>
              </w:rPr>
            </w:pPr>
          </w:p>
        </w:tc>
        <w:tc>
          <w:tcPr>
            <w:tcW w:w="0" w:type="auto"/>
            <w:shd w:val="clear" w:color="auto" w:fill="auto"/>
          </w:tcPr>
          <w:p w14:paraId="1D0261B5" w14:textId="77777777" w:rsidR="004421F6" w:rsidRDefault="004421F6">
            <w:pPr>
              <w:rPr>
                <w:rFonts w:ascii="宋体"/>
              </w:rPr>
            </w:pPr>
          </w:p>
        </w:tc>
        <w:tc>
          <w:tcPr>
            <w:tcW w:w="0" w:type="auto"/>
            <w:shd w:val="clear" w:color="auto" w:fill="auto"/>
          </w:tcPr>
          <w:p w14:paraId="1D0261B6" w14:textId="77777777" w:rsidR="004421F6" w:rsidRDefault="004421F6">
            <w:pPr>
              <w:rPr>
                <w:rFonts w:ascii="宋体"/>
              </w:rPr>
            </w:pPr>
          </w:p>
        </w:tc>
        <w:tc>
          <w:tcPr>
            <w:tcW w:w="0" w:type="auto"/>
            <w:shd w:val="clear" w:color="auto" w:fill="auto"/>
          </w:tcPr>
          <w:p w14:paraId="1D0261B7" w14:textId="77777777" w:rsidR="004421F6" w:rsidRDefault="004421F6">
            <w:pPr>
              <w:rPr>
                <w:rFonts w:ascii="宋体"/>
              </w:rPr>
            </w:pPr>
          </w:p>
        </w:tc>
        <w:tc>
          <w:tcPr>
            <w:tcW w:w="0" w:type="auto"/>
            <w:shd w:val="clear" w:color="auto" w:fill="auto"/>
          </w:tcPr>
          <w:p w14:paraId="1D0261B8" w14:textId="77777777" w:rsidR="004421F6" w:rsidRDefault="004421F6">
            <w:pPr>
              <w:rPr>
                <w:rFonts w:ascii="宋体"/>
              </w:rPr>
            </w:pPr>
          </w:p>
        </w:tc>
        <w:tc>
          <w:tcPr>
            <w:tcW w:w="0" w:type="auto"/>
            <w:shd w:val="clear" w:color="auto" w:fill="auto"/>
          </w:tcPr>
          <w:p w14:paraId="1D0261B9" w14:textId="77777777" w:rsidR="004421F6" w:rsidRDefault="004421F6">
            <w:pPr>
              <w:rPr>
                <w:rFonts w:ascii="宋体"/>
              </w:rPr>
            </w:pPr>
          </w:p>
        </w:tc>
        <w:tc>
          <w:tcPr>
            <w:tcW w:w="0" w:type="auto"/>
            <w:shd w:val="clear" w:color="auto" w:fill="auto"/>
          </w:tcPr>
          <w:p w14:paraId="1D0261BA" w14:textId="77777777" w:rsidR="004421F6" w:rsidRDefault="004421F6">
            <w:pPr>
              <w:rPr>
                <w:rFonts w:ascii="宋体"/>
              </w:rPr>
            </w:pPr>
          </w:p>
        </w:tc>
        <w:tc>
          <w:tcPr>
            <w:tcW w:w="0" w:type="auto"/>
            <w:shd w:val="clear" w:color="auto" w:fill="auto"/>
          </w:tcPr>
          <w:p w14:paraId="1D0261BB" w14:textId="77777777" w:rsidR="004421F6" w:rsidRDefault="004421F6">
            <w:pPr>
              <w:rPr>
                <w:rFonts w:ascii="宋体"/>
              </w:rPr>
            </w:pPr>
          </w:p>
        </w:tc>
      </w:tr>
      <w:tr w:rsidR="004421F6" w14:paraId="1D0261E8"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1BD" w14:textId="77777777" w:rsidR="004421F6" w:rsidRDefault="00F15622">
            <w:pPr>
              <w:textAlignment w:val="bottom"/>
            </w:pPr>
            <w:r>
              <w:rPr>
                <w:rFonts w:ascii="Arial" w:eastAsia="宋体" w:hAnsi="Arial" w:cs="Arial"/>
                <w:color w:val="000000"/>
                <w:sz w:val="17"/>
                <w:szCs w:val="17"/>
              </w:rPr>
              <w:t>Sales through Direct to Consumer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BE" w14:textId="77777777" w:rsidR="004421F6" w:rsidRDefault="00F15622">
            <w:pPr>
              <w:jc w:val="right"/>
              <w:textAlignment w:val="bottom"/>
            </w:pPr>
            <w:r>
              <w:rPr>
                <w:rFonts w:ascii="Arial" w:eastAsia="宋体" w:hAnsi="Arial" w:cs="Arial"/>
                <w:color w:val="000000"/>
                <w:sz w:val="17"/>
                <w:szCs w:val="17"/>
              </w:rPr>
              <w:t>1,506 </w:t>
            </w:r>
          </w:p>
        </w:tc>
        <w:tc>
          <w:tcPr>
            <w:tcW w:w="0" w:type="auto"/>
            <w:tcBorders>
              <w:top w:val="single" w:sz="8" w:space="0" w:color="808080"/>
            </w:tcBorders>
            <w:shd w:val="clear" w:color="auto" w:fill="FFF1E7"/>
            <w:tcMar>
              <w:top w:w="40" w:type="dxa"/>
              <w:bottom w:w="40" w:type="dxa"/>
              <w:right w:w="20" w:type="dxa"/>
            </w:tcMar>
            <w:vAlign w:val="bottom"/>
          </w:tcPr>
          <w:p w14:paraId="1D0261BF"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C0" w14:textId="77777777" w:rsidR="004421F6" w:rsidRDefault="00F15622">
            <w:pPr>
              <w:jc w:val="right"/>
              <w:textAlignment w:val="bottom"/>
            </w:pPr>
            <w:r>
              <w:rPr>
                <w:rFonts w:ascii="Arial" w:eastAsia="宋体" w:hAnsi="Arial" w:cs="Arial"/>
                <w:color w:val="000000"/>
                <w:sz w:val="17"/>
                <w:szCs w:val="17"/>
              </w:rPr>
              <w:t>937 </w:t>
            </w:r>
          </w:p>
        </w:tc>
        <w:tc>
          <w:tcPr>
            <w:tcW w:w="0" w:type="auto"/>
            <w:tcBorders>
              <w:top w:val="single" w:sz="8" w:space="0" w:color="808080"/>
            </w:tcBorders>
            <w:shd w:val="clear" w:color="auto" w:fill="FFF1E7"/>
            <w:tcMar>
              <w:top w:w="40" w:type="dxa"/>
              <w:bottom w:w="40" w:type="dxa"/>
              <w:right w:w="20" w:type="dxa"/>
            </w:tcMar>
            <w:vAlign w:val="bottom"/>
          </w:tcPr>
          <w:p w14:paraId="1D0261C1"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C2" w14:textId="77777777" w:rsidR="004421F6" w:rsidRDefault="00F15622">
            <w:pPr>
              <w:jc w:val="right"/>
              <w:textAlignment w:val="bottom"/>
            </w:pPr>
            <w:r>
              <w:rPr>
                <w:rFonts w:ascii="Arial" w:eastAsia="宋体" w:hAnsi="Arial" w:cs="Arial"/>
                <w:color w:val="000000"/>
                <w:sz w:val="17"/>
                <w:szCs w:val="17"/>
              </w:rPr>
              <w:t>816 </w:t>
            </w:r>
          </w:p>
        </w:tc>
        <w:tc>
          <w:tcPr>
            <w:tcW w:w="0" w:type="auto"/>
            <w:tcBorders>
              <w:top w:val="single" w:sz="8" w:space="0" w:color="808080"/>
            </w:tcBorders>
            <w:shd w:val="clear" w:color="auto" w:fill="FFF1E7"/>
            <w:tcMar>
              <w:top w:w="40" w:type="dxa"/>
              <w:bottom w:w="40" w:type="dxa"/>
              <w:right w:w="20" w:type="dxa"/>
            </w:tcMar>
            <w:vAlign w:val="bottom"/>
          </w:tcPr>
          <w:p w14:paraId="1D0261C3"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C4" w14:textId="77777777" w:rsidR="004421F6" w:rsidRDefault="00F15622">
            <w:pPr>
              <w:jc w:val="right"/>
              <w:textAlignment w:val="bottom"/>
            </w:pPr>
            <w:r>
              <w:rPr>
                <w:rFonts w:ascii="Arial" w:eastAsia="宋体" w:hAnsi="Arial" w:cs="Arial"/>
                <w:color w:val="000000"/>
                <w:sz w:val="17"/>
                <w:szCs w:val="17"/>
              </w:rPr>
              <w:t>391 </w:t>
            </w:r>
          </w:p>
        </w:tc>
        <w:tc>
          <w:tcPr>
            <w:tcW w:w="0" w:type="auto"/>
            <w:tcBorders>
              <w:top w:val="single" w:sz="8" w:space="0" w:color="808080"/>
            </w:tcBorders>
            <w:shd w:val="clear" w:color="auto" w:fill="FFF1E7"/>
            <w:tcMar>
              <w:top w:w="40" w:type="dxa"/>
              <w:bottom w:w="40" w:type="dxa"/>
              <w:right w:w="20" w:type="dxa"/>
            </w:tcMar>
            <w:vAlign w:val="bottom"/>
          </w:tcPr>
          <w:p w14:paraId="1D0261C5"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C6"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1C7"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C8" w14:textId="77777777" w:rsidR="004421F6" w:rsidRDefault="00F15622">
            <w:pPr>
              <w:jc w:val="right"/>
              <w:textAlignment w:val="bottom"/>
            </w:pPr>
            <w:r>
              <w:rPr>
                <w:rFonts w:ascii="Arial" w:eastAsia="宋体" w:hAnsi="Arial" w:cs="Arial"/>
                <w:color w:val="000000"/>
                <w:sz w:val="17"/>
                <w:szCs w:val="17"/>
              </w:rPr>
              <w:t>3,650 </w:t>
            </w:r>
          </w:p>
        </w:tc>
        <w:tc>
          <w:tcPr>
            <w:tcW w:w="0" w:type="auto"/>
            <w:tcBorders>
              <w:top w:val="single" w:sz="8" w:space="0" w:color="808080"/>
            </w:tcBorders>
            <w:shd w:val="clear" w:color="auto" w:fill="FFF1E7"/>
            <w:tcMar>
              <w:top w:w="40" w:type="dxa"/>
              <w:bottom w:w="40" w:type="dxa"/>
              <w:right w:w="20" w:type="dxa"/>
            </w:tcMar>
            <w:vAlign w:val="bottom"/>
          </w:tcPr>
          <w:p w14:paraId="1D0261C9"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CA" w14:textId="77777777" w:rsidR="004421F6" w:rsidRDefault="00F15622">
            <w:pPr>
              <w:jc w:val="right"/>
              <w:textAlignment w:val="bottom"/>
            </w:pPr>
            <w:r>
              <w:rPr>
                <w:rFonts w:ascii="Arial" w:eastAsia="宋体" w:hAnsi="Arial" w:cs="Arial"/>
                <w:color w:val="000000"/>
                <w:sz w:val="17"/>
                <w:szCs w:val="17"/>
              </w:rPr>
              <w:t>171 </w:t>
            </w:r>
          </w:p>
        </w:tc>
        <w:tc>
          <w:tcPr>
            <w:tcW w:w="0" w:type="auto"/>
            <w:tcBorders>
              <w:top w:val="single" w:sz="8" w:space="0" w:color="808080"/>
            </w:tcBorders>
            <w:shd w:val="clear" w:color="auto" w:fill="FFF1E7"/>
            <w:tcMar>
              <w:top w:w="40" w:type="dxa"/>
              <w:bottom w:w="40" w:type="dxa"/>
              <w:right w:w="20" w:type="dxa"/>
            </w:tcMar>
            <w:vAlign w:val="bottom"/>
          </w:tcPr>
          <w:p w14:paraId="1D0261CB"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CC"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1CD"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CE" w14:textId="77777777" w:rsidR="004421F6" w:rsidRDefault="00F15622">
            <w:pPr>
              <w:jc w:val="right"/>
              <w:textAlignment w:val="bottom"/>
            </w:pPr>
            <w:r>
              <w:rPr>
                <w:rFonts w:ascii="Arial" w:eastAsia="宋体" w:hAnsi="Arial" w:cs="Arial"/>
                <w:color w:val="000000"/>
                <w:sz w:val="17"/>
                <w:szCs w:val="17"/>
              </w:rPr>
              <w:t>3,821 </w:t>
            </w:r>
          </w:p>
        </w:tc>
        <w:tc>
          <w:tcPr>
            <w:tcW w:w="0" w:type="auto"/>
            <w:tcBorders>
              <w:top w:val="single" w:sz="8" w:space="0" w:color="808080"/>
            </w:tcBorders>
            <w:shd w:val="clear" w:color="auto" w:fill="FFF1E7"/>
            <w:tcMar>
              <w:top w:w="40" w:type="dxa"/>
              <w:bottom w:w="40" w:type="dxa"/>
              <w:right w:w="20" w:type="dxa"/>
            </w:tcMar>
            <w:vAlign w:val="bottom"/>
          </w:tcPr>
          <w:p w14:paraId="1D0261CF" w14:textId="77777777" w:rsidR="004421F6" w:rsidRDefault="004421F6">
            <w:pPr>
              <w:jc w:val="right"/>
              <w:rPr>
                <w:rFonts w:ascii="宋体"/>
              </w:rPr>
            </w:pPr>
          </w:p>
        </w:tc>
        <w:tc>
          <w:tcPr>
            <w:tcW w:w="0" w:type="auto"/>
            <w:shd w:val="clear" w:color="auto" w:fill="auto"/>
          </w:tcPr>
          <w:p w14:paraId="1D0261D0" w14:textId="77777777" w:rsidR="004421F6" w:rsidRDefault="004421F6">
            <w:pPr>
              <w:rPr>
                <w:rFonts w:ascii="宋体"/>
              </w:rPr>
            </w:pPr>
          </w:p>
        </w:tc>
        <w:tc>
          <w:tcPr>
            <w:tcW w:w="0" w:type="auto"/>
            <w:shd w:val="clear" w:color="auto" w:fill="auto"/>
          </w:tcPr>
          <w:p w14:paraId="1D0261D1" w14:textId="77777777" w:rsidR="004421F6" w:rsidRDefault="004421F6">
            <w:pPr>
              <w:rPr>
                <w:rFonts w:ascii="宋体"/>
              </w:rPr>
            </w:pPr>
          </w:p>
        </w:tc>
        <w:tc>
          <w:tcPr>
            <w:tcW w:w="0" w:type="auto"/>
            <w:shd w:val="clear" w:color="auto" w:fill="auto"/>
          </w:tcPr>
          <w:p w14:paraId="1D0261D2" w14:textId="77777777" w:rsidR="004421F6" w:rsidRDefault="004421F6">
            <w:pPr>
              <w:rPr>
                <w:rFonts w:ascii="宋体"/>
              </w:rPr>
            </w:pPr>
          </w:p>
        </w:tc>
        <w:tc>
          <w:tcPr>
            <w:tcW w:w="0" w:type="auto"/>
            <w:shd w:val="clear" w:color="auto" w:fill="auto"/>
          </w:tcPr>
          <w:p w14:paraId="1D0261D3" w14:textId="77777777" w:rsidR="004421F6" w:rsidRDefault="004421F6">
            <w:pPr>
              <w:rPr>
                <w:rFonts w:ascii="宋体"/>
              </w:rPr>
            </w:pPr>
          </w:p>
        </w:tc>
        <w:tc>
          <w:tcPr>
            <w:tcW w:w="0" w:type="auto"/>
            <w:shd w:val="clear" w:color="auto" w:fill="auto"/>
          </w:tcPr>
          <w:p w14:paraId="1D0261D4" w14:textId="77777777" w:rsidR="004421F6" w:rsidRDefault="004421F6">
            <w:pPr>
              <w:rPr>
                <w:rFonts w:ascii="宋体"/>
              </w:rPr>
            </w:pPr>
          </w:p>
        </w:tc>
        <w:tc>
          <w:tcPr>
            <w:tcW w:w="0" w:type="auto"/>
            <w:shd w:val="clear" w:color="auto" w:fill="auto"/>
          </w:tcPr>
          <w:p w14:paraId="1D0261D5" w14:textId="77777777" w:rsidR="004421F6" w:rsidRDefault="004421F6">
            <w:pPr>
              <w:rPr>
                <w:rFonts w:ascii="宋体"/>
              </w:rPr>
            </w:pPr>
          </w:p>
        </w:tc>
        <w:tc>
          <w:tcPr>
            <w:tcW w:w="0" w:type="auto"/>
            <w:shd w:val="clear" w:color="auto" w:fill="auto"/>
          </w:tcPr>
          <w:p w14:paraId="1D0261D6" w14:textId="77777777" w:rsidR="004421F6" w:rsidRDefault="004421F6">
            <w:pPr>
              <w:rPr>
                <w:rFonts w:ascii="宋体"/>
              </w:rPr>
            </w:pPr>
          </w:p>
        </w:tc>
        <w:tc>
          <w:tcPr>
            <w:tcW w:w="0" w:type="auto"/>
            <w:shd w:val="clear" w:color="auto" w:fill="auto"/>
          </w:tcPr>
          <w:p w14:paraId="1D0261D7" w14:textId="77777777" w:rsidR="004421F6" w:rsidRDefault="004421F6">
            <w:pPr>
              <w:rPr>
                <w:rFonts w:ascii="宋体"/>
              </w:rPr>
            </w:pPr>
          </w:p>
        </w:tc>
        <w:tc>
          <w:tcPr>
            <w:tcW w:w="0" w:type="auto"/>
            <w:shd w:val="clear" w:color="auto" w:fill="auto"/>
          </w:tcPr>
          <w:p w14:paraId="1D0261D8" w14:textId="77777777" w:rsidR="004421F6" w:rsidRDefault="004421F6">
            <w:pPr>
              <w:rPr>
                <w:rFonts w:ascii="宋体"/>
              </w:rPr>
            </w:pPr>
          </w:p>
        </w:tc>
        <w:tc>
          <w:tcPr>
            <w:tcW w:w="0" w:type="auto"/>
            <w:shd w:val="clear" w:color="auto" w:fill="auto"/>
          </w:tcPr>
          <w:p w14:paraId="1D0261D9" w14:textId="77777777" w:rsidR="004421F6" w:rsidRDefault="004421F6">
            <w:pPr>
              <w:rPr>
                <w:rFonts w:ascii="宋体"/>
              </w:rPr>
            </w:pPr>
          </w:p>
        </w:tc>
        <w:tc>
          <w:tcPr>
            <w:tcW w:w="0" w:type="auto"/>
            <w:shd w:val="clear" w:color="auto" w:fill="auto"/>
          </w:tcPr>
          <w:p w14:paraId="1D0261DA" w14:textId="77777777" w:rsidR="004421F6" w:rsidRDefault="004421F6">
            <w:pPr>
              <w:rPr>
                <w:rFonts w:ascii="宋体"/>
              </w:rPr>
            </w:pPr>
          </w:p>
        </w:tc>
        <w:tc>
          <w:tcPr>
            <w:tcW w:w="0" w:type="auto"/>
            <w:shd w:val="clear" w:color="auto" w:fill="auto"/>
          </w:tcPr>
          <w:p w14:paraId="1D0261DB" w14:textId="77777777" w:rsidR="004421F6" w:rsidRDefault="004421F6">
            <w:pPr>
              <w:rPr>
                <w:rFonts w:ascii="宋体"/>
              </w:rPr>
            </w:pPr>
          </w:p>
        </w:tc>
        <w:tc>
          <w:tcPr>
            <w:tcW w:w="0" w:type="auto"/>
            <w:shd w:val="clear" w:color="auto" w:fill="auto"/>
          </w:tcPr>
          <w:p w14:paraId="1D0261DC" w14:textId="77777777" w:rsidR="004421F6" w:rsidRDefault="004421F6">
            <w:pPr>
              <w:rPr>
                <w:rFonts w:ascii="宋体"/>
              </w:rPr>
            </w:pPr>
          </w:p>
        </w:tc>
        <w:tc>
          <w:tcPr>
            <w:tcW w:w="0" w:type="auto"/>
            <w:shd w:val="clear" w:color="auto" w:fill="auto"/>
          </w:tcPr>
          <w:p w14:paraId="1D0261DD" w14:textId="77777777" w:rsidR="004421F6" w:rsidRDefault="004421F6">
            <w:pPr>
              <w:rPr>
                <w:rFonts w:ascii="宋体"/>
              </w:rPr>
            </w:pPr>
          </w:p>
        </w:tc>
        <w:tc>
          <w:tcPr>
            <w:tcW w:w="0" w:type="auto"/>
            <w:shd w:val="clear" w:color="auto" w:fill="auto"/>
          </w:tcPr>
          <w:p w14:paraId="1D0261DE" w14:textId="77777777" w:rsidR="004421F6" w:rsidRDefault="004421F6">
            <w:pPr>
              <w:rPr>
                <w:rFonts w:ascii="宋体"/>
              </w:rPr>
            </w:pPr>
          </w:p>
        </w:tc>
        <w:tc>
          <w:tcPr>
            <w:tcW w:w="0" w:type="auto"/>
            <w:shd w:val="clear" w:color="auto" w:fill="auto"/>
          </w:tcPr>
          <w:p w14:paraId="1D0261DF" w14:textId="77777777" w:rsidR="004421F6" w:rsidRDefault="004421F6">
            <w:pPr>
              <w:rPr>
                <w:rFonts w:ascii="宋体"/>
              </w:rPr>
            </w:pPr>
          </w:p>
        </w:tc>
        <w:tc>
          <w:tcPr>
            <w:tcW w:w="0" w:type="auto"/>
            <w:shd w:val="clear" w:color="auto" w:fill="auto"/>
          </w:tcPr>
          <w:p w14:paraId="1D0261E0" w14:textId="77777777" w:rsidR="004421F6" w:rsidRDefault="004421F6">
            <w:pPr>
              <w:rPr>
                <w:rFonts w:ascii="宋体"/>
              </w:rPr>
            </w:pPr>
          </w:p>
        </w:tc>
        <w:tc>
          <w:tcPr>
            <w:tcW w:w="0" w:type="auto"/>
            <w:shd w:val="clear" w:color="auto" w:fill="auto"/>
          </w:tcPr>
          <w:p w14:paraId="1D0261E1" w14:textId="77777777" w:rsidR="004421F6" w:rsidRDefault="004421F6">
            <w:pPr>
              <w:rPr>
                <w:rFonts w:ascii="宋体"/>
              </w:rPr>
            </w:pPr>
          </w:p>
        </w:tc>
        <w:tc>
          <w:tcPr>
            <w:tcW w:w="0" w:type="auto"/>
            <w:shd w:val="clear" w:color="auto" w:fill="auto"/>
          </w:tcPr>
          <w:p w14:paraId="1D0261E2" w14:textId="77777777" w:rsidR="004421F6" w:rsidRDefault="004421F6">
            <w:pPr>
              <w:rPr>
                <w:rFonts w:ascii="宋体"/>
              </w:rPr>
            </w:pPr>
          </w:p>
        </w:tc>
        <w:tc>
          <w:tcPr>
            <w:tcW w:w="0" w:type="auto"/>
            <w:shd w:val="clear" w:color="auto" w:fill="auto"/>
          </w:tcPr>
          <w:p w14:paraId="1D0261E3" w14:textId="77777777" w:rsidR="004421F6" w:rsidRDefault="004421F6">
            <w:pPr>
              <w:rPr>
                <w:rFonts w:ascii="宋体"/>
              </w:rPr>
            </w:pPr>
          </w:p>
        </w:tc>
        <w:tc>
          <w:tcPr>
            <w:tcW w:w="0" w:type="auto"/>
            <w:shd w:val="clear" w:color="auto" w:fill="auto"/>
          </w:tcPr>
          <w:p w14:paraId="1D0261E4" w14:textId="77777777" w:rsidR="004421F6" w:rsidRDefault="004421F6">
            <w:pPr>
              <w:rPr>
                <w:rFonts w:ascii="宋体"/>
              </w:rPr>
            </w:pPr>
          </w:p>
        </w:tc>
        <w:tc>
          <w:tcPr>
            <w:tcW w:w="0" w:type="auto"/>
            <w:shd w:val="clear" w:color="auto" w:fill="auto"/>
          </w:tcPr>
          <w:p w14:paraId="1D0261E5" w14:textId="77777777" w:rsidR="004421F6" w:rsidRDefault="004421F6">
            <w:pPr>
              <w:rPr>
                <w:rFonts w:ascii="宋体"/>
              </w:rPr>
            </w:pPr>
          </w:p>
        </w:tc>
        <w:tc>
          <w:tcPr>
            <w:tcW w:w="0" w:type="auto"/>
            <w:shd w:val="clear" w:color="auto" w:fill="auto"/>
          </w:tcPr>
          <w:p w14:paraId="1D0261E6" w14:textId="77777777" w:rsidR="004421F6" w:rsidRDefault="004421F6">
            <w:pPr>
              <w:rPr>
                <w:rFonts w:ascii="宋体"/>
              </w:rPr>
            </w:pPr>
          </w:p>
        </w:tc>
        <w:tc>
          <w:tcPr>
            <w:tcW w:w="0" w:type="auto"/>
            <w:shd w:val="clear" w:color="auto" w:fill="auto"/>
          </w:tcPr>
          <w:p w14:paraId="1D0261E7" w14:textId="77777777" w:rsidR="004421F6" w:rsidRDefault="004421F6">
            <w:pPr>
              <w:rPr>
                <w:rFonts w:ascii="宋体"/>
              </w:rPr>
            </w:pPr>
          </w:p>
        </w:tc>
      </w:tr>
      <w:tr w:rsidR="004421F6" w14:paraId="1D026214"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1E9" w14:textId="77777777" w:rsidR="004421F6" w:rsidRDefault="00F15622">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EA"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1EB"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EC"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1ED"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EE"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1EF"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F0"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bottom w:w="40" w:type="dxa"/>
              <w:right w:w="20" w:type="dxa"/>
            </w:tcMar>
            <w:vAlign w:val="bottom"/>
          </w:tcPr>
          <w:p w14:paraId="1D0261F1"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F2" w14:textId="77777777" w:rsidR="004421F6" w:rsidRDefault="00F1562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FFF1E7"/>
            <w:tcMar>
              <w:top w:w="40" w:type="dxa"/>
              <w:bottom w:w="40" w:type="dxa"/>
              <w:right w:w="20" w:type="dxa"/>
            </w:tcMar>
            <w:vAlign w:val="bottom"/>
          </w:tcPr>
          <w:p w14:paraId="1D0261F3"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F4" w14:textId="77777777" w:rsidR="004421F6" w:rsidRDefault="00F1562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FFF1E7"/>
            <w:tcMar>
              <w:top w:w="40" w:type="dxa"/>
              <w:bottom w:w="40" w:type="dxa"/>
              <w:right w:w="20" w:type="dxa"/>
            </w:tcMar>
            <w:vAlign w:val="bottom"/>
          </w:tcPr>
          <w:p w14:paraId="1D0261F5"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F6" w14:textId="77777777" w:rsidR="004421F6" w:rsidRDefault="00F15622">
            <w:pPr>
              <w:jc w:val="right"/>
              <w:textAlignment w:val="bottom"/>
            </w:pPr>
            <w:r>
              <w:rPr>
                <w:rFonts w:ascii="Arial" w:eastAsia="宋体" w:hAnsi="Arial" w:cs="Arial"/>
                <w:color w:val="000000"/>
                <w:sz w:val="17"/>
                <w:szCs w:val="17"/>
              </w:rPr>
              <w:t>19 </w:t>
            </w:r>
          </w:p>
        </w:tc>
        <w:tc>
          <w:tcPr>
            <w:tcW w:w="0" w:type="auto"/>
            <w:tcBorders>
              <w:top w:val="single" w:sz="8" w:space="0" w:color="808080"/>
            </w:tcBorders>
            <w:shd w:val="clear" w:color="auto" w:fill="FFF1E7"/>
            <w:tcMar>
              <w:top w:w="40" w:type="dxa"/>
              <w:bottom w:w="40" w:type="dxa"/>
              <w:right w:w="20" w:type="dxa"/>
            </w:tcMar>
            <w:vAlign w:val="bottom"/>
          </w:tcPr>
          <w:p w14:paraId="1D0261F7"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F8" w14:textId="77777777" w:rsidR="004421F6" w:rsidRDefault="00F15622">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FFF1E7"/>
            <w:tcMar>
              <w:top w:w="40" w:type="dxa"/>
              <w:bottom w:w="40" w:type="dxa"/>
              <w:right w:w="20" w:type="dxa"/>
            </w:tcMar>
            <w:vAlign w:val="bottom"/>
          </w:tcPr>
          <w:p w14:paraId="1D0261F9" w14:textId="77777777" w:rsidR="004421F6" w:rsidRDefault="004421F6">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1FA" w14:textId="77777777" w:rsidR="004421F6" w:rsidRDefault="00F15622">
            <w:pPr>
              <w:jc w:val="right"/>
              <w:textAlignment w:val="bottom"/>
            </w:pPr>
            <w:r>
              <w:rPr>
                <w:rFonts w:ascii="Arial" w:eastAsia="宋体" w:hAnsi="Arial" w:cs="Arial"/>
                <w:color w:val="000000"/>
                <w:sz w:val="17"/>
                <w:szCs w:val="17"/>
              </w:rPr>
              <w:t>36 </w:t>
            </w:r>
          </w:p>
        </w:tc>
        <w:tc>
          <w:tcPr>
            <w:tcW w:w="0" w:type="auto"/>
            <w:tcBorders>
              <w:top w:val="single" w:sz="8" w:space="0" w:color="808080"/>
            </w:tcBorders>
            <w:shd w:val="clear" w:color="auto" w:fill="FFF1E7"/>
            <w:tcMar>
              <w:top w:w="40" w:type="dxa"/>
              <w:bottom w:w="40" w:type="dxa"/>
              <w:right w:w="20" w:type="dxa"/>
            </w:tcMar>
            <w:vAlign w:val="bottom"/>
          </w:tcPr>
          <w:p w14:paraId="1D0261FB" w14:textId="77777777" w:rsidR="004421F6" w:rsidRDefault="004421F6">
            <w:pPr>
              <w:jc w:val="right"/>
              <w:rPr>
                <w:rFonts w:ascii="宋体"/>
              </w:rPr>
            </w:pPr>
          </w:p>
        </w:tc>
        <w:tc>
          <w:tcPr>
            <w:tcW w:w="0" w:type="auto"/>
            <w:shd w:val="clear" w:color="auto" w:fill="auto"/>
          </w:tcPr>
          <w:p w14:paraId="1D0261FC" w14:textId="77777777" w:rsidR="004421F6" w:rsidRDefault="004421F6">
            <w:pPr>
              <w:rPr>
                <w:rFonts w:ascii="宋体"/>
              </w:rPr>
            </w:pPr>
          </w:p>
        </w:tc>
        <w:tc>
          <w:tcPr>
            <w:tcW w:w="0" w:type="auto"/>
            <w:shd w:val="clear" w:color="auto" w:fill="auto"/>
          </w:tcPr>
          <w:p w14:paraId="1D0261FD" w14:textId="77777777" w:rsidR="004421F6" w:rsidRDefault="004421F6">
            <w:pPr>
              <w:rPr>
                <w:rFonts w:ascii="宋体"/>
              </w:rPr>
            </w:pPr>
          </w:p>
        </w:tc>
        <w:tc>
          <w:tcPr>
            <w:tcW w:w="0" w:type="auto"/>
            <w:shd w:val="clear" w:color="auto" w:fill="auto"/>
          </w:tcPr>
          <w:p w14:paraId="1D0261FE" w14:textId="77777777" w:rsidR="004421F6" w:rsidRDefault="004421F6">
            <w:pPr>
              <w:rPr>
                <w:rFonts w:ascii="宋体"/>
              </w:rPr>
            </w:pPr>
          </w:p>
        </w:tc>
        <w:tc>
          <w:tcPr>
            <w:tcW w:w="0" w:type="auto"/>
            <w:shd w:val="clear" w:color="auto" w:fill="auto"/>
          </w:tcPr>
          <w:p w14:paraId="1D0261FF" w14:textId="77777777" w:rsidR="004421F6" w:rsidRDefault="004421F6">
            <w:pPr>
              <w:rPr>
                <w:rFonts w:ascii="宋体"/>
              </w:rPr>
            </w:pPr>
          </w:p>
        </w:tc>
        <w:tc>
          <w:tcPr>
            <w:tcW w:w="0" w:type="auto"/>
            <w:shd w:val="clear" w:color="auto" w:fill="auto"/>
          </w:tcPr>
          <w:p w14:paraId="1D026200" w14:textId="77777777" w:rsidR="004421F6" w:rsidRDefault="004421F6">
            <w:pPr>
              <w:rPr>
                <w:rFonts w:ascii="宋体"/>
              </w:rPr>
            </w:pPr>
          </w:p>
        </w:tc>
        <w:tc>
          <w:tcPr>
            <w:tcW w:w="0" w:type="auto"/>
            <w:shd w:val="clear" w:color="auto" w:fill="auto"/>
          </w:tcPr>
          <w:p w14:paraId="1D026201" w14:textId="77777777" w:rsidR="004421F6" w:rsidRDefault="004421F6">
            <w:pPr>
              <w:rPr>
                <w:rFonts w:ascii="宋体"/>
              </w:rPr>
            </w:pPr>
          </w:p>
        </w:tc>
        <w:tc>
          <w:tcPr>
            <w:tcW w:w="0" w:type="auto"/>
            <w:shd w:val="clear" w:color="auto" w:fill="auto"/>
          </w:tcPr>
          <w:p w14:paraId="1D026202" w14:textId="77777777" w:rsidR="004421F6" w:rsidRDefault="004421F6">
            <w:pPr>
              <w:rPr>
                <w:rFonts w:ascii="宋体"/>
              </w:rPr>
            </w:pPr>
          </w:p>
        </w:tc>
        <w:tc>
          <w:tcPr>
            <w:tcW w:w="0" w:type="auto"/>
            <w:shd w:val="clear" w:color="auto" w:fill="auto"/>
          </w:tcPr>
          <w:p w14:paraId="1D026203" w14:textId="77777777" w:rsidR="004421F6" w:rsidRDefault="004421F6">
            <w:pPr>
              <w:rPr>
                <w:rFonts w:ascii="宋体"/>
              </w:rPr>
            </w:pPr>
          </w:p>
        </w:tc>
        <w:tc>
          <w:tcPr>
            <w:tcW w:w="0" w:type="auto"/>
            <w:shd w:val="clear" w:color="auto" w:fill="auto"/>
          </w:tcPr>
          <w:p w14:paraId="1D026204" w14:textId="77777777" w:rsidR="004421F6" w:rsidRDefault="004421F6">
            <w:pPr>
              <w:rPr>
                <w:rFonts w:ascii="宋体"/>
              </w:rPr>
            </w:pPr>
          </w:p>
        </w:tc>
        <w:tc>
          <w:tcPr>
            <w:tcW w:w="0" w:type="auto"/>
            <w:shd w:val="clear" w:color="auto" w:fill="auto"/>
          </w:tcPr>
          <w:p w14:paraId="1D026205" w14:textId="77777777" w:rsidR="004421F6" w:rsidRDefault="004421F6">
            <w:pPr>
              <w:rPr>
                <w:rFonts w:ascii="宋体"/>
              </w:rPr>
            </w:pPr>
          </w:p>
        </w:tc>
        <w:tc>
          <w:tcPr>
            <w:tcW w:w="0" w:type="auto"/>
            <w:shd w:val="clear" w:color="auto" w:fill="auto"/>
          </w:tcPr>
          <w:p w14:paraId="1D026206" w14:textId="77777777" w:rsidR="004421F6" w:rsidRDefault="004421F6">
            <w:pPr>
              <w:rPr>
                <w:rFonts w:ascii="宋体"/>
              </w:rPr>
            </w:pPr>
          </w:p>
        </w:tc>
        <w:tc>
          <w:tcPr>
            <w:tcW w:w="0" w:type="auto"/>
            <w:shd w:val="clear" w:color="auto" w:fill="auto"/>
          </w:tcPr>
          <w:p w14:paraId="1D026207" w14:textId="77777777" w:rsidR="004421F6" w:rsidRDefault="004421F6">
            <w:pPr>
              <w:rPr>
                <w:rFonts w:ascii="宋体"/>
              </w:rPr>
            </w:pPr>
          </w:p>
        </w:tc>
        <w:tc>
          <w:tcPr>
            <w:tcW w:w="0" w:type="auto"/>
            <w:shd w:val="clear" w:color="auto" w:fill="auto"/>
          </w:tcPr>
          <w:p w14:paraId="1D026208" w14:textId="77777777" w:rsidR="004421F6" w:rsidRDefault="004421F6">
            <w:pPr>
              <w:rPr>
                <w:rFonts w:ascii="宋体"/>
              </w:rPr>
            </w:pPr>
          </w:p>
        </w:tc>
        <w:tc>
          <w:tcPr>
            <w:tcW w:w="0" w:type="auto"/>
            <w:shd w:val="clear" w:color="auto" w:fill="auto"/>
          </w:tcPr>
          <w:p w14:paraId="1D026209" w14:textId="77777777" w:rsidR="004421F6" w:rsidRDefault="004421F6">
            <w:pPr>
              <w:rPr>
                <w:rFonts w:ascii="宋体"/>
              </w:rPr>
            </w:pPr>
          </w:p>
        </w:tc>
        <w:tc>
          <w:tcPr>
            <w:tcW w:w="0" w:type="auto"/>
            <w:shd w:val="clear" w:color="auto" w:fill="auto"/>
          </w:tcPr>
          <w:p w14:paraId="1D02620A" w14:textId="77777777" w:rsidR="004421F6" w:rsidRDefault="004421F6">
            <w:pPr>
              <w:rPr>
                <w:rFonts w:ascii="宋体"/>
              </w:rPr>
            </w:pPr>
          </w:p>
        </w:tc>
        <w:tc>
          <w:tcPr>
            <w:tcW w:w="0" w:type="auto"/>
            <w:shd w:val="clear" w:color="auto" w:fill="auto"/>
          </w:tcPr>
          <w:p w14:paraId="1D02620B" w14:textId="77777777" w:rsidR="004421F6" w:rsidRDefault="004421F6">
            <w:pPr>
              <w:rPr>
                <w:rFonts w:ascii="宋体"/>
              </w:rPr>
            </w:pPr>
          </w:p>
        </w:tc>
        <w:tc>
          <w:tcPr>
            <w:tcW w:w="0" w:type="auto"/>
            <w:shd w:val="clear" w:color="auto" w:fill="auto"/>
          </w:tcPr>
          <w:p w14:paraId="1D02620C" w14:textId="77777777" w:rsidR="004421F6" w:rsidRDefault="004421F6">
            <w:pPr>
              <w:rPr>
                <w:rFonts w:ascii="宋体"/>
              </w:rPr>
            </w:pPr>
          </w:p>
        </w:tc>
        <w:tc>
          <w:tcPr>
            <w:tcW w:w="0" w:type="auto"/>
            <w:shd w:val="clear" w:color="auto" w:fill="auto"/>
          </w:tcPr>
          <w:p w14:paraId="1D02620D" w14:textId="77777777" w:rsidR="004421F6" w:rsidRDefault="004421F6">
            <w:pPr>
              <w:rPr>
                <w:rFonts w:ascii="宋体"/>
              </w:rPr>
            </w:pPr>
          </w:p>
        </w:tc>
        <w:tc>
          <w:tcPr>
            <w:tcW w:w="0" w:type="auto"/>
            <w:shd w:val="clear" w:color="auto" w:fill="auto"/>
          </w:tcPr>
          <w:p w14:paraId="1D02620E" w14:textId="77777777" w:rsidR="004421F6" w:rsidRDefault="004421F6">
            <w:pPr>
              <w:rPr>
                <w:rFonts w:ascii="宋体"/>
              </w:rPr>
            </w:pPr>
          </w:p>
        </w:tc>
        <w:tc>
          <w:tcPr>
            <w:tcW w:w="0" w:type="auto"/>
            <w:shd w:val="clear" w:color="auto" w:fill="auto"/>
          </w:tcPr>
          <w:p w14:paraId="1D02620F" w14:textId="77777777" w:rsidR="004421F6" w:rsidRDefault="004421F6">
            <w:pPr>
              <w:rPr>
                <w:rFonts w:ascii="宋体"/>
              </w:rPr>
            </w:pPr>
          </w:p>
        </w:tc>
        <w:tc>
          <w:tcPr>
            <w:tcW w:w="0" w:type="auto"/>
            <w:shd w:val="clear" w:color="auto" w:fill="auto"/>
          </w:tcPr>
          <w:p w14:paraId="1D026210" w14:textId="77777777" w:rsidR="004421F6" w:rsidRDefault="004421F6">
            <w:pPr>
              <w:rPr>
                <w:rFonts w:ascii="宋体"/>
              </w:rPr>
            </w:pPr>
          </w:p>
        </w:tc>
        <w:tc>
          <w:tcPr>
            <w:tcW w:w="0" w:type="auto"/>
            <w:shd w:val="clear" w:color="auto" w:fill="auto"/>
          </w:tcPr>
          <w:p w14:paraId="1D026211" w14:textId="77777777" w:rsidR="004421F6" w:rsidRDefault="004421F6">
            <w:pPr>
              <w:rPr>
                <w:rFonts w:ascii="宋体"/>
              </w:rPr>
            </w:pPr>
          </w:p>
        </w:tc>
        <w:tc>
          <w:tcPr>
            <w:tcW w:w="0" w:type="auto"/>
            <w:shd w:val="clear" w:color="auto" w:fill="auto"/>
          </w:tcPr>
          <w:p w14:paraId="1D026212" w14:textId="77777777" w:rsidR="004421F6" w:rsidRDefault="004421F6">
            <w:pPr>
              <w:rPr>
                <w:rFonts w:ascii="宋体"/>
              </w:rPr>
            </w:pPr>
          </w:p>
        </w:tc>
        <w:tc>
          <w:tcPr>
            <w:tcW w:w="0" w:type="auto"/>
            <w:shd w:val="clear" w:color="auto" w:fill="auto"/>
          </w:tcPr>
          <w:p w14:paraId="1D026213" w14:textId="77777777" w:rsidR="004421F6" w:rsidRDefault="004421F6">
            <w:pPr>
              <w:rPr>
                <w:rFonts w:ascii="宋体"/>
              </w:rPr>
            </w:pPr>
          </w:p>
        </w:tc>
      </w:tr>
      <w:tr w:rsidR="004421F6" w14:paraId="1D02624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6215" w14:textId="77777777" w:rsidR="004421F6" w:rsidRDefault="00F15622">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216"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217" w14:textId="77777777" w:rsidR="004421F6" w:rsidRDefault="00F15622">
            <w:pPr>
              <w:jc w:val="right"/>
              <w:textAlignment w:val="bottom"/>
            </w:pPr>
            <w:r>
              <w:rPr>
                <w:rFonts w:ascii="Arial" w:eastAsia="宋体" w:hAnsi="Arial" w:cs="Arial"/>
                <w:b/>
                <w:bCs/>
                <w:color w:val="000000"/>
                <w:sz w:val="17"/>
                <w:szCs w:val="17"/>
              </w:rPr>
              <w:t>4,225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218"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219"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21A" w14:textId="77777777" w:rsidR="004421F6" w:rsidRDefault="00F15622">
            <w:pPr>
              <w:jc w:val="right"/>
              <w:textAlignment w:val="bottom"/>
            </w:pPr>
            <w:r>
              <w:rPr>
                <w:rFonts w:ascii="Arial" w:eastAsia="宋体" w:hAnsi="Arial" w:cs="Arial"/>
                <w:b/>
                <w:bCs/>
                <w:color w:val="000000"/>
                <w:sz w:val="17"/>
                <w:szCs w:val="17"/>
              </w:rPr>
              <w:t>2,910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21B"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21C"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21D" w14:textId="77777777" w:rsidR="004421F6" w:rsidRDefault="00F15622">
            <w:pPr>
              <w:jc w:val="right"/>
              <w:textAlignment w:val="bottom"/>
            </w:pPr>
            <w:r>
              <w:rPr>
                <w:rFonts w:ascii="Arial" w:eastAsia="宋体" w:hAnsi="Arial" w:cs="Arial"/>
                <w:b/>
                <w:bCs/>
                <w:color w:val="000000"/>
                <w:sz w:val="17"/>
                <w:szCs w:val="17"/>
              </w:rPr>
              <w:t>1,780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21E"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21F"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220" w14:textId="77777777" w:rsidR="004421F6" w:rsidRDefault="00F15622">
            <w:pPr>
              <w:jc w:val="right"/>
              <w:textAlignment w:val="bottom"/>
            </w:pPr>
            <w:r>
              <w:rPr>
                <w:rFonts w:ascii="Arial" w:eastAsia="宋体" w:hAnsi="Arial" w:cs="Arial"/>
                <w:b/>
                <w:bCs/>
                <w:color w:val="000000"/>
                <w:sz w:val="17"/>
                <w:szCs w:val="17"/>
              </w:rPr>
              <w:t>1,099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221"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222"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223" w14:textId="77777777" w:rsidR="004421F6" w:rsidRDefault="00F15622">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224"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225"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226" w14:textId="77777777" w:rsidR="004421F6" w:rsidRDefault="00F15622">
            <w:pPr>
              <w:jc w:val="right"/>
              <w:textAlignment w:val="bottom"/>
            </w:pPr>
            <w:r>
              <w:rPr>
                <w:rFonts w:ascii="Arial" w:eastAsia="宋体" w:hAnsi="Arial" w:cs="Arial"/>
                <w:b/>
                <w:bCs/>
                <w:color w:val="000000"/>
                <w:sz w:val="17"/>
                <w:szCs w:val="17"/>
              </w:rPr>
              <w:t>10,018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227"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228"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229" w14:textId="77777777" w:rsidR="004421F6" w:rsidRDefault="00F15622">
            <w:pPr>
              <w:jc w:val="right"/>
              <w:textAlignment w:val="bottom"/>
            </w:pPr>
            <w:r>
              <w:rPr>
                <w:rFonts w:ascii="Arial" w:eastAsia="宋体" w:hAnsi="Arial" w:cs="Arial"/>
                <w:b/>
                <w:bCs/>
                <w:color w:val="000000"/>
                <w:sz w:val="17"/>
                <w:szCs w:val="17"/>
              </w:rPr>
              <w:t>563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22A"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22B"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22C" w14:textId="77777777" w:rsidR="004421F6" w:rsidRDefault="00F15622">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22D"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22E"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22F" w14:textId="77777777" w:rsidR="004421F6" w:rsidRDefault="00F15622">
            <w:pPr>
              <w:jc w:val="right"/>
              <w:textAlignment w:val="bottom"/>
            </w:pPr>
            <w:r>
              <w:rPr>
                <w:rFonts w:ascii="Arial" w:eastAsia="宋体" w:hAnsi="Arial" w:cs="Arial"/>
                <w:b/>
                <w:bCs/>
                <w:color w:val="000000"/>
                <w:sz w:val="17"/>
                <w:szCs w:val="17"/>
              </w:rPr>
              <w:t>10,594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230" w14:textId="77777777" w:rsidR="004421F6" w:rsidRDefault="004421F6">
            <w:pPr>
              <w:jc w:val="right"/>
              <w:rPr>
                <w:rFonts w:ascii="宋体"/>
              </w:rPr>
            </w:pPr>
          </w:p>
        </w:tc>
        <w:tc>
          <w:tcPr>
            <w:tcW w:w="0" w:type="auto"/>
            <w:shd w:val="clear" w:color="auto" w:fill="auto"/>
          </w:tcPr>
          <w:p w14:paraId="1D026231" w14:textId="77777777" w:rsidR="004421F6" w:rsidRDefault="004421F6">
            <w:pPr>
              <w:rPr>
                <w:rFonts w:ascii="宋体"/>
              </w:rPr>
            </w:pPr>
          </w:p>
        </w:tc>
        <w:tc>
          <w:tcPr>
            <w:tcW w:w="0" w:type="auto"/>
            <w:shd w:val="clear" w:color="auto" w:fill="auto"/>
          </w:tcPr>
          <w:p w14:paraId="1D026232" w14:textId="77777777" w:rsidR="004421F6" w:rsidRDefault="004421F6">
            <w:pPr>
              <w:rPr>
                <w:rFonts w:ascii="宋体"/>
              </w:rPr>
            </w:pPr>
          </w:p>
        </w:tc>
        <w:tc>
          <w:tcPr>
            <w:tcW w:w="0" w:type="auto"/>
            <w:shd w:val="clear" w:color="auto" w:fill="auto"/>
          </w:tcPr>
          <w:p w14:paraId="1D026233" w14:textId="77777777" w:rsidR="004421F6" w:rsidRDefault="004421F6">
            <w:pPr>
              <w:rPr>
                <w:rFonts w:ascii="宋体"/>
              </w:rPr>
            </w:pPr>
          </w:p>
        </w:tc>
        <w:tc>
          <w:tcPr>
            <w:tcW w:w="0" w:type="auto"/>
            <w:shd w:val="clear" w:color="auto" w:fill="auto"/>
          </w:tcPr>
          <w:p w14:paraId="1D026234" w14:textId="77777777" w:rsidR="004421F6" w:rsidRDefault="004421F6">
            <w:pPr>
              <w:rPr>
                <w:rFonts w:ascii="宋体"/>
              </w:rPr>
            </w:pPr>
          </w:p>
        </w:tc>
        <w:tc>
          <w:tcPr>
            <w:tcW w:w="0" w:type="auto"/>
            <w:shd w:val="clear" w:color="auto" w:fill="auto"/>
          </w:tcPr>
          <w:p w14:paraId="1D026235" w14:textId="77777777" w:rsidR="004421F6" w:rsidRDefault="004421F6">
            <w:pPr>
              <w:rPr>
                <w:rFonts w:ascii="宋体"/>
              </w:rPr>
            </w:pPr>
          </w:p>
        </w:tc>
        <w:tc>
          <w:tcPr>
            <w:tcW w:w="0" w:type="auto"/>
            <w:shd w:val="clear" w:color="auto" w:fill="auto"/>
          </w:tcPr>
          <w:p w14:paraId="1D026236" w14:textId="77777777" w:rsidR="004421F6" w:rsidRDefault="004421F6">
            <w:pPr>
              <w:rPr>
                <w:rFonts w:ascii="宋体"/>
              </w:rPr>
            </w:pPr>
          </w:p>
        </w:tc>
        <w:tc>
          <w:tcPr>
            <w:tcW w:w="0" w:type="auto"/>
            <w:shd w:val="clear" w:color="auto" w:fill="auto"/>
          </w:tcPr>
          <w:p w14:paraId="1D026237" w14:textId="77777777" w:rsidR="004421F6" w:rsidRDefault="004421F6">
            <w:pPr>
              <w:rPr>
                <w:rFonts w:ascii="宋体"/>
              </w:rPr>
            </w:pPr>
          </w:p>
        </w:tc>
        <w:tc>
          <w:tcPr>
            <w:tcW w:w="0" w:type="auto"/>
            <w:shd w:val="clear" w:color="auto" w:fill="auto"/>
          </w:tcPr>
          <w:p w14:paraId="1D026238" w14:textId="77777777" w:rsidR="004421F6" w:rsidRDefault="004421F6">
            <w:pPr>
              <w:rPr>
                <w:rFonts w:ascii="宋体"/>
              </w:rPr>
            </w:pPr>
          </w:p>
        </w:tc>
        <w:tc>
          <w:tcPr>
            <w:tcW w:w="0" w:type="auto"/>
            <w:shd w:val="clear" w:color="auto" w:fill="auto"/>
          </w:tcPr>
          <w:p w14:paraId="1D026239" w14:textId="77777777" w:rsidR="004421F6" w:rsidRDefault="004421F6">
            <w:pPr>
              <w:rPr>
                <w:rFonts w:ascii="宋体"/>
              </w:rPr>
            </w:pPr>
          </w:p>
        </w:tc>
        <w:tc>
          <w:tcPr>
            <w:tcW w:w="0" w:type="auto"/>
            <w:shd w:val="clear" w:color="auto" w:fill="auto"/>
          </w:tcPr>
          <w:p w14:paraId="1D02623A" w14:textId="77777777" w:rsidR="004421F6" w:rsidRDefault="004421F6">
            <w:pPr>
              <w:rPr>
                <w:rFonts w:ascii="宋体"/>
              </w:rPr>
            </w:pPr>
          </w:p>
        </w:tc>
        <w:tc>
          <w:tcPr>
            <w:tcW w:w="0" w:type="auto"/>
            <w:shd w:val="clear" w:color="auto" w:fill="auto"/>
          </w:tcPr>
          <w:p w14:paraId="1D02623B" w14:textId="77777777" w:rsidR="004421F6" w:rsidRDefault="004421F6">
            <w:pPr>
              <w:rPr>
                <w:rFonts w:ascii="宋体"/>
              </w:rPr>
            </w:pPr>
          </w:p>
        </w:tc>
        <w:tc>
          <w:tcPr>
            <w:tcW w:w="0" w:type="auto"/>
            <w:shd w:val="clear" w:color="auto" w:fill="auto"/>
          </w:tcPr>
          <w:p w14:paraId="1D02623C" w14:textId="77777777" w:rsidR="004421F6" w:rsidRDefault="004421F6">
            <w:pPr>
              <w:rPr>
                <w:rFonts w:ascii="宋体"/>
              </w:rPr>
            </w:pPr>
          </w:p>
        </w:tc>
        <w:tc>
          <w:tcPr>
            <w:tcW w:w="0" w:type="auto"/>
            <w:shd w:val="clear" w:color="auto" w:fill="auto"/>
          </w:tcPr>
          <w:p w14:paraId="1D02623D" w14:textId="77777777" w:rsidR="004421F6" w:rsidRDefault="004421F6">
            <w:pPr>
              <w:rPr>
                <w:rFonts w:ascii="宋体"/>
              </w:rPr>
            </w:pPr>
          </w:p>
        </w:tc>
        <w:tc>
          <w:tcPr>
            <w:tcW w:w="0" w:type="auto"/>
            <w:shd w:val="clear" w:color="auto" w:fill="auto"/>
          </w:tcPr>
          <w:p w14:paraId="1D02623E" w14:textId="77777777" w:rsidR="004421F6" w:rsidRDefault="004421F6">
            <w:pPr>
              <w:rPr>
                <w:rFonts w:ascii="宋体"/>
              </w:rPr>
            </w:pPr>
          </w:p>
        </w:tc>
        <w:tc>
          <w:tcPr>
            <w:tcW w:w="0" w:type="auto"/>
            <w:shd w:val="clear" w:color="auto" w:fill="auto"/>
          </w:tcPr>
          <w:p w14:paraId="1D02623F" w14:textId="77777777" w:rsidR="004421F6" w:rsidRDefault="004421F6">
            <w:pPr>
              <w:rPr>
                <w:rFonts w:ascii="宋体"/>
              </w:rPr>
            </w:pPr>
          </w:p>
        </w:tc>
        <w:tc>
          <w:tcPr>
            <w:tcW w:w="0" w:type="auto"/>
            <w:shd w:val="clear" w:color="auto" w:fill="auto"/>
          </w:tcPr>
          <w:p w14:paraId="1D026240" w14:textId="77777777" w:rsidR="004421F6" w:rsidRDefault="004421F6">
            <w:pPr>
              <w:rPr>
                <w:rFonts w:ascii="宋体"/>
              </w:rPr>
            </w:pPr>
          </w:p>
        </w:tc>
        <w:tc>
          <w:tcPr>
            <w:tcW w:w="0" w:type="auto"/>
            <w:shd w:val="clear" w:color="auto" w:fill="auto"/>
          </w:tcPr>
          <w:p w14:paraId="1D026241" w14:textId="77777777" w:rsidR="004421F6" w:rsidRDefault="004421F6">
            <w:pPr>
              <w:rPr>
                <w:rFonts w:ascii="宋体"/>
              </w:rPr>
            </w:pPr>
          </w:p>
        </w:tc>
        <w:tc>
          <w:tcPr>
            <w:tcW w:w="0" w:type="auto"/>
            <w:shd w:val="clear" w:color="auto" w:fill="auto"/>
          </w:tcPr>
          <w:p w14:paraId="1D026242" w14:textId="77777777" w:rsidR="004421F6" w:rsidRDefault="004421F6">
            <w:pPr>
              <w:rPr>
                <w:rFonts w:ascii="宋体"/>
              </w:rPr>
            </w:pPr>
          </w:p>
        </w:tc>
        <w:tc>
          <w:tcPr>
            <w:tcW w:w="0" w:type="auto"/>
            <w:shd w:val="clear" w:color="auto" w:fill="auto"/>
          </w:tcPr>
          <w:p w14:paraId="1D026243" w14:textId="77777777" w:rsidR="004421F6" w:rsidRDefault="004421F6">
            <w:pPr>
              <w:rPr>
                <w:rFonts w:ascii="宋体"/>
              </w:rPr>
            </w:pPr>
          </w:p>
        </w:tc>
        <w:tc>
          <w:tcPr>
            <w:tcW w:w="0" w:type="auto"/>
            <w:shd w:val="clear" w:color="auto" w:fill="auto"/>
          </w:tcPr>
          <w:p w14:paraId="1D026244" w14:textId="77777777" w:rsidR="004421F6" w:rsidRDefault="004421F6">
            <w:pPr>
              <w:rPr>
                <w:rFonts w:ascii="宋体"/>
              </w:rPr>
            </w:pPr>
          </w:p>
        </w:tc>
        <w:tc>
          <w:tcPr>
            <w:tcW w:w="0" w:type="auto"/>
            <w:shd w:val="clear" w:color="auto" w:fill="auto"/>
          </w:tcPr>
          <w:p w14:paraId="1D026245" w14:textId="77777777" w:rsidR="004421F6" w:rsidRDefault="004421F6">
            <w:pPr>
              <w:rPr>
                <w:rFonts w:ascii="宋体"/>
              </w:rPr>
            </w:pPr>
          </w:p>
        </w:tc>
        <w:tc>
          <w:tcPr>
            <w:tcW w:w="0" w:type="auto"/>
            <w:shd w:val="clear" w:color="auto" w:fill="auto"/>
          </w:tcPr>
          <w:p w14:paraId="1D026246" w14:textId="77777777" w:rsidR="004421F6" w:rsidRDefault="004421F6">
            <w:pPr>
              <w:rPr>
                <w:rFonts w:ascii="宋体"/>
              </w:rPr>
            </w:pPr>
          </w:p>
        </w:tc>
        <w:tc>
          <w:tcPr>
            <w:tcW w:w="0" w:type="auto"/>
            <w:shd w:val="clear" w:color="auto" w:fill="auto"/>
          </w:tcPr>
          <w:p w14:paraId="1D026247" w14:textId="77777777" w:rsidR="004421F6" w:rsidRDefault="004421F6">
            <w:pPr>
              <w:rPr>
                <w:rFonts w:ascii="宋体"/>
              </w:rPr>
            </w:pPr>
          </w:p>
        </w:tc>
        <w:tc>
          <w:tcPr>
            <w:tcW w:w="0" w:type="auto"/>
            <w:shd w:val="clear" w:color="auto" w:fill="auto"/>
          </w:tcPr>
          <w:p w14:paraId="1D026248" w14:textId="77777777" w:rsidR="004421F6" w:rsidRDefault="004421F6">
            <w:pPr>
              <w:rPr>
                <w:rFonts w:ascii="宋体"/>
              </w:rPr>
            </w:pPr>
          </w:p>
        </w:tc>
      </w:tr>
    </w:tbl>
    <w:p w14:paraId="1D02624A" w14:textId="77777777" w:rsidR="004421F6" w:rsidRDefault="004421F6"/>
    <w:tbl>
      <w:tblPr>
        <w:tblW w:w="4985" w:type="pct"/>
        <w:tblCellMar>
          <w:top w:w="15" w:type="dxa"/>
          <w:left w:w="15" w:type="dxa"/>
          <w:bottom w:w="15" w:type="dxa"/>
          <w:right w:w="15" w:type="dxa"/>
        </w:tblCellMar>
        <w:tblLook w:val="04A0" w:firstRow="1" w:lastRow="0" w:firstColumn="1" w:lastColumn="0" w:noHBand="0" w:noVBand="1"/>
      </w:tblPr>
      <w:tblGrid>
        <w:gridCol w:w="155"/>
        <w:gridCol w:w="732"/>
        <w:gridCol w:w="39"/>
        <w:gridCol w:w="123"/>
        <w:gridCol w:w="555"/>
        <w:gridCol w:w="41"/>
        <w:gridCol w:w="122"/>
        <w:gridCol w:w="442"/>
        <w:gridCol w:w="41"/>
        <w:gridCol w:w="123"/>
        <w:gridCol w:w="541"/>
        <w:gridCol w:w="40"/>
        <w:gridCol w:w="122"/>
        <w:gridCol w:w="554"/>
        <w:gridCol w:w="40"/>
        <w:gridCol w:w="122"/>
        <w:gridCol w:w="606"/>
        <w:gridCol w:w="40"/>
        <w:gridCol w:w="121"/>
        <w:gridCol w:w="526"/>
        <w:gridCol w:w="40"/>
        <w:gridCol w:w="122"/>
        <w:gridCol w:w="631"/>
        <w:gridCol w:w="40"/>
        <w:gridCol w:w="122"/>
        <w:gridCol w:w="729"/>
        <w:gridCol w:w="40"/>
        <w:gridCol w:w="121"/>
        <w:gridCol w:w="526"/>
        <w:gridCol w:w="40"/>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gridCol w:w="35"/>
      </w:tblGrid>
      <w:tr w:rsidR="004421F6" w14:paraId="1D026269" w14:textId="77777777">
        <w:trPr>
          <w:gridAfter w:val="24"/>
        </w:trPr>
        <w:tc>
          <w:tcPr>
            <w:tcW w:w="50" w:type="pct"/>
            <w:shd w:val="clear" w:color="auto" w:fill="auto"/>
          </w:tcPr>
          <w:p w14:paraId="1D02624B" w14:textId="77777777" w:rsidR="004421F6" w:rsidRDefault="004421F6">
            <w:pPr>
              <w:rPr>
                <w:rFonts w:ascii="宋体"/>
              </w:rPr>
            </w:pPr>
          </w:p>
        </w:tc>
        <w:tc>
          <w:tcPr>
            <w:tcW w:w="1129" w:type="pct"/>
            <w:shd w:val="clear" w:color="auto" w:fill="auto"/>
          </w:tcPr>
          <w:p w14:paraId="1D02624C" w14:textId="77777777" w:rsidR="004421F6" w:rsidRDefault="004421F6">
            <w:pPr>
              <w:rPr>
                <w:rFonts w:ascii="宋体"/>
              </w:rPr>
            </w:pPr>
          </w:p>
        </w:tc>
        <w:tc>
          <w:tcPr>
            <w:tcW w:w="5" w:type="pct"/>
            <w:shd w:val="clear" w:color="auto" w:fill="auto"/>
          </w:tcPr>
          <w:p w14:paraId="1D02624D" w14:textId="77777777" w:rsidR="004421F6" w:rsidRDefault="004421F6">
            <w:pPr>
              <w:rPr>
                <w:rFonts w:ascii="宋体"/>
              </w:rPr>
            </w:pPr>
          </w:p>
        </w:tc>
        <w:tc>
          <w:tcPr>
            <w:tcW w:w="50" w:type="pct"/>
            <w:shd w:val="clear" w:color="auto" w:fill="auto"/>
          </w:tcPr>
          <w:p w14:paraId="1D02624E" w14:textId="77777777" w:rsidR="004421F6" w:rsidRDefault="004421F6">
            <w:pPr>
              <w:rPr>
                <w:rFonts w:ascii="宋体"/>
              </w:rPr>
            </w:pPr>
          </w:p>
        </w:tc>
        <w:tc>
          <w:tcPr>
            <w:tcW w:w="355" w:type="pct"/>
            <w:shd w:val="clear" w:color="auto" w:fill="auto"/>
          </w:tcPr>
          <w:p w14:paraId="1D02624F" w14:textId="77777777" w:rsidR="004421F6" w:rsidRDefault="004421F6">
            <w:pPr>
              <w:rPr>
                <w:rFonts w:ascii="宋体"/>
              </w:rPr>
            </w:pPr>
          </w:p>
        </w:tc>
        <w:tc>
          <w:tcPr>
            <w:tcW w:w="5" w:type="pct"/>
            <w:shd w:val="clear" w:color="auto" w:fill="auto"/>
          </w:tcPr>
          <w:p w14:paraId="1D026250" w14:textId="77777777" w:rsidR="004421F6" w:rsidRDefault="004421F6">
            <w:pPr>
              <w:rPr>
                <w:rFonts w:ascii="宋体"/>
              </w:rPr>
            </w:pPr>
          </w:p>
        </w:tc>
        <w:tc>
          <w:tcPr>
            <w:tcW w:w="50" w:type="pct"/>
            <w:shd w:val="clear" w:color="auto" w:fill="auto"/>
          </w:tcPr>
          <w:p w14:paraId="1D026251" w14:textId="77777777" w:rsidR="004421F6" w:rsidRDefault="004421F6">
            <w:pPr>
              <w:rPr>
                <w:rFonts w:ascii="宋体"/>
              </w:rPr>
            </w:pPr>
          </w:p>
        </w:tc>
        <w:tc>
          <w:tcPr>
            <w:tcW w:w="355" w:type="pct"/>
            <w:shd w:val="clear" w:color="auto" w:fill="auto"/>
          </w:tcPr>
          <w:p w14:paraId="1D026252" w14:textId="77777777" w:rsidR="004421F6" w:rsidRDefault="004421F6">
            <w:pPr>
              <w:rPr>
                <w:rFonts w:ascii="宋体"/>
              </w:rPr>
            </w:pPr>
          </w:p>
        </w:tc>
        <w:tc>
          <w:tcPr>
            <w:tcW w:w="5" w:type="pct"/>
            <w:shd w:val="clear" w:color="auto" w:fill="auto"/>
          </w:tcPr>
          <w:p w14:paraId="1D026253" w14:textId="77777777" w:rsidR="004421F6" w:rsidRDefault="004421F6">
            <w:pPr>
              <w:rPr>
                <w:rFonts w:ascii="宋体"/>
              </w:rPr>
            </w:pPr>
          </w:p>
        </w:tc>
        <w:tc>
          <w:tcPr>
            <w:tcW w:w="50" w:type="pct"/>
            <w:shd w:val="clear" w:color="auto" w:fill="auto"/>
          </w:tcPr>
          <w:p w14:paraId="1D026254" w14:textId="77777777" w:rsidR="004421F6" w:rsidRDefault="004421F6">
            <w:pPr>
              <w:rPr>
                <w:rFonts w:ascii="宋体"/>
              </w:rPr>
            </w:pPr>
          </w:p>
        </w:tc>
        <w:tc>
          <w:tcPr>
            <w:tcW w:w="355" w:type="pct"/>
            <w:shd w:val="clear" w:color="auto" w:fill="auto"/>
          </w:tcPr>
          <w:p w14:paraId="1D026255" w14:textId="77777777" w:rsidR="004421F6" w:rsidRDefault="004421F6">
            <w:pPr>
              <w:rPr>
                <w:rFonts w:ascii="宋体"/>
              </w:rPr>
            </w:pPr>
          </w:p>
        </w:tc>
        <w:tc>
          <w:tcPr>
            <w:tcW w:w="5" w:type="pct"/>
            <w:shd w:val="clear" w:color="auto" w:fill="auto"/>
          </w:tcPr>
          <w:p w14:paraId="1D026256" w14:textId="77777777" w:rsidR="004421F6" w:rsidRDefault="004421F6">
            <w:pPr>
              <w:rPr>
                <w:rFonts w:ascii="宋体"/>
              </w:rPr>
            </w:pPr>
          </w:p>
        </w:tc>
        <w:tc>
          <w:tcPr>
            <w:tcW w:w="50" w:type="pct"/>
            <w:shd w:val="clear" w:color="auto" w:fill="auto"/>
          </w:tcPr>
          <w:p w14:paraId="1D026257" w14:textId="77777777" w:rsidR="004421F6" w:rsidRDefault="004421F6">
            <w:pPr>
              <w:rPr>
                <w:rFonts w:ascii="宋体"/>
              </w:rPr>
            </w:pPr>
          </w:p>
        </w:tc>
        <w:tc>
          <w:tcPr>
            <w:tcW w:w="355" w:type="pct"/>
            <w:shd w:val="clear" w:color="auto" w:fill="auto"/>
          </w:tcPr>
          <w:p w14:paraId="1D026258" w14:textId="77777777" w:rsidR="004421F6" w:rsidRDefault="004421F6">
            <w:pPr>
              <w:rPr>
                <w:rFonts w:ascii="宋体"/>
              </w:rPr>
            </w:pPr>
          </w:p>
        </w:tc>
        <w:tc>
          <w:tcPr>
            <w:tcW w:w="5" w:type="pct"/>
            <w:shd w:val="clear" w:color="auto" w:fill="auto"/>
          </w:tcPr>
          <w:p w14:paraId="1D026259" w14:textId="77777777" w:rsidR="004421F6" w:rsidRDefault="004421F6">
            <w:pPr>
              <w:rPr>
                <w:rFonts w:ascii="宋体"/>
              </w:rPr>
            </w:pPr>
          </w:p>
        </w:tc>
        <w:tc>
          <w:tcPr>
            <w:tcW w:w="50" w:type="pct"/>
            <w:shd w:val="clear" w:color="auto" w:fill="auto"/>
          </w:tcPr>
          <w:p w14:paraId="1D02625A" w14:textId="77777777" w:rsidR="004421F6" w:rsidRDefault="004421F6">
            <w:pPr>
              <w:rPr>
                <w:rFonts w:ascii="宋体"/>
              </w:rPr>
            </w:pPr>
          </w:p>
        </w:tc>
        <w:tc>
          <w:tcPr>
            <w:tcW w:w="370" w:type="pct"/>
            <w:shd w:val="clear" w:color="auto" w:fill="auto"/>
          </w:tcPr>
          <w:p w14:paraId="1D02625B" w14:textId="77777777" w:rsidR="004421F6" w:rsidRDefault="004421F6">
            <w:pPr>
              <w:rPr>
                <w:rFonts w:ascii="宋体"/>
              </w:rPr>
            </w:pPr>
          </w:p>
        </w:tc>
        <w:tc>
          <w:tcPr>
            <w:tcW w:w="5" w:type="pct"/>
            <w:shd w:val="clear" w:color="auto" w:fill="auto"/>
          </w:tcPr>
          <w:p w14:paraId="1D02625C" w14:textId="77777777" w:rsidR="004421F6" w:rsidRDefault="004421F6">
            <w:pPr>
              <w:rPr>
                <w:rFonts w:ascii="宋体"/>
              </w:rPr>
            </w:pPr>
          </w:p>
        </w:tc>
        <w:tc>
          <w:tcPr>
            <w:tcW w:w="50" w:type="pct"/>
            <w:shd w:val="clear" w:color="auto" w:fill="auto"/>
          </w:tcPr>
          <w:p w14:paraId="1D02625D" w14:textId="77777777" w:rsidR="004421F6" w:rsidRDefault="004421F6">
            <w:pPr>
              <w:rPr>
                <w:rFonts w:ascii="宋体"/>
              </w:rPr>
            </w:pPr>
          </w:p>
        </w:tc>
        <w:tc>
          <w:tcPr>
            <w:tcW w:w="355" w:type="pct"/>
            <w:shd w:val="clear" w:color="auto" w:fill="auto"/>
          </w:tcPr>
          <w:p w14:paraId="1D02625E" w14:textId="77777777" w:rsidR="004421F6" w:rsidRDefault="004421F6">
            <w:pPr>
              <w:rPr>
                <w:rFonts w:ascii="宋体"/>
              </w:rPr>
            </w:pPr>
          </w:p>
        </w:tc>
        <w:tc>
          <w:tcPr>
            <w:tcW w:w="5" w:type="pct"/>
            <w:shd w:val="clear" w:color="auto" w:fill="auto"/>
          </w:tcPr>
          <w:p w14:paraId="1D02625F" w14:textId="77777777" w:rsidR="004421F6" w:rsidRDefault="004421F6">
            <w:pPr>
              <w:rPr>
                <w:rFonts w:ascii="宋体"/>
              </w:rPr>
            </w:pPr>
          </w:p>
        </w:tc>
        <w:tc>
          <w:tcPr>
            <w:tcW w:w="50" w:type="pct"/>
            <w:shd w:val="clear" w:color="auto" w:fill="auto"/>
          </w:tcPr>
          <w:p w14:paraId="1D026260" w14:textId="77777777" w:rsidR="004421F6" w:rsidRDefault="004421F6">
            <w:pPr>
              <w:rPr>
                <w:rFonts w:ascii="宋体"/>
              </w:rPr>
            </w:pPr>
          </w:p>
        </w:tc>
        <w:tc>
          <w:tcPr>
            <w:tcW w:w="386" w:type="pct"/>
            <w:shd w:val="clear" w:color="auto" w:fill="auto"/>
          </w:tcPr>
          <w:p w14:paraId="1D026261" w14:textId="77777777" w:rsidR="004421F6" w:rsidRDefault="004421F6">
            <w:pPr>
              <w:rPr>
                <w:rFonts w:ascii="宋体"/>
              </w:rPr>
            </w:pPr>
          </w:p>
        </w:tc>
        <w:tc>
          <w:tcPr>
            <w:tcW w:w="5" w:type="pct"/>
            <w:shd w:val="clear" w:color="auto" w:fill="auto"/>
          </w:tcPr>
          <w:p w14:paraId="1D026262" w14:textId="77777777" w:rsidR="004421F6" w:rsidRDefault="004421F6">
            <w:pPr>
              <w:rPr>
                <w:rFonts w:ascii="宋体"/>
              </w:rPr>
            </w:pPr>
          </w:p>
        </w:tc>
        <w:tc>
          <w:tcPr>
            <w:tcW w:w="50" w:type="pct"/>
            <w:shd w:val="clear" w:color="auto" w:fill="auto"/>
          </w:tcPr>
          <w:p w14:paraId="1D026263" w14:textId="77777777" w:rsidR="004421F6" w:rsidRDefault="004421F6">
            <w:pPr>
              <w:rPr>
                <w:rFonts w:ascii="宋体"/>
              </w:rPr>
            </w:pPr>
          </w:p>
        </w:tc>
        <w:tc>
          <w:tcPr>
            <w:tcW w:w="432" w:type="pct"/>
            <w:shd w:val="clear" w:color="auto" w:fill="auto"/>
          </w:tcPr>
          <w:p w14:paraId="1D026264" w14:textId="77777777" w:rsidR="004421F6" w:rsidRDefault="004421F6">
            <w:pPr>
              <w:rPr>
                <w:rFonts w:ascii="宋体"/>
              </w:rPr>
            </w:pPr>
          </w:p>
        </w:tc>
        <w:tc>
          <w:tcPr>
            <w:tcW w:w="5" w:type="pct"/>
            <w:shd w:val="clear" w:color="auto" w:fill="auto"/>
          </w:tcPr>
          <w:p w14:paraId="1D026265" w14:textId="77777777" w:rsidR="004421F6" w:rsidRDefault="004421F6">
            <w:pPr>
              <w:rPr>
                <w:rFonts w:ascii="宋体"/>
              </w:rPr>
            </w:pPr>
          </w:p>
        </w:tc>
        <w:tc>
          <w:tcPr>
            <w:tcW w:w="50" w:type="pct"/>
            <w:shd w:val="clear" w:color="auto" w:fill="auto"/>
          </w:tcPr>
          <w:p w14:paraId="1D026266" w14:textId="77777777" w:rsidR="004421F6" w:rsidRDefault="004421F6">
            <w:pPr>
              <w:rPr>
                <w:rFonts w:ascii="宋体"/>
              </w:rPr>
            </w:pPr>
          </w:p>
        </w:tc>
        <w:tc>
          <w:tcPr>
            <w:tcW w:w="355" w:type="pct"/>
            <w:shd w:val="clear" w:color="auto" w:fill="auto"/>
          </w:tcPr>
          <w:p w14:paraId="1D026267" w14:textId="77777777" w:rsidR="004421F6" w:rsidRDefault="004421F6">
            <w:pPr>
              <w:rPr>
                <w:rFonts w:ascii="宋体"/>
              </w:rPr>
            </w:pPr>
          </w:p>
        </w:tc>
        <w:tc>
          <w:tcPr>
            <w:tcW w:w="5" w:type="pct"/>
            <w:shd w:val="clear" w:color="auto" w:fill="auto"/>
          </w:tcPr>
          <w:p w14:paraId="1D026268" w14:textId="77777777" w:rsidR="004421F6" w:rsidRDefault="004421F6">
            <w:pPr>
              <w:rPr>
                <w:rFonts w:ascii="宋体"/>
              </w:rPr>
            </w:pPr>
          </w:p>
        </w:tc>
      </w:tr>
      <w:tr w:rsidR="004421F6" w14:paraId="1D026274" w14:textId="77777777">
        <w:tc>
          <w:tcPr>
            <w:tcW w:w="0" w:type="auto"/>
            <w:gridSpan w:val="3"/>
            <w:shd w:val="clear" w:color="auto" w:fill="auto"/>
            <w:tcMar>
              <w:left w:w="20" w:type="dxa"/>
              <w:right w:w="20" w:type="dxa"/>
            </w:tcMar>
            <w:vAlign w:val="bottom"/>
          </w:tcPr>
          <w:p w14:paraId="1D02626A" w14:textId="77777777" w:rsidR="004421F6" w:rsidRDefault="004421F6">
            <w:pPr>
              <w:rPr>
                <w:rFonts w:ascii="宋体"/>
              </w:rPr>
            </w:pPr>
          </w:p>
        </w:tc>
        <w:tc>
          <w:tcPr>
            <w:tcW w:w="0" w:type="auto"/>
            <w:gridSpan w:val="27"/>
            <w:shd w:val="clear" w:color="auto" w:fill="auto"/>
            <w:tcMar>
              <w:top w:w="40" w:type="dxa"/>
              <w:left w:w="20" w:type="dxa"/>
              <w:bottom w:w="40" w:type="dxa"/>
              <w:right w:w="20" w:type="dxa"/>
            </w:tcMar>
            <w:vAlign w:val="bottom"/>
          </w:tcPr>
          <w:p w14:paraId="1D02626B" w14:textId="77777777" w:rsidR="004421F6" w:rsidRDefault="00F15622">
            <w:pPr>
              <w:jc w:val="center"/>
              <w:textAlignment w:val="bottom"/>
            </w:pPr>
            <w:r>
              <w:rPr>
                <w:rFonts w:ascii="sans-serif" w:eastAsia="sans-serif" w:hAnsi="sans-serif" w:cs="sans-serif"/>
                <w:b/>
                <w:bCs/>
                <w:color w:val="000000"/>
                <w:sz w:val="17"/>
                <w:szCs w:val="17"/>
              </w:rPr>
              <w:t>THREE MONTHS ENDED AUGUST 31, 2019</w:t>
            </w:r>
          </w:p>
        </w:tc>
        <w:tc>
          <w:tcPr>
            <w:tcW w:w="0" w:type="auto"/>
            <w:gridSpan w:val="3"/>
            <w:shd w:val="clear" w:color="auto" w:fill="auto"/>
          </w:tcPr>
          <w:p w14:paraId="1D02626C" w14:textId="77777777" w:rsidR="004421F6" w:rsidRDefault="004421F6">
            <w:pPr>
              <w:rPr>
                <w:rFonts w:ascii="宋体"/>
                <w:vanish/>
              </w:rPr>
            </w:pPr>
          </w:p>
        </w:tc>
        <w:tc>
          <w:tcPr>
            <w:tcW w:w="0" w:type="auto"/>
            <w:gridSpan w:val="3"/>
            <w:shd w:val="clear" w:color="auto" w:fill="auto"/>
          </w:tcPr>
          <w:p w14:paraId="1D02626D" w14:textId="77777777" w:rsidR="004421F6" w:rsidRDefault="004421F6">
            <w:pPr>
              <w:rPr>
                <w:rFonts w:ascii="宋体"/>
                <w:vanish/>
              </w:rPr>
            </w:pPr>
          </w:p>
        </w:tc>
        <w:tc>
          <w:tcPr>
            <w:tcW w:w="0" w:type="auto"/>
            <w:gridSpan w:val="3"/>
            <w:shd w:val="clear" w:color="auto" w:fill="auto"/>
          </w:tcPr>
          <w:p w14:paraId="1D02626E" w14:textId="77777777" w:rsidR="004421F6" w:rsidRDefault="004421F6">
            <w:pPr>
              <w:rPr>
                <w:rFonts w:ascii="宋体"/>
                <w:vanish/>
              </w:rPr>
            </w:pPr>
          </w:p>
        </w:tc>
        <w:tc>
          <w:tcPr>
            <w:tcW w:w="0" w:type="auto"/>
            <w:gridSpan w:val="3"/>
            <w:shd w:val="clear" w:color="auto" w:fill="auto"/>
          </w:tcPr>
          <w:p w14:paraId="1D02626F" w14:textId="77777777" w:rsidR="004421F6" w:rsidRDefault="004421F6">
            <w:pPr>
              <w:rPr>
                <w:rFonts w:ascii="宋体"/>
                <w:vanish/>
              </w:rPr>
            </w:pPr>
          </w:p>
        </w:tc>
        <w:tc>
          <w:tcPr>
            <w:tcW w:w="0" w:type="auto"/>
            <w:gridSpan w:val="3"/>
            <w:shd w:val="clear" w:color="auto" w:fill="auto"/>
          </w:tcPr>
          <w:p w14:paraId="1D026270" w14:textId="77777777" w:rsidR="004421F6" w:rsidRDefault="004421F6">
            <w:pPr>
              <w:rPr>
                <w:rFonts w:ascii="宋体"/>
                <w:vanish/>
              </w:rPr>
            </w:pPr>
          </w:p>
        </w:tc>
        <w:tc>
          <w:tcPr>
            <w:tcW w:w="0" w:type="auto"/>
            <w:gridSpan w:val="3"/>
            <w:shd w:val="clear" w:color="auto" w:fill="auto"/>
          </w:tcPr>
          <w:p w14:paraId="1D026271" w14:textId="77777777" w:rsidR="004421F6" w:rsidRDefault="004421F6">
            <w:pPr>
              <w:rPr>
                <w:rFonts w:ascii="宋体"/>
                <w:vanish/>
              </w:rPr>
            </w:pPr>
          </w:p>
        </w:tc>
        <w:tc>
          <w:tcPr>
            <w:tcW w:w="0" w:type="auto"/>
            <w:gridSpan w:val="3"/>
            <w:shd w:val="clear" w:color="auto" w:fill="auto"/>
          </w:tcPr>
          <w:p w14:paraId="1D026272" w14:textId="77777777" w:rsidR="004421F6" w:rsidRDefault="004421F6">
            <w:pPr>
              <w:rPr>
                <w:rFonts w:ascii="宋体"/>
                <w:vanish/>
              </w:rPr>
            </w:pPr>
          </w:p>
        </w:tc>
        <w:tc>
          <w:tcPr>
            <w:tcW w:w="0" w:type="auto"/>
            <w:gridSpan w:val="3"/>
            <w:shd w:val="clear" w:color="auto" w:fill="auto"/>
          </w:tcPr>
          <w:p w14:paraId="1D026273" w14:textId="77777777" w:rsidR="004421F6" w:rsidRDefault="004421F6">
            <w:pPr>
              <w:rPr>
                <w:rFonts w:ascii="宋体"/>
                <w:vanish/>
              </w:rPr>
            </w:pPr>
          </w:p>
        </w:tc>
      </w:tr>
      <w:tr w:rsidR="004421F6" w14:paraId="1D026297" w14:textId="77777777">
        <w:tc>
          <w:tcPr>
            <w:tcW w:w="0" w:type="auto"/>
            <w:gridSpan w:val="3"/>
            <w:shd w:val="clear" w:color="auto" w:fill="auto"/>
            <w:tcMar>
              <w:top w:w="40" w:type="dxa"/>
              <w:left w:w="20" w:type="dxa"/>
              <w:bottom w:w="40" w:type="dxa"/>
              <w:right w:w="20" w:type="dxa"/>
            </w:tcMar>
            <w:vAlign w:val="bottom"/>
          </w:tcPr>
          <w:p w14:paraId="1D026275"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276" w14:textId="77777777" w:rsidR="004421F6" w:rsidRDefault="00F15622">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277" w14:textId="77777777" w:rsidR="004421F6" w:rsidRDefault="00F15622">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278" w14:textId="77777777" w:rsidR="004421F6" w:rsidRDefault="00F15622">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279" w14:textId="77777777" w:rsidR="004421F6" w:rsidRDefault="00F15622">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27A" w14:textId="77777777" w:rsidR="004421F6" w:rsidRDefault="00F15622">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27B" w14:textId="77777777" w:rsidR="004421F6" w:rsidRDefault="00F15622">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27C" w14:textId="77777777" w:rsidR="004421F6" w:rsidRDefault="00F15622">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27D" w14:textId="77777777" w:rsidR="004421F6" w:rsidRDefault="00F15622">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27E" w14:textId="77777777" w:rsidR="004421F6" w:rsidRDefault="00F15622">
            <w:pPr>
              <w:jc w:val="right"/>
              <w:textAlignment w:val="bottom"/>
            </w:pPr>
            <w:r>
              <w:rPr>
                <w:rFonts w:ascii="sans-serif" w:eastAsia="sans-serif" w:hAnsi="sans-serif" w:cs="sans-serif"/>
                <w:b/>
                <w:bCs/>
                <w:color w:val="000000"/>
                <w:sz w:val="17"/>
                <w:szCs w:val="17"/>
              </w:rPr>
              <w:t>TOTAL NIKE, INC.</w:t>
            </w:r>
          </w:p>
        </w:tc>
        <w:tc>
          <w:tcPr>
            <w:tcW w:w="0" w:type="auto"/>
            <w:shd w:val="clear" w:color="auto" w:fill="auto"/>
          </w:tcPr>
          <w:p w14:paraId="1D02627F" w14:textId="77777777" w:rsidR="004421F6" w:rsidRDefault="004421F6">
            <w:pPr>
              <w:rPr>
                <w:rFonts w:ascii="宋体"/>
              </w:rPr>
            </w:pPr>
          </w:p>
        </w:tc>
        <w:tc>
          <w:tcPr>
            <w:tcW w:w="0" w:type="auto"/>
            <w:shd w:val="clear" w:color="auto" w:fill="auto"/>
          </w:tcPr>
          <w:p w14:paraId="1D026280" w14:textId="77777777" w:rsidR="004421F6" w:rsidRDefault="004421F6">
            <w:pPr>
              <w:rPr>
                <w:rFonts w:ascii="宋体"/>
              </w:rPr>
            </w:pPr>
          </w:p>
        </w:tc>
        <w:tc>
          <w:tcPr>
            <w:tcW w:w="0" w:type="auto"/>
            <w:shd w:val="clear" w:color="auto" w:fill="auto"/>
          </w:tcPr>
          <w:p w14:paraId="1D026281" w14:textId="77777777" w:rsidR="004421F6" w:rsidRDefault="004421F6">
            <w:pPr>
              <w:rPr>
                <w:rFonts w:ascii="宋体"/>
              </w:rPr>
            </w:pPr>
          </w:p>
        </w:tc>
        <w:tc>
          <w:tcPr>
            <w:tcW w:w="0" w:type="auto"/>
            <w:shd w:val="clear" w:color="auto" w:fill="auto"/>
          </w:tcPr>
          <w:p w14:paraId="1D026282" w14:textId="77777777" w:rsidR="004421F6" w:rsidRDefault="004421F6">
            <w:pPr>
              <w:rPr>
                <w:rFonts w:ascii="宋体"/>
              </w:rPr>
            </w:pPr>
          </w:p>
        </w:tc>
        <w:tc>
          <w:tcPr>
            <w:tcW w:w="0" w:type="auto"/>
            <w:shd w:val="clear" w:color="auto" w:fill="auto"/>
          </w:tcPr>
          <w:p w14:paraId="1D026283" w14:textId="77777777" w:rsidR="004421F6" w:rsidRDefault="004421F6">
            <w:pPr>
              <w:rPr>
                <w:rFonts w:ascii="宋体"/>
              </w:rPr>
            </w:pPr>
          </w:p>
        </w:tc>
        <w:tc>
          <w:tcPr>
            <w:tcW w:w="0" w:type="auto"/>
            <w:shd w:val="clear" w:color="auto" w:fill="auto"/>
          </w:tcPr>
          <w:p w14:paraId="1D026284" w14:textId="77777777" w:rsidR="004421F6" w:rsidRDefault="004421F6">
            <w:pPr>
              <w:rPr>
                <w:rFonts w:ascii="宋体"/>
              </w:rPr>
            </w:pPr>
          </w:p>
        </w:tc>
        <w:tc>
          <w:tcPr>
            <w:tcW w:w="0" w:type="auto"/>
            <w:shd w:val="clear" w:color="auto" w:fill="auto"/>
          </w:tcPr>
          <w:p w14:paraId="1D026285" w14:textId="77777777" w:rsidR="004421F6" w:rsidRDefault="004421F6">
            <w:pPr>
              <w:rPr>
                <w:rFonts w:ascii="宋体"/>
              </w:rPr>
            </w:pPr>
          </w:p>
        </w:tc>
        <w:tc>
          <w:tcPr>
            <w:tcW w:w="0" w:type="auto"/>
            <w:shd w:val="clear" w:color="auto" w:fill="auto"/>
          </w:tcPr>
          <w:p w14:paraId="1D026286" w14:textId="77777777" w:rsidR="004421F6" w:rsidRDefault="004421F6">
            <w:pPr>
              <w:rPr>
                <w:rFonts w:ascii="宋体"/>
              </w:rPr>
            </w:pPr>
          </w:p>
        </w:tc>
        <w:tc>
          <w:tcPr>
            <w:tcW w:w="0" w:type="auto"/>
            <w:shd w:val="clear" w:color="auto" w:fill="auto"/>
          </w:tcPr>
          <w:p w14:paraId="1D026287" w14:textId="77777777" w:rsidR="004421F6" w:rsidRDefault="004421F6">
            <w:pPr>
              <w:rPr>
                <w:rFonts w:ascii="宋体"/>
              </w:rPr>
            </w:pPr>
          </w:p>
        </w:tc>
        <w:tc>
          <w:tcPr>
            <w:tcW w:w="0" w:type="auto"/>
            <w:shd w:val="clear" w:color="auto" w:fill="auto"/>
          </w:tcPr>
          <w:p w14:paraId="1D026288" w14:textId="77777777" w:rsidR="004421F6" w:rsidRDefault="004421F6">
            <w:pPr>
              <w:rPr>
                <w:rFonts w:ascii="宋体"/>
              </w:rPr>
            </w:pPr>
          </w:p>
        </w:tc>
        <w:tc>
          <w:tcPr>
            <w:tcW w:w="0" w:type="auto"/>
            <w:shd w:val="clear" w:color="auto" w:fill="auto"/>
          </w:tcPr>
          <w:p w14:paraId="1D026289" w14:textId="77777777" w:rsidR="004421F6" w:rsidRDefault="004421F6">
            <w:pPr>
              <w:rPr>
                <w:rFonts w:ascii="宋体"/>
              </w:rPr>
            </w:pPr>
          </w:p>
        </w:tc>
        <w:tc>
          <w:tcPr>
            <w:tcW w:w="0" w:type="auto"/>
            <w:shd w:val="clear" w:color="auto" w:fill="auto"/>
          </w:tcPr>
          <w:p w14:paraId="1D02628A" w14:textId="77777777" w:rsidR="004421F6" w:rsidRDefault="004421F6">
            <w:pPr>
              <w:rPr>
                <w:rFonts w:ascii="宋体"/>
              </w:rPr>
            </w:pPr>
          </w:p>
        </w:tc>
        <w:tc>
          <w:tcPr>
            <w:tcW w:w="0" w:type="auto"/>
            <w:shd w:val="clear" w:color="auto" w:fill="auto"/>
          </w:tcPr>
          <w:p w14:paraId="1D02628B" w14:textId="77777777" w:rsidR="004421F6" w:rsidRDefault="004421F6">
            <w:pPr>
              <w:rPr>
                <w:rFonts w:ascii="宋体"/>
              </w:rPr>
            </w:pPr>
          </w:p>
        </w:tc>
        <w:tc>
          <w:tcPr>
            <w:tcW w:w="0" w:type="auto"/>
            <w:shd w:val="clear" w:color="auto" w:fill="auto"/>
          </w:tcPr>
          <w:p w14:paraId="1D02628C" w14:textId="77777777" w:rsidR="004421F6" w:rsidRDefault="004421F6">
            <w:pPr>
              <w:rPr>
                <w:rFonts w:ascii="宋体"/>
              </w:rPr>
            </w:pPr>
          </w:p>
        </w:tc>
        <w:tc>
          <w:tcPr>
            <w:tcW w:w="0" w:type="auto"/>
            <w:shd w:val="clear" w:color="auto" w:fill="auto"/>
          </w:tcPr>
          <w:p w14:paraId="1D02628D" w14:textId="77777777" w:rsidR="004421F6" w:rsidRDefault="004421F6">
            <w:pPr>
              <w:rPr>
                <w:rFonts w:ascii="宋体"/>
              </w:rPr>
            </w:pPr>
          </w:p>
        </w:tc>
        <w:tc>
          <w:tcPr>
            <w:tcW w:w="0" w:type="auto"/>
            <w:shd w:val="clear" w:color="auto" w:fill="auto"/>
          </w:tcPr>
          <w:p w14:paraId="1D02628E" w14:textId="77777777" w:rsidR="004421F6" w:rsidRDefault="004421F6">
            <w:pPr>
              <w:rPr>
                <w:rFonts w:ascii="宋体"/>
              </w:rPr>
            </w:pPr>
          </w:p>
        </w:tc>
        <w:tc>
          <w:tcPr>
            <w:tcW w:w="0" w:type="auto"/>
            <w:shd w:val="clear" w:color="auto" w:fill="auto"/>
          </w:tcPr>
          <w:p w14:paraId="1D02628F" w14:textId="77777777" w:rsidR="004421F6" w:rsidRDefault="004421F6">
            <w:pPr>
              <w:rPr>
                <w:rFonts w:ascii="宋体"/>
              </w:rPr>
            </w:pPr>
          </w:p>
        </w:tc>
        <w:tc>
          <w:tcPr>
            <w:tcW w:w="0" w:type="auto"/>
            <w:shd w:val="clear" w:color="auto" w:fill="auto"/>
          </w:tcPr>
          <w:p w14:paraId="1D026290" w14:textId="77777777" w:rsidR="004421F6" w:rsidRDefault="004421F6">
            <w:pPr>
              <w:rPr>
                <w:rFonts w:ascii="宋体"/>
              </w:rPr>
            </w:pPr>
          </w:p>
        </w:tc>
        <w:tc>
          <w:tcPr>
            <w:tcW w:w="0" w:type="auto"/>
            <w:shd w:val="clear" w:color="auto" w:fill="auto"/>
          </w:tcPr>
          <w:p w14:paraId="1D026291" w14:textId="77777777" w:rsidR="004421F6" w:rsidRDefault="004421F6">
            <w:pPr>
              <w:rPr>
                <w:rFonts w:ascii="宋体"/>
              </w:rPr>
            </w:pPr>
          </w:p>
        </w:tc>
        <w:tc>
          <w:tcPr>
            <w:tcW w:w="0" w:type="auto"/>
            <w:shd w:val="clear" w:color="auto" w:fill="auto"/>
          </w:tcPr>
          <w:p w14:paraId="1D026292" w14:textId="77777777" w:rsidR="004421F6" w:rsidRDefault="004421F6">
            <w:pPr>
              <w:rPr>
                <w:rFonts w:ascii="宋体"/>
              </w:rPr>
            </w:pPr>
          </w:p>
        </w:tc>
        <w:tc>
          <w:tcPr>
            <w:tcW w:w="0" w:type="auto"/>
            <w:shd w:val="clear" w:color="auto" w:fill="auto"/>
          </w:tcPr>
          <w:p w14:paraId="1D026293" w14:textId="77777777" w:rsidR="004421F6" w:rsidRDefault="004421F6">
            <w:pPr>
              <w:rPr>
                <w:rFonts w:ascii="宋体"/>
              </w:rPr>
            </w:pPr>
          </w:p>
        </w:tc>
        <w:tc>
          <w:tcPr>
            <w:tcW w:w="0" w:type="auto"/>
            <w:shd w:val="clear" w:color="auto" w:fill="auto"/>
          </w:tcPr>
          <w:p w14:paraId="1D026294" w14:textId="77777777" w:rsidR="004421F6" w:rsidRDefault="004421F6">
            <w:pPr>
              <w:rPr>
                <w:rFonts w:ascii="宋体"/>
              </w:rPr>
            </w:pPr>
          </w:p>
        </w:tc>
        <w:tc>
          <w:tcPr>
            <w:tcW w:w="0" w:type="auto"/>
            <w:shd w:val="clear" w:color="auto" w:fill="auto"/>
          </w:tcPr>
          <w:p w14:paraId="1D026295" w14:textId="77777777" w:rsidR="004421F6" w:rsidRDefault="004421F6">
            <w:pPr>
              <w:rPr>
                <w:rFonts w:ascii="宋体"/>
              </w:rPr>
            </w:pPr>
          </w:p>
        </w:tc>
        <w:tc>
          <w:tcPr>
            <w:tcW w:w="0" w:type="auto"/>
            <w:shd w:val="clear" w:color="auto" w:fill="auto"/>
          </w:tcPr>
          <w:p w14:paraId="1D026296" w14:textId="77777777" w:rsidR="004421F6" w:rsidRDefault="004421F6">
            <w:pPr>
              <w:rPr>
                <w:rFonts w:ascii="宋体"/>
              </w:rPr>
            </w:pPr>
          </w:p>
        </w:tc>
      </w:tr>
      <w:tr w:rsidR="004421F6" w14:paraId="1D0262B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298" w14:textId="77777777" w:rsidR="004421F6" w:rsidRDefault="00F1562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left w:w="20" w:type="dxa"/>
              <w:right w:w="20" w:type="dxa"/>
            </w:tcMar>
            <w:vAlign w:val="bottom"/>
          </w:tcPr>
          <w:p w14:paraId="1D026299"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29A"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29B"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29C"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29D"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29E"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29F"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2A0"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2A1" w14:textId="77777777" w:rsidR="004421F6" w:rsidRDefault="004421F6">
            <w:pPr>
              <w:rPr>
                <w:rFonts w:ascii="宋体"/>
              </w:rPr>
            </w:pPr>
          </w:p>
        </w:tc>
        <w:tc>
          <w:tcPr>
            <w:tcW w:w="0" w:type="auto"/>
            <w:shd w:val="clear" w:color="auto" w:fill="auto"/>
          </w:tcPr>
          <w:p w14:paraId="1D0262A2" w14:textId="77777777" w:rsidR="004421F6" w:rsidRDefault="004421F6">
            <w:pPr>
              <w:rPr>
                <w:rFonts w:ascii="宋体"/>
              </w:rPr>
            </w:pPr>
          </w:p>
        </w:tc>
        <w:tc>
          <w:tcPr>
            <w:tcW w:w="0" w:type="auto"/>
            <w:shd w:val="clear" w:color="auto" w:fill="auto"/>
          </w:tcPr>
          <w:p w14:paraId="1D0262A3" w14:textId="77777777" w:rsidR="004421F6" w:rsidRDefault="004421F6">
            <w:pPr>
              <w:rPr>
                <w:rFonts w:ascii="宋体"/>
              </w:rPr>
            </w:pPr>
          </w:p>
        </w:tc>
        <w:tc>
          <w:tcPr>
            <w:tcW w:w="0" w:type="auto"/>
            <w:shd w:val="clear" w:color="auto" w:fill="auto"/>
          </w:tcPr>
          <w:p w14:paraId="1D0262A4" w14:textId="77777777" w:rsidR="004421F6" w:rsidRDefault="004421F6">
            <w:pPr>
              <w:rPr>
                <w:rFonts w:ascii="宋体"/>
              </w:rPr>
            </w:pPr>
          </w:p>
        </w:tc>
        <w:tc>
          <w:tcPr>
            <w:tcW w:w="0" w:type="auto"/>
            <w:shd w:val="clear" w:color="auto" w:fill="auto"/>
          </w:tcPr>
          <w:p w14:paraId="1D0262A5" w14:textId="77777777" w:rsidR="004421F6" w:rsidRDefault="004421F6">
            <w:pPr>
              <w:rPr>
                <w:rFonts w:ascii="宋体"/>
              </w:rPr>
            </w:pPr>
          </w:p>
        </w:tc>
        <w:tc>
          <w:tcPr>
            <w:tcW w:w="0" w:type="auto"/>
            <w:shd w:val="clear" w:color="auto" w:fill="auto"/>
          </w:tcPr>
          <w:p w14:paraId="1D0262A6" w14:textId="77777777" w:rsidR="004421F6" w:rsidRDefault="004421F6">
            <w:pPr>
              <w:rPr>
                <w:rFonts w:ascii="宋体"/>
              </w:rPr>
            </w:pPr>
          </w:p>
        </w:tc>
        <w:tc>
          <w:tcPr>
            <w:tcW w:w="0" w:type="auto"/>
            <w:shd w:val="clear" w:color="auto" w:fill="auto"/>
          </w:tcPr>
          <w:p w14:paraId="1D0262A7" w14:textId="77777777" w:rsidR="004421F6" w:rsidRDefault="004421F6">
            <w:pPr>
              <w:rPr>
                <w:rFonts w:ascii="宋体"/>
              </w:rPr>
            </w:pPr>
          </w:p>
        </w:tc>
        <w:tc>
          <w:tcPr>
            <w:tcW w:w="0" w:type="auto"/>
            <w:shd w:val="clear" w:color="auto" w:fill="auto"/>
          </w:tcPr>
          <w:p w14:paraId="1D0262A8" w14:textId="77777777" w:rsidR="004421F6" w:rsidRDefault="004421F6">
            <w:pPr>
              <w:rPr>
                <w:rFonts w:ascii="宋体"/>
              </w:rPr>
            </w:pPr>
          </w:p>
        </w:tc>
        <w:tc>
          <w:tcPr>
            <w:tcW w:w="0" w:type="auto"/>
            <w:shd w:val="clear" w:color="auto" w:fill="auto"/>
          </w:tcPr>
          <w:p w14:paraId="1D0262A9" w14:textId="77777777" w:rsidR="004421F6" w:rsidRDefault="004421F6">
            <w:pPr>
              <w:rPr>
                <w:rFonts w:ascii="宋体"/>
              </w:rPr>
            </w:pPr>
          </w:p>
        </w:tc>
        <w:tc>
          <w:tcPr>
            <w:tcW w:w="0" w:type="auto"/>
            <w:shd w:val="clear" w:color="auto" w:fill="auto"/>
          </w:tcPr>
          <w:p w14:paraId="1D0262AA" w14:textId="77777777" w:rsidR="004421F6" w:rsidRDefault="004421F6">
            <w:pPr>
              <w:rPr>
                <w:rFonts w:ascii="宋体"/>
              </w:rPr>
            </w:pPr>
          </w:p>
        </w:tc>
        <w:tc>
          <w:tcPr>
            <w:tcW w:w="0" w:type="auto"/>
            <w:shd w:val="clear" w:color="auto" w:fill="auto"/>
          </w:tcPr>
          <w:p w14:paraId="1D0262AB" w14:textId="77777777" w:rsidR="004421F6" w:rsidRDefault="004421F6">
            <w:pPr>
              <w:rPr>
                <w:rFonts w:ascii="宋体"/>
              </w:rPr>
            </w:pPr>
          </w:p>
        </w:tc>
        <w:tc>
          <w:tcPr>
            <w:tcW w:w="0" w:type="auto"/>
            <w:shd w:val="clear" w:color="auto" w:fill="auto"/>
          </w:tcPr>
          <w:p w14:paraId="1D0262AC" w14:textId="77777777" w:rsidR="004421F6" w:rsidRDefault="004421F6">
            <w:pPr>
              <w:rPr>
                <w:rFonts w:ascii="宋体"/>
              </w:rPr>
            </w:pPr>
          </w:p>
        </w:tc>
        <w:tc>
          <w:tcPr>
            <w:tcW w:w="0" w:type="auto"/>
            <w:shd w:val="clear" w:color="auto" w:fill="auto"/>
          </w:tcPr>
          <w:p w14:paraId="1D0262AD" w14:textId="77777777" w:rsidR="004421F6" w:rsidRDefault="004421F6">
            <w:pPr>
              <w:rPr>
                <w:rFonts w:ascii="宋体"/>
              </w:rPr>
            </w:pPr>
          </w:p>
        </w:tc>
        <w:tc>
          <w:tcPr>
            <w:tcW w:w="0" w:type="auto"/>
            <w:shd w:val="clear" w:color="auto" w:fill="auto"/>
          </w:tcPr>
          <w:p w14:paraId="1D0262AE" w14:textId="77777777" w:rsidR="004421F6" w:rsidRDefault="004421F6">
            <w:pPr>
              <w:rPr>
                <w:rFonts w:ascii="宋体"/>
              </w:rPr>
            </w:pPr>
          </w:p>
        </w:tc>
        <w:tc>
          <w:tcPr>
            <w:tcW w:w="0" w:type="auto"/>
            <w:shd w:val="clear" w:color="auto" w:fill="auto"/>
          </w:tcPr>
          <w:p w14:paraId="1D0262AF" w14:textId="77777777" w:rsidR="004421F6" w:rsidRDefault="004421F6">
            <w:pPr>
              <w:rPr>
                <w:rFonts w:ascii="宋体"/>
              </w:rPr>
            </w:pPr>
          </w:p>
        </w:tc>
        <w:tc>
          <w:tcPr>
            <w:tcW w:w="0" w:type="auto"/>
            <w:shd w:val="clear" w:color="auto" w:fill="auto"/>
          </w:tcPr>
          <w:p w14:paraId="1D0262B0" w14:textId="77777777" w:rsidR="004421F6" w:rsidRDefault="004421F6">
            <w:pPr>
              <w:rPr>
                <w:rFonts w:ascii="宋体"/>
              </w:rPr>
            </w:pPr>
          </w:p>
        </w:tc>
        <w:tc>
          <w:tcPr>
            <w:tcW w:w="0" w:type="auto"/>
            <w:shd w:val="clear" w:color="auto" w:fill="auto"/>
          </w:tcPr>
          <w:p w14:paraId="1D0262B1" w14:textId="77777777" w:rsidR="004421F6" w:rsidRDefault="004421F6">
            <w:pPr>
              <w:rPr>
                <w:rFonts w:ascii="宋体"/>
              </w:rPr>
            </w:pPr>
          </w:p>
        </w:tc>
        <w:tc>
          <w:tcPr>
            <w:tcW w:w="0" w:type="auto"/>
            <w:shd w:val="clear" w:color="auto" w:fill="auto"/>
          </w:tcPr>
          <w:p w14:paraId="1D0262B2" w14:textId="77777777" w:rsidR="004421F6" w:rsidRDefault="004421F6">
            <w:pPr>
              <w:rPr>
                <w:rFonts w:ascii="宋体"/>
              </w:rPr>
            </w:pPr>
          </w:p>
        </w:tc>
        <w:tc>
          <w:tcPr>
            <w:tcW w:w="0" w:type="auto"/>
            <w:shd w:val="clear" w:color="auto" w:fill="auto"/>
          </w:tcPr>
          <w:p w14:paraId="1D0262B3" w14:textId="77777777" w:rsidR="004421F6" w:rsidRDefault="004421F6">
            <w:pPr>
              <w:rPr>
                <w:rFonts w:ascii="宋体"/>
              </w:rPr>
            </w:pPr>
          </w:p>
        </w:tc>
        <w:tc>
          <w:tcPr>
            <w:tcW w:w="0" w:type="auto"/>
            <w:shd w:val="clear" w:color="auto" w:fill="auto"/>
          </w:tcPr>
          <w:p w14:paraId="1D0262B4" w14:textId="77777777" w:rsidR="004421F6" w:rsidRDefault="004421F6">
            <w:pPr>
              <w:rPr>
                <w:rFonts w:ascii="宋体"/>
              </w:rPr>
            </w:pPr>
          </w:p>
        </w:tc>
        <w:tc>
          <w:tcPr>
            <w:tcW w:w="0" w:type="auto"/>
            <w:shd w:val="clear" w:color="auto" w:fill="auto"/>
          </w:tcPr>
          <w:p w14:paraId="1D0262B5" w14:textId="77777777" w:rsidR="004421F6" w:rsidRDefault="004421F6">
            <w:pPr>
              <w:rPr>
                <w:rFonts w:ascii="宋体"/>
              </w:rPr>
            </w:pPr>
          </w:p>
        </w:tc>
        <w:tc>
          <w:tcPr>
            <w:tcW w:w="0" w:type="auto"/>
            <w:shd w:val="clear" w:color="auto" w:fill="auto"/>
          </w:tcPr>
          <w:p w14:paraId="1D0262B6" w14:textId="77777777" w:rsidR="004421F6" w:rsidRDefault="004421F6">
            <w:pPr>
              <w:rPr>
                <w:rFonts w:ascii="宋体"/>
              </w:rPr>
            </w:pPr>
          </w:p>
        </w:tc>
        <w:tc>
          <w:tcPr>
            <w:tcW w:w="0" w:type="auto"/>
            <w:shd w:val="clear" w:color="auto" w:fill="auto"/>
          </w:tcPr>
          <w:p w14:paraId="1D0262B7" w14:textId="77777777" w:rsidR="004421F6" w:rsidRDefault="004421F6">
            <w:pPr>
              <w:rPr>
                <w:rFonts w:ascii="宋体"/>
              </w:rPr>
            </w:pPr>
          </w:p>
        </w:tc>
        <w:tc>
          <w:tcPr>
            <w:tcW w:w="0" w:type="auto"/>
            <w:shd w:val="clear" w:color="auto" w:fill="auto"/>
          </w:tcPr>
          <w:p w14:paraId="1D0262B8" w14:textId="77777777" w:rsidR="004421F6" w:rsidRDefault="004421F6">
            <w:pPr>
              <w:rPr>
                <w:rFonts w:ascii="宋体"/>
              </w:rPr>
            </w:pPr>
          </w:p>
        </w:tc>
        <w:tc>
          <w:tcPr>
            <w:tcW w:w="0" w:type="auto"/>
            <w:shd w:val="clear" w:color="auto" w:fill="auto"/>
          </w:tcPr>
          <w:p w14:paraId="1D0262B9" w14:textId="77777777" w:rsidR="004421F6" w:rsidRDefault="004421F6">
            <w:pPr>
              <w:rPr>
                <w:rFonts w:ascii="宋体"/>
              </w:rPr>
            </w:pPr>
          </w:p>
        </w:tc>
      </w:tr>
      <w:tr w:rsidR="004421F6" w14:paraId="1D0262EF"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2BB" w14:textId="77777777" w:rsidR="004421F6" w:rsidRDefault="00F1562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auto"/>
            <w:tcMar>
              <w:top w:w="40" w:type="dxa"/>
              <w:left w:w="20" w:type="dxa"/>
              <w:bottom w:w="40" w:type="dxa"/>
            </w:tcMar>
            <w:vAlign w:val="bottom"/>
          </w:tcPr>
          <w:p w14:paraId="1D0262BC"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2BD" w14:textId="77777777" w:rsidR="004421F6" w:rsidRDefault="00F15622">
            <w:pPr>
              <w:jc w:val="right"/>
              <w:textAlignment w:val="bottom"/>
            </w:pPr>
            <w:r>
              <w:rPr>
                <w:rFonts w:ascii="Arial" w:eastAsia="宋体" w:hAnsi="Arial" w:cs="Arial"/>
                <w:color w:val="000000"/>
                <w:sz w:val="17"/>
                <w:szCs w:val="17"/>
              </w:rPr>
              <w:t>2,669 </w:t>
            </w:r>
          </w:p>
        </w:tc>
        <w:tc>
          <w:tcPr>
            <w:tcW w:w="0" w:type="auto"/>
            <w:tcBorders>
              <w:top w:val="single" w:sz="8" w:space="0" w:color="808080"/>
            </w:tcBorders>
            <w:shd w:val="clear" w:color="auto" w:fill="auto"/>
            <w:tcMar>
              <w:top w:w="40" w:type="dxa"/>
              <w:bottom w:w="40" w:type="dxa"/>
              <w:right w:w="20" w:type="dxa"/>
            </w:tcMar>
            <w:vAlign w:val="bottom"/>
          </w:tcPr>
          <w:p w14:paraId="1D0262BE"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2BF"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2C0" w14:textId="77777777" w:rsidR="004421F6" w:rsidRDefault="00F15622">
            <w:pPr>
              <w:jc w:val="right"/>
              <w:textAlignment w:val="bottom"/>
            </w:pPr>
            <w:r>
              <w:rPr>
                <w:rFonts w:ascii="Arial" w:eastAsia="宋体" w:hAnsi="Arial" w:cs="Arial"/>
                <w:color w:val="000000"/>
                <w:sz w:val="17"/>
                <w:szCs w:val="17"/>
              </w:rPr>
              <w:t>1,758 </w:t>
            </w:r>
          </w:p>
        </w:tc>
        <w:tc>
          <w:tcPr>
            <w:tcW w:w="0" w:type="auto"/>
            <w:tcBorders>
              <w:top w:val="single" w:sz="8" w:space="0" w:color="808080"/>
            </w:tcBorders>
            <w:shd w:val="clear" w:color="auto" w:fill="auto"/>
            <w:tcMar>
              <w:top w:w="40" w:type="dxa"/>
              <w:bottom w:w="40" w:type="dxa"/>
              <w:right w:w="20" w:type="dxa"/>
            </w:tcMar>
            <w:vAlign w:val="bottom"/>
          </w:tcPr>
          <w:p w14:paraId="1D0262C1"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2C2"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2C3" w14:textId="77777777" w:rsidR="004421F6" w:rsidRDefault="00F15622">
            <w:pPr>
              <w:jc w:val="right"/>
              <w:textAlignment w:val="bottom"/>
            </w:pPr>
            <w:r>
              <w:rPr>
                <w:rFonts w:ascii="Arial" w:eastAsia="宋体" w:hAnsi="Arial" w:cs="Arial"/>
                <w:color w:val="000000"/>
                <w:sz w:val="17"/>
                <w:szCs w:val="17"/>
              </w:rPr>
              <w:t>1,164 </w:t>
            </w:r>
          </w:p>
        </w:tc>
        <w:tc>
          <w:tcPr>
            <w:tcW w:w="0" w:type="auto"/>
            <w:tcBorders>
              <w:top w:val="single" w:sz="8" w:space="0" w:color="808080"/>
            </w:tcBorders>
            <w:shd w:val="clear" w:color="auto" w:fill="auto"/>
            <w:tcMar>
              <w:top w:w="40" w:type="dxa"/>
              <w:bottom w:w="40" w:type="dxa"/>
              <w:right w:w="20" w:type="dxa"/>
            </w:tcMar>
            <w:vAlign w:val="bottom"/>
          </w:tcPr>
          <w:p w14:paraId="1D0262C4"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2C5"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2C6" w14:textId="77777777" w:rsidR="004421F6" w:rsidRDefault="00F15622">
            <w:pPr>
              <w:jc w:val="right"/>
              <w:textAlignment w:val="bottom"/>
            </w:pPr>
            <w:r>
              <w:rPr>
                <w:rFonts w:ascii="Arial" w:eastAsia="宋体" w:hAnsi="Arial" w:cs="Arial"/>
                <w:color w:val="000000"/>
                <w:sz w:val="17"/>
                <w:szCs w:val="17"/>
              </w:rPr>
              <w:t>930 </w:t>
            </w:r>
          </w:p>
        </w:tc>
        <w:tc>
          <w:tcPr>
            <w:tcW w:w="0" w:type="auto"/>
            <w:tcBorders>
              <w:top w:val="single" w:sz="8" w:space="0" w:color="808080"/>
            </w:tcBorders>
            <w:shd w:val="clear" w:color="auto" w:fill="auto"/>
            <w:tcMar>
              <w:top w:w="40" w:type="dxa"/>
              <w:bottom w:w="40" w:type="dxa"/>
              <w:right w:w="20" w:type="dxa"/>
            </w:tcMar>
            <w:vAlign w:val="bottom"/>
          </w:tcPr>
          <w:p w14:paraId="1D0262C7"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2C8"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2C9"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2CA"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2CB"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2CC" w14:textId="77777777" w:rsidR="004421F6" w:rsidRDefault="00F15622">
            <w:pPr>
              <w:jc w:val="right"/>
              <w:textAlignment w:val="bottom"/>
            </w:pPr>
            <w:r>
              <w:rPr>
                <w:rFonts w:ascii="Arial" w:eastAsia="宋体" w:hAnsi="Arial" w:cs="Arial"/>
                <w:color w:val="000000"/>
                <w:sz w:val="17"/>
                <w:szCs w:val="17"/>
              </w:rPr>
              <w:t>6,521 </w:t>
            </w:r>
          </w:p>
        </w:tc>
        <w:tc>
          <w:tcPr>
            <w:tcW w:w="0" w:type="auto"/>
            <w:tcBorders>
              <w:top w:val="single" w:sz="8" w:space="0" w:color="808080"/>
            </w:tcBorders>
            <w:shd w:val="clear" w:color="auto" w:fill="auto"/>
            <w:tcMar>
              <w:top w:w="40" w:type="dxa"/>
              <w:bottom w:w="40" w:type="dxa"/>
              <w:right w:w="20" w:type="dxa"/>
            </w:tcMar>
            <w:vAlign w:val="bottom"/>
          </w:tcPr>
          <w:p w14:paraId="1D0262CD"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2CE"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2CF" w14:textId="77777777" w:rsidR="004421F6" w:rsidRDefault="00F15622">
            <w:pPr>
              <w:jc w:val="right"/>
              <w:textAlignment w:val="bottom"/>
            </w:pPr>
            <w:r>
              <w:rPr>
                <w:rFonts w:ascii="Arial" w:eastAsia="宋体" w:hAnsi="Arial" w:cs="Arial"/>
                <w:color w:val="000000"/>
                <w:sz w:val="17"/>
                <w:szCs w:val="17"/>
              </w:rPr>
              <w:t>496 </w:t>
            </w:r>
          </w:p>
        </w:tc>
        <w:tc>
          <w:tcPr>
            <w:tcW w:w="0" w:type="auto"/>
            <w:tcBorders>
              <w:top w:val="single" w:sz="8" w:space="0" w:color="808080"/>
            </w:tcBorders>
            <w:shd w:val="clear" w:color="auto" w:fill="auto"/>
            <w:tcMar>
              <w:top w:w="40" w:type="dxa"/>
              <w:bottom w:w="40" w:type="dxa"/>
              <w:right w:w="20" w:type="dxa"/>
            </w:tcMar>
            <w:vAlign w:val="bottom"/>
          </w:tcPr>
          <w:p w14:paraId="1D0262D0"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2D1"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2D2"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2D3"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2D4"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2D5" w14:textId="77777777" w:rsidR="004421F6" w:rsidRDefault="00F15622">
            <w:pPr>
              <w:jc w:val="right"/>
              <w:textAlignment w:val="bottom"/>
            </w:pPr>
            <w:r>
              <w:rPr>
                <w:rFonts w:ascii="Arial" w:eastAsia="宋体" w:hAnsi="Arial" w:cs="Arial"/>
                <w:color w:val="000000"/>
                <w:sz w:val="17"/>
                <w:szCs w:val="17"/>
              </w:rPr>
              <w:t>7,017 </w:t>
            </w:r>
          </w:p>
        </w:tc>
        <w:tc>
          <w:tcPr>
            <w:tcW w:w="0" w:type="auto"/>
            <w:tcBorders>
              <w:top w:val="single" w:sz="8" w:space="0" w:color="808080"/>
            </w:tcBorders>
            <w:shd w:val="clear" w:color="auto" w:fill="auto"/>
            <w:tcMar>
              <w:top w:w="40" w:type="dxa"/>
              <w:bottom w:w="40" w:type="dxa"/>
              <w:right w:w="20" w:type="dxa"/>
            </w:tcMar>
            <w:vAlign w:val="bottom"/>
          </w:tcPr>
          <w:p w14:paraId="1D0262D6" w14:textId="77777777" w:rsidR="004421F6" w:rsidRDefault="004421F6">
            <w:pPr>
              <w:jc w:val="right"/>
              <w:rPr>
                <w:rFonts w:ascii="宋体"/>
              </w:rPr>
            </w:pPr>
          </w:p>
        </w:tc>
        <w:tc>
          <w:tcPr>
            <w:tcW w:w="0" w:type="auto"/>
            <w:shd w:val="clear" w:color="auto" w:fill="auto"/>
          </w:tcPr>
          <w:p w14:paraId="1D0262D7" w14:textId="77777777" w:rsidR="004421F6" w:rsidRDefault="004421F6">
            <w:pPr>
              <w:rPr>
                <w:rFonts w:ascii="宋体"/>
              </w:rPr>
            </w:pPr>
          </w:p>
        </w:tc>
        <w:tc>
          <w:tcPr>
            <w:tcW w:w="0" w:type="auto"/>
            <w:shd w:val="clear" w:color="auto" w:fill="auto"/>
          </w:tcPr>
          <w:p w14:paraId="1D0262D8" w14:textId="77777777" w:rsidR="004421F6" w:rsidRDefault="004421F6">
            <w:pPr>
              <w:rPr>
                <w:rFonts w:ascii="宋体"/>
              </w:rPr>
            </w:pPr>
          </w:p>
        </w:tc>
        <w:tc>
          <w:tcPr>
            <w:tcW w:w="0" w:type="auto"/>
            <w:shd w:val="clear" w:color="auto" w:fill="auto"/>
          </w:tcPr>
          <w:p w14:paraId="1D0262D9" w14:textId="77777777" w:rsidR="004421F6" w:rsidRDefault="004421F6">
            <w:pPr>
              <w:rPr>
                <w:rFonts w:ascii="宋体"/>
              </w:rPr>
            </w:pPr>
          </w:p>
        </w:tc>
        <w:tc>
          <w:tcPr>
            <w:tcW w:w="0" w:type="auto"/>
            <w:shd w:val="clear" w:color="auto" w:fill="auto"/>
          </w:tcPr>
          <w:p w14:paraId="1D0262DA" w14:textId="77777777" w:rsidR="004421F6" w:rsidRDefault="004421F6">
            <w:pPr>
              <w:rPr>
                <w:rFonts w:ascii="宋体"/>
              </w:rPr>
            </w:pPr>
          </w:p>
        </w:tc>
        <w:tc>
          <w:tcPr>
            <w:tcW w:w="0" w:type="auto"/>
            <w:shd w:val="clear" w:color="auto" w:fill="auto"/>
          </w:tcPr>
          <w:p w14:paraId="1D0262DB" w14:textId="77777777" w:rsidR="004421F6" w:rsidRDefault="004421F6">
            <w:pPr>
              <w:rPr>
                <w:rFonts w:ascii="宋体"/>
              </w:rPr>
            </w:pPr>
          </w:p>
        </w:tc>
        <w:tc>
          <w:tcPr>
            <w:tcW w:w="0" w:type="auto"/>
            <w:shd w:val="clear" w:color="auto" w:fill="auto"/>
          </w:tcPr>
          <w:p w14:paraId="1D0262DC" w14:textId="77777777" w:rsidR="004421F6" w:rsidRDefault="004421F6">
            <w:pPr>
              <w:rPr>
                <w:rFonts w:ascii="宋体"/>
              </w:rPr>
            </w:pPr>
          </w:p>
        </w:tc>
        <w:tc>
          <w:tcPr>
            <w:tcW w:w="0" w:type="auto"/>
            <w:shd w:val="clear" w:color="auto" w:fill="auto"/>
          </w:tcPr>
          <w:p w14:paraId="1D0262DD" w14:textId="77777777" w:rsidR="004421F6" w:rsidRDefault="004421F6">
            <w:pPr>
              <w:rPr>
                <w:rFonts w:ascii="宋体"/>
              </w:rPr>
            </w:pPr>
          </w:p>
        </w:tc>
        <w:tc>
          <w:tcPr>
            <w:tcW w:w="0" w:type="auto"/>
            <w:shd w:val="clear" w:color="auto" w:fill="auto"/>
          </w:tcPr>
          <w:p w14:paraId="1D0262DE" w14:textId="77777777" w:rsidR="004421F6" w:rsidRDefault="004421F6">
            <w:pPr>
              <w:rPr>
                <w:rFonts w:ascii="宋体"/>
              </w:rPr>
            </w:pPr>
          </w:p>
        </w:tc>
        <w:tc>
          <w:tcPr>
            <w:tcW w:w="0" w:type="auto"/>
            <w:shd w:val="clear" w:color="auto" w:fill="auto"/>
          </w:tcPr>
          <w:p w14:paraId="1D0262DF" w14:textId="77777777" w:rsidR="004421F6" w:rsidRDefault="004421F6">
            <w:pPr>
              <w:rPr>
                <w:rFonts w:ascii="宋体"/>
              </w:rPr>
            </w:pPr>
          </w:p>
        </w:tc>
        <w:tc>
          <w:tcPr>
            <w:tcW w:w="0" w:type="auto"/>
            <w:shd w:val="clear" w:color="auto" w:fill="auto"/>
          </w:tcPr>
          <w:p w14:paraId="1D0262E0" w14:textId="77777777" w:rsidR="004421F6" w:rsidRDefault="004421F6">
            <w:pPr>
              <w:rPr>
                <w:rFonts w:ascii="宋体"/>
              </w:rPr>
            </w:pPr>
          </w:p>
        </w:tc>
        <w:tc>
          <w:tcPr>
            <w:tcW w:w="0" w:type="auto"/>
            <w:shd w:val="clear" w:color="auto" w:fill="auto"/>
          </w:tcPr>
          <w:p w14:paraId="1D0262E1" w14:textId="77777777" w:rsidR="004421F6" w:rsidRDefault="004421F6">
            <w:pPr>
              <w:rPr>
                <w:rFonts w:ascii="宋体"/>
              </w:rPr>
            </w:pPr>
          </w:p>
        </w:tc>
        <w:tc>
          <w:tcPr>
            <w:tcW w:w="0" w:type="auto"/>
            <w:shd w:val="clear" w:color="auto" w:fill="auto"/>
          </w:tcPr>
          <w:p w14:paraId="1D0262E2" w14:textId="77777777" w:rsidR="004421F6" w:rsidRDefault="004421F6">
            <w:pPr>
              <w:rPr>
                <w:rFonts w:ascii="宋体"/>
              </w:rPr>
            </w:pPr>
          </w:p>
        </w:tc>
        <w:tc>
          <w:tcPr>
            <w:tcW w:w="0" w:type="auto"/>
            <w:shd w:val="clear" w:color="auto" w:fill="auto"/>
          </w:tcPr>
          <w:p w14:paraId="1D0262E3" w14:textId="77777777" w:rsidR="004421F6" w:rsidRDefault="004421F6">
            <w:pPr>
              <w:rPr>
                <w:rFonts w:ascii="宋体"/>
              </w:rPr>
            </w:pPr>
          </w:p>
        </w:tc>
        <w:tc>
          <w:tcPr>
            <w:tcW w:w="0" w:type="auto"/>
            <w:shd w:val="clear" w:color="auto" w:fill="auto"/>
          </w:tcPr>
          <w:p w14:paraId="1D0262E4" w14:textId="77777777" w:rsidR="004421F6" w:rsidRDefault="004421F6">
            <w:pPr>
              <w:rPr>
                <w:rFonts w:ascii="宋体"/>
              </w:rPr>
            </w:pPr>
          </w:p>
        </w:tc>
        <w:tc>
          <w:tcPr>
            <w:tcW w:w="0" w:type="auto"/>
            <w:shd w:val="clear" w:color="auto" w:fill="auto"/>
          </w:tcPr>
          <w:p w14:paraId="1D0262E5" w14:textId="77777777" w:rsidR="004421F6" w:rsidRDefault="004421F6">
            <w:pPr>
              <w:rPr>
                <w:rFonts w:ascii="宋体"/>
              </w:rPr>
            </w:pPr>
          </w:p>
        </w:tc>
        <w:tc>
          <w:tcPr>
            <w:tcW w:w="0" w:type="auto"/>
            <w:shd w:val="clear" w:color="auto" w:fill="auto"/>
          </w:tcPr>
          <w:p w14:paraId="1D0262E6" w14:textId="77777777" w:rsidR="004421F6" w:rsidRDefault="004421F6">
            <w:pPr>
              <w:rPr>
                <w:rFonts w:ascii="宋体"/>
              </w:rPr>
            </w:pPr>
          </w:p>
        </w:tc>
        <w:tc>
          <w:tcPr>
            <w:tcW w:w="0" w:type="auto"/>
            <w:shd w:val="clear" w:color="auto" w:fill="auto"/>
          </w:tcPr>
          <w:p w14:paraId="1D0262E7" w14:textId="77777777" w:rsidR="004421F6" w:rsidRDefault="004421F6">
            <w:pPr>
              <w:rPr>
                <w:rFonts w:ascii="宋体"/>
              </w:rPr>
            </w:pPr>
          </w:p>
        </w:tc>
        <w:tc>
          <w:tcPr>
            <w:tcW w:w="0" w:type="auto"/>
            <w:shd w:val="clear" w:color="auto" w:fill="auto"/>
          </w:tcPr>
          <w:p w14:paraId="1D0262E8" w14:textId="77777777" w:rsidR="004421F6" w:rsidRDefault="004421F6">
            <w:pPr>
              <w:rPr>
                <w:rFonts w:ascii="宋体"/>
              </w:rPr>
            </w:pPr>
          </w:p>
        </w:tc>
        <w:tc>
          <w:tcPr>
            <w:tcW w:w="0" w:type="auto"/>
            <w:shd w:val="clear" w:color="auto" w:fill="auto"/>
          </w:tcPr>
          <w:p w14:paraId="1D0262E9" w14:textId="77777777" w:rsidR="004421F6" w:rsidRDefault="004421F6">
            <w:pPr>
              <w:rPr>
                <w:rFonts w:ascii="宋体"/>
              </w:rPr>
            </w:pPr>
          </w:p>
        </w:tc>
        <w:tc>
          <w:tcPr>
            <w:tcW w:w="0" w:type="auto"/>
            <w:shd w:val="clear" w:color="auto" w:fill="auto"/>
          </w:tcPr>
          <w:p w14:paraId="1D0262EA" w14:textId="77777777" w:rsidR="004421F6" w:rsidRDefault="004421F6">
            <w:pPr>
              <w:rPr>
                <w:rFonts w:ascii="宋体"/>
              </w:rPr>
            </w:pPr>
          </w:p>
        </w:tc>
        <w:tc>
          <w:tcPr>
            <w:tcW w:w="0" w:type="auto"/>
            <w:shd w:val="clear" w:color="auto" w:fill="auto"/>
          </w:tcPr>
          <w:p w14:paraId="1D0262EB" w14:textId="77777777" w:rsidR="004421F6" w:rsidRDefault="004421F6">
            <w:pPr>
              <w:rPr>
                <w:rFonts w:ascii="宋体"/>
              </w:rPr>
            </w:pPr>
          </w:p>
        </w:tc>
        <w:tc>
          <w:tcPr>
            <w:tcW w:w="0" w:type="auto"/>
            <w:shd w:val="clear" w:color="auto" w:fill="auto"/>
          </w:tcPr>
          <w:p w14:paraId="1D0262EC" w14:textId="77777777" w:rsidR="004421F6" w:rsidRDefault="004421F6">
            <w:pPr>
              <w:rPr>
                <w:rFonts w:ascii="宋体"/>
              </w:rPr>
            </w:pPr>
          </w:p>
        </w:tc>
        <w:tc>
          <w:tcPr>
            <w:tcW w:w="0" w:type="auto"/>
            <w:shd w:val="clear" w:color="auto" w:fill="auto"/>
          </w:tcPr>
          <w:p w14:paraId="1D0262ED" w14:textId="77777777" w:rsidR="004421F6" w:rsidRDefault="004421F6">
            <w:pPr>
              <w:rPr>
                <w:rFonts w:ascii="宋体"/>
              </w:rPr>
            </w:pPr>
          </w:p>
        </w:tc>
        <w:tc>
          <w:tcPr>
            <w:tcW w:w="0" w:type="auto"/>
            <w:shd w:val="clear" w:color="auto" w:fill="auto"/>
          </w:tcPr>
          <w:p w14:paraId="1D0262EE" w14:textId="77777777" w:rsidR="004421F6" w:rsidRDefault="004421F6">
            <w:pPr>
              <w:rPr>
                <w:rFonts w:ascii="宋体"/>
              </w:rPr>
            </w:pPr>
          </w:p>
        </w:tc>
      </w:tr>
      <w:tr w:rsidR="004421F6" w14:paraId="1D02631B"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2F0" w14:textId="77777777" w:rsidR="004421F6" w:rsidRDefault="00F1562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2F1" w14:textId="77777777" w:rsidR="004421F6" w:rsidRDefault="00F15622">
            <w:pPr>
              <w:jc w:val="right"/>
              <w:textAlignment w:val="bottom"/>
            </w:pPr>
            <w:r>
              <w:rPr>
                <w:rFonts w:ascii="Arial" w:eastAsia="宋体" w:hAnsi="Arial" w:cs="Arial"/>
                <w:color w:val="000000"/>
                <w:sz w:val="17"/>
                <w:szCs w:val="17"/>
              </w:rPr>
              <w:t>1,431 </w:t>
            </w:r>
          </w:p>
        </w:tc>
        <w:tc>
          <w:tcPr>
            <w:tcW w:w="0" w:type="auto"/>
            <w:tcBorders>
              <w:top w:val="single" w:sz="8" w:space="0" w:color="808080"/>
            </w:tcBorders>
            <w:shd w:val="clear" w:color="auto" w:fill="auto"/>
            <w:tcMar>
              <w:top w:w="40" w:type="dxa"/>
              <w:bottom w:w="40" w:type="dxa"/>
              <w:right w:w="20" w:type="dxa"/>
            </w:tcMar>
            <w:vAlign w:val="bottom"/>
          </w:tcPr>
          <w:p w14:paraId="1D0262F2"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2F3" w14:textId="77777777" w:rsidR="004421F6" w:rsidRDefault="00F15622">
            <w:pPr>
              <w:jc w:val="right"/>
              <w:textAlignment w:val="bottom"/>
            </w:pPr>
            <w:r>
              <w:rPr>
                <w:rFonts w:ascii="Arial" w:eastAsia="宋体" w:hAnsi="Arial" w:cs="Arial"/>
                <w:color w:val="000000"/>
                <w:sz w:val="17"/>
                <w:szCs w:val="17"/>
              </w:rPr>
              <w:t>869 </w:t>
            </w:r>
          </w:p>
        </w:tc>
        <w:tc>
          <w:tcPr>
            <w:tcW w:w="0" w:type="auto"/>
            <w:tcBorders>
              <w:top w:val="single" w:sz="8" w:space="0" w:color="808080"/>
            </w:tcBorders>
            <w:shd w:val="clear" w:color="auto" w:fill="auto"/>
            <w:tcMar>
              <w:top w:w="40" w:type="dxa"/>
              <w:bottom w:w="40" w:type="dxa"/>
              <w:right w:w="20" w:type="dxa"/>
            </w:tcMar>
            <w:vAlign w:val="bottom"/>
          </w:tcPr>
          <w:p w14:paraId="1D0262F4"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2F5" w14:textId="77777777" w:rsidR="004421F6" w:rsidRDefault="00F15622">
            <w:pPr>
              <w:jc w:val="right"/>
              <w:textAlignment w:val="bottom"/>
            </w:pPr>
            <w:r>
              <w:rPr>
                <w:rFonts w:ascii="Arial" w:eastAsia="宋体" w:hAnsi="Arial" w:cs="Arial"/>
                <w:color w:val="000000"/>
                <w:sz w:val="17"/>
                <w:szCs w:val="17"/>
              </w:rPr>
              <w:t>465 </w:t>
            </w:r>
          </w:p>
        </w:tc>
        <w:tc>
          <w:tcPr>
            <w:tcW w:w="0" w:type="auto"/>
            <w:tcBorders>
              <w:top w:val="single" w:sz="8" w:space="0" w:color="808080"/>
            </w:tcBorders>
            <w:shd w:val="clear" w:color="auto" w:fill="auto"/>
            <w:tcMar>
              <w:top w:w="40" w:type="dxa"/>
              <w:bottom w:w="40" w:type="dxa"/>
              <w:right w:w="20" w:type="dxa"/>
            </w:tcMar>
            <w:vAlign w:val="bottom"/>
          </w:tcPr>
          <w:p w14:paraId="1D0262F6"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2F7" w14:textId="77777777" w:rsidR="004421F6" w:rsidRDefault="00F15622">
            <w:pPr>
              <w:jc w:val="right"/>
              <w:textAlignment w:val="bottom"/>
            </w:pPr>
            <w:r>
              <w:rPr>
                <w:rFonts w:ascii="Arial" w:eastAsia="宋体" w:hAnsi="Arial" w:cs="Arial"/>
                <w:color w:val="000000"/>
                <w:sz w:val="17"/>
                <w:szCs w:val="17"/>
              </w:rPr>
              <w:t>356 </w:t>
            </w:r>
          </w:p>
        </w:tc>
        <w:tc>
          <w:tcPr>
            <w:tcW w:w="0" w:type="auto"/>
            <w:tcBorders>
              <w:top w:val="single" w:sz="8" w:space="0" w:color="808080"/>
            </w:tcBorders>
            <w:shd w:val="clear" w:color="auto" w:fill="auto"/>
            <w:tcMar>
              <w:top w:w="40" w:type="dxa"/>
              <w:bottom w:w="40" w:type="dxa"/>
              <w:right w:w="20" w:type="dxa"/>
            </w:tcMar>
            <w:vAlign w:val="bottom"/>
          </w:tcPr>
          <w:p w14:paraId="1D0262F8"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2F9"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2F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2FB" w14:textId="77777777" w:rsidR="004421F6" w:rsidRDefault="00F15622">
            <w:pPr>
              <w:jc w:val="right"/>
              <w:textAlignment w:val="bottom"/>
            </w:pPr>
            <w:r>
              <w:rPr>
                <w:rFonts w:ascii="Arial" w:eastAsia="宋体" w:hAnsi="Arial" w:cs="Arial"/>
                <w:color w:val="000000"/>
                <w:sz w:val="17"/>
                <w:szCs w:val="17"/>
              </w:rPr>
              <w:t>3,121 </w:t>
            </w:r>
          </w:p>
        </w:tc>
        <w:tc>
          <w:tcPr>
            <w:tcW w:w="0" w:type="auto"/>
            <w:tcBorders>
              <w:top w:val="single" w:sz="8" w:space="0" w:color="808080"/>
            </w:tcBorders>
            <w:shd w:val="clear" w:color="auto" w:fill="auto"/>
            <w:tcMar>
              <w:top w:w="40" w:type="dxa"/>
              <w:bottom w:w="40" w:type="dxa"/>
              <w:right w:w="20" w:type="dxa"/>
            </w:tcMar>
            <w:vAlign w:val="bottom"/>
          </w:tcPr>
          <w:p w14:paraId="1D0262FC"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2FD" w14:textId="77777777" w:rsidR="004421F6" w:rsidRDefault="00F15622">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auto"/>
            <w:tcMar>
              <w:top w:w="40" w:type="dxa"/>
              <w:bottom w:w="40" w:type="dxa"/>
              <w:right w:w="20" w:type="dxa"/>
            </w:tcMar>
            <w:vAlign w:val="bottom"/>
          </w:tcPr>
          <w:p w14:paraId="1D0262FE"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2FF"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300"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01" w14:textId="77777777" w:rsidR="004421F6" w:rsidRDefault="00F15622">
            <w:pPr>
              <w:jc w:val="right"/>
              <w:textAlignment w:val="bottom"/>
            </w:pPr>
            <w:r>
              <w:rPr>
                <w:rFonts w:ascii="Arial" w:eastAsia="宋体" w:hAnsi="Arial" w:cs="Arial"/>
                <w:color w:val="000000"/>
                <w:sz w:val="17"/>
                <w:szCs w:val="17"/>
              </w:rPr>
              <w:t>3,147 </w:t>
            </w:r>
          </w:p>
        </w:tc>
        <w:tc>
          <w:tcPr>
            <w:tcW w:w="0" w:type="auto"/>
            <w:tcBorders>
              <w:top w:val="single" w:sz="8" w:space="0" w:color="808080"/>
            </w:tcBorders>
            <w:shd w:val="clear" w:color="auto" w:fill="auto"/>
            <w:tcMar>
              <w:top w:w="40" w:type="dxa"/>
              <w:bottom w:w="40" w:type="dxa"/>
              <w:right w:w="20" w:type="dxa"/>
            </w:tcMar>
            <w:vAlign w:val="bottom"/>
          </w:tcPr>
          <w:p w14:paraId="1D026302" w14:textId="77777777" w:rsidR="004421F6" w:rsidRDefault="004421F6">
            <w:pPr>
              <w:jc w:val="right"/>
              <w:rPr>
                <w:rFonts w:ascii="宋体"/>
              </w:rPr>
            </w:pPr>
          </w:p>
        </w:tc>
        <w:tc>
          <w:tcPr>
            <w:tcW w:w="0" w:type="auto"/>
            <w:shd w:val="clear" w:color="auto" w:fill="auto"/>
          </w:tcPr>
          <w:p w14:paraId="1D026303" w14:textId="77777777" w:rsidR="004421F6" w:rsidRDefault="004421F6">
            <w:pPr>
              <w:rPr>
                <w:rFonts w:ascii="宋体"/>
              </w:rPr>
            </w:pPr>
          </w:p>
        </w:tc>
        <w:tc>
          <w:tcPr>
            <w:tcW w:w="0" w:type="auto"/>
            <w:shd w:val="clear" w:color="auto" w:fill="auto"/>
          </w:tcPr>
          <w:p w14:paraId="1D026304" w14:textId="77777777" w:rsidR="004421F6" w:rsidRDefault="004421F6">
            <w:pPr>
              <w:rPr>
                <w:rFonts w:ascii="宋体"/>
              </w:rPr>
            </w:pPr>
          </w:p>
        </w:tc>
        <w:tc>
          <w:tcPr>
            <w:tcW w:w="0" w:type="auto"/>
            <w:shd w:val="clear" w:color="auto" w:fill="auto"/>
          </w:tcPr>
          <w:p w14:paraId="1D026305" w14:textId="77777777" w:rsidR="004421F6" w:rsidRDefault="004421F6">
            <w:pPr>
              <w:rPr>
                <w:rFonts w:ascii="宋体"/>
              </w:rPr>
            </w:pPr>
          </w:p>
        </w:tc>
        <w:tc>
          <w:tcPr>
            <w:tcW w:w="0" w:type="auto"/>
            <w:shd w:val="clear" w:color="auto" w:fill="auto"/>
          </w:tcPr>
          <w:p w14:paraId="1D026306" w14:textId="77777777" w:rsidR="004421F6" w:rsidRDefault="004421F6">
            <w:pPr>
              <w:rPr>
                <w:rFonts w:ascii="宋体"/>
              </w:rPr>
            </w:pPr>
          </w:p>
        </w:tc>
        <w:tc>
          <w:tcPr>
            <w:tcW w:w="0" w:type="auto"/>
            <w:shd w:val="clear" w:color="auto" w:fill="auto"/>
          </w:tcPr>
          <w:p w14:paraId="1D026307" w14:textId="77777777" w:rsidR="004421F6" w:rsidRDefault="004421F6">
            <w:pPr>
              <w:rPr>
                <w:rFonts w:ascii="宋体"/>
              </w:rPr>
            </w:pPr>
          </w:p>
        </w:tc>
        <w:tc>
          <w:tcPr>
            <w:tcW w:w="0" w:type="auto"/>
            <w:shd w:val="clear" w:color="auto" w:fill="auto"/>
          </w:tcPr>
          <w:p w14:paraId="1D026308" w14:textId="77777777" w:rsidR="004421F6" w:rsidRDefault="004421F6">
            <w:pPr>
              <w:rPr>
                <w:rFonts w:ascii="宋体"/>
              </w:rPr>
            </w:pPr>
          </w:p>
        </w:tc>
        <w:tc>
          <w:tcPr>
            <w:tcW w:w="0" w:type="auto"/>
            <w:shd w:val="clear" w:color="auto" w:fill="auto"/>
          </w:tcPr>
          <w:p w14:paraId="1D026309" w14:textId="77777777" w:rsidR="004421F6" w:rsidRDefault="004421F6">
            <w:pPr>
              <w:rPr>
                <w:rFonts w:ascii="宋体"/>
              </w:rPr>
            </w:pPr>
          </w:p>
        </w:tc>
        <w:tc>
          <w:tcPr>
            <w:tcW w:w="0" w:type="auto"/>
            <w:shd w:val="clear" w:color="auto" w:fill="auto"/>
          </w:tcPr>
          <w:p w14:paraId="1D02630A" w14:textId="77777777" w:rsidR="004421F6" w:rsidRDefault="004421F6">
            <w:pPr>
              <w:rPr>
                <w:rFonts w:ascii="宋体"/>
              </w:rPr>
            </w:pPr>
          </w:p>
        </w:tc>
        <w:tc>
          <w:tcPr>
            <w:tcW w:w="0" w:type="auto"/>
            <w:shd w:val="clear" w:color="auto" w:fill="auto"/>
          </w:tcPr>
          <w:p w14:paraId="1D02630B" w14:textId="77777777" w:rsidR="004421F6" w:rsidRDefault="004421F6">
            <w:pPr>
              <w:rPr>
                <w:rFonts w:ascii="宋体"/>
              </w:rPr>
            </w:pPr>
          </w:p>
        </w:tc>
        <w:tc>
          <w:tcPr>
            <w:tcW w:w="0" w:type="auto"/>
            <w:shd w:val="clear" w:color="auto" w:fill="auto"/>
          </w:tcPr>
          <w:p w14:paraId="1D02630C" w14:textId="77777777" w:rsidR="004421F6" w:rsidRDefault="004421F6">
            <w:pPr>
              <w:rPr>
                <w:rFonts w:ascii="宋体"/>
              </w:rPr>
            </w:pPr>
          </w:p>
        </w:tc>
        <w:tc>
          <w:tcPr>
            <w:tcW w:w="0" w:type="auto"/>
            <w:shd w:val="clear" w:color="auto" w:fill="auto"/>
          </w:tcPr>
          <w:p w14:paraId="1D02630D" w14:textId="77777777" w:rsidR="004421F6" w:rsidRDefault="004421F6">
            <w:pPr>
              <w:rPr>
                <w:rFonts w:ascii="宋体"/>
              </w:rPr>
            </w:pPr>
          </w:p>
        </w:tc>
        <w:tc>
          <w:tcPr>
            <w:tcW w:w="0" w:type="auto"/>
            <w:shd w:val="clear" w:color="auto" w:fill="auto"/>
          </w:tcPr>
          <w:p w14:paraId="1D02630E" w14:textId="77777777" w:rsidR="004421F6" w:rsidRDefault="004421F6">
            <w:pPr>
              <w:rPr>
                <w:rFonts w:ascii="宋体"/>
              </w:rPr>
            </w:pPr>
          </w:p>
        </w:tc>
        <w:tc>
          <w:tcPr>
            <w:tcW w:w="0" w:type="auto"/>
            <w:shd w:val="clear" w:color="auto" w:fill="auto"/>
          </w:tcPr>
          <w:p w14:paraId="1D02630F" w14:textId="77777777" w:rsidR="004421F6" w:rsidRDefault="004421F6">
            <w:pPr>
              <w:rPr>
                <w:rFonts w:ascii="宋体"/>
              </w:rPr>
            </w:pPr>
          </w:p>
        </w:tc>
        <w:tc>
          <w:tcPr>
            <w:tcW w:w="0" w:type="auto"/>
            <w:shd w:val="clear" w:color="auto" w:fill="auto"/>
          </w:tcPr>
          <w:p w14:paraId="1D026310" w14:textId="77777777" w:rsidR="004421F6" w:rsidRDefault="004421F6">
            <w:pPr>
              <w:rPr>
                <w:rFonts w:ascii="宋体"/>
              </w:rPr>
            </w:pPr>
          </w:p>
        </w:tc>
        <w:tc>
          <w:tcPr>
            <w:tcW w:w="0" w:type="auto"/>
            <w:shd w:val="clear" w:color="auto" w:fill="auto"/>
          </w:tcPr>
          <w:p w14:paraId="1D026311" w14:textId="77777777" w:rsidR="004421F6" w:rsidRDefault="004421F6">
            <w:pPr>
              <w:rPr>
                <w:rFonts w:ascii="宋体"/>
              </w:rPr>
            </w:pPr>
          </w:p>
        </w:tc>
        <w:tc>
          <w:tcPr>
            <w:tcW w:w="0" w:type="auto"/>
            <w:shd w:val="clear" w:color="auto" w:fill="auto"/>
          </w:tcPr>
          <w:p w14:paraId="1D026312" w14:textId="77777777" w:rsidR="004421F6" w:rsidRDefault="004421F6">
            <w:pPr>
              <w:rPr>
                <w:rFonts w:ascii="宋体"/>
              </w:rPr>
            </w:pPr>
          </w:p>
        </w:tc>
        <w:tc>
          <w:tcPr>
            <w:tcW w:w="0" w:type="auto"/>
            <w:shd w:val="clear" w:color="auto" w:fill="auto"/>
          </w:tcPr>
          <w:p w14:paraId="1D026313" w14:textId="77777777" w:rsidR="004421F6" w:rsidRDefault="004421F6">
            <w:pPr>
              <w:rPr>
                <w:rFonts w:ascii="宋体"/>
              </w:rPr>
            </w:pPr>
          </w:p>
        </w:tc>
        <w:tc>
          <w:tcPr>
            <w:tcW w:w="0" w:type="auto"/>
            <w:shd w:val="clear" w:color="auto" w:fill="auto"/>
          </w:tcPr>
          <w:p w14:paraId="1D026314" w14:textId="77777777" w:rsidR="004421F6" w:rsidRDefault="004421F6">
            <w:pPr>
              <w:rPr>
                <w:rFonts w:ascii="宋体"/>
              </w:rPr>
            </w:pPr>
          </w:p>
        </w:tc>
        <w:tc>
          <w:tcPr>
            <w:tcW w:w="0" w:type="auto"/>
            <w:shd w:val="clear" w:color="auto" w:fill="auto"/>
          </w:tcPr>
          <w:p w14:paraId="1D026315" w14:textId="77777777" w:rsidR="004421F6" w:rsidRDefault="004421F6">
            <w:pPr>
              <w:rPr>
                <w:rFonts w:ascii="宋体"/>
              </w:rPr>
            </w:pPr>
          </w:p>
        </w:tc>
        <w:tc>
          <w:tcPr>
            <w:tcW w:w="0" w:type="auto"/>
            <w:shd w:val="clear" w:color="auto" w:fill="auto"/>
          </w:tcPr>
          <w:p w14:paraId="1D026316" w14:textId="77777777" w:rsidR="004421F6" w:rsidRDefault="004421F6">
            <w:pPr>
              <w:rPr>
                <w:rFonts w:ascii="宋体"/>
              </w:rPr>
            </w:pPr>
          </w:p>
        </w:tc>
        <w:tc>
          <w:tcPr>
            <w:tcW w:w="0" w:type="auto"/>
            <w:shd w:val="clear" w:color="auto" w:fill="auto"/>
          </w:tcPr>
          <w:p w14:paraId="1D026317" w14:textId="77777777" w:rsidR="004421F6" w:rsidRDefault="004421F6">
            <w:pPr>
              <w:rPr>
                <w:rFonts w:ascii="宋体"/>
              </w:rPr>
            </w:pPr>
          </w:p>
        </w:tc>
        <w:tc>
          <w:tcPr>
            <w:tcW w:w="0" w:type="auto"/>
            <w:shd w:val="clear" w:color="auto" w:fill="auto"/>
          </w:tcPr>
          <w:p w14:paraId="1D026318" w14:textId="77777777" w:rsidR="004421F6" w:rsidRDefault="004421F6">
            <w:pPr>
              <w:rPr>
                <w:rFonts w:ascii="宋体"/>
              </w:rPr>
            </w:pPr>
          </w:p>
        </w:tc>
        <w:tc>
          <w:tcPr>
            <w:tcW w:w="0" w:type="auto"/>
            <w:shd w:val="clear" w:color="auto" w:fill="auto"/>
          </w:tcPr>
          <w:p w14:paraId="1D026319" w14:textId="77777777" w:rsidR="004421F6" w:rsidRDefault="004421F6">
            <w:pPr>
              <w:rPr>
                <w:rFonts w:ascii="宋体"/>
              </w:rPr>
            </w:pPr>
          </w:p>
        </w:tc>
        <w:tc>
          <w:tcPr>
            <w:tcW w:w="0" w:type="auto"/>
            <w:shd w:val="clear" w:color="auto" w:fill="auto"/>
          </w:tcPr>
          <w:p w14:paraId="1D02631A" w14:textId="77777777" w:rsidR="004421F6" w:rsidRDefault="004421F6">
            <w:pPr>
              <w:rPr>
                <w:rFonts w:ascii="宋体"/>
              </w:rPr>
            </w:pPr>
          </w:p>
        </w:tc>
      </w:tr>
      <w:tr w:rsidR="004421F6" w14:paraId="1D026347"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31C" w14:textId="77777777" w:rsidR="004421F6" w:rsidRDefault="00F1562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1D" w14:textId="77777777" w:rsidR="004421F6" w:rsidRDefault="00F15622">
            <w:pPr>
              <w:jc w:val="right"/>
              <w:textAlignment w:val="bottom"/>
            </w:pPr>
            <w:r>
              <w:rPr>
                <w:rFonts w:ascii="Arial" w:eastAsia="宋体" w:hAnsi="Arial" w:cs="Arial"/>
                <w:color w:val="000000"/>
                <w:sz w:val="17"/>
                <w:szCs w:val="17"/>
              </w:rPr>
              <w:t>193 </w:t>
            </w:r>
          </w:p>
        </w:tc>
        <w:tc>
          <w:tcPr>
            <w:tcW w:w="0" w:type="auto"/>
            <w:tcBorders>
              <w:top w:val="single" w:sz="8" w:space="0" w:color="808080"/>
            </w:tcBorders>
            <w:shd w:val="clear" w:color="auto" w:fill="auto"/>
            <w:tcMar>
              <w:top w:w="40" w:type="dxa"/>
              <w:bottom w:w="40" w:type="dxa"/>
              <w:right w:w="20" w:type="dxa"/>
            </w:tcMar>
            <w:vAlign w:val="bottom"/>
          </w:tcPr>
          <w:p w14:paraId="1D02631E"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1F" w14:textId="77777777" w:rsidR="004421F6" w:rsidRDefault="00F15622">
            <w:pPr>
              <w:jc w:val="right"/>
              <w:textAlignment w:val="bottom"/>
            </w:pPr>
            <w:r>
              <w:rPr>
                <w:rFonts w:ascii="Arial" w:eastAsia="宋体" w:hAnsi="Arial" w:cs="Arial"/>
                <w:color w:val="000000"/>
                <w:sz w:val="17"/>
                <w:szCs w:val="17"/>
              </w:rPr>
              <w:t>146 </w:t>
            </w:r>
          </w:p>
        </w:tc>
        <w:tc>
          <w:tcPr>
            <w:tcW w:w="0" w:type="auto"/>
            <w:tcBorders>
              <w:top w:val="single" w:sz="8" w:space="0" w:color="808080"/>
            </w:tcBorders>
            <w:shd w:val="clear" w:color="auto" w:fill="auto"/>
            <w:tcMar>
              <w:top w:w="40" w:type="dxa"/>
              <w:bottom w:w="40" w:type="dxa"/>
              <w:right w:w="20" w:type="dxa"/>
            </w:tcMar>
            <w:vAlign w:val="bottom"/>
          </w:tcPr>
          <w:p w14:paraId="1D026320"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21" w14:textId="77777777" w:rsidR="004421F6" w:rsidRDefault="00F15622">
            <w:pPr>
              <w:jc w:val="right"/>
              <w:textAlignment w:val="bottom"/>
            </w:pPr>
            <w:r>
              <w:rPr>
                <w:rFonts w:ascii="Arial" w:eastAsia="宋体" w:hAnsi="Arial" w:cs="Arial"/>
                <w:color w:val="000000"/>
                <w:sz w:val="17"/>
                <w:szCs w:val="17"/>
              </w:rPr>
              <w:t>50 </w:t>
            </w:r>
          </w:p>
        </w:tc>
        <w:tc>
          <w:tcPr>
            <w:tcW w:w="0" w:type="auto"/>
            <w:tcBorders>
              <w:top w:val="single" w:sz="8" w:space="0" w:color="808080"/>
            </w:tcBorders>
            <w:shd w:val="clear" w:color="auto" w:fill="auto"/>
            <w:tcMar>
              <w:top w:w="40" w:type="dxa"/>
              <w:bottom w:w="40" w:type="dxa"/>
              <w:right w:w="20" w:type="dxa"/>
            </w:tcMar>
            <w:vAlign w:val="bottom"/>
          </w:tcPr>
          <w:p w14:paraId="1D026322"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23" w14:textId="77777777" w:rsidR="004421F6" w:rsidRDefault="00F15622">
            <w:pPr>
              <w:jc w:val="right"/>
              <w:textAlignment w:val="bottom"/>
            </w:pPr>
            <w:r>
              <w:rPr>
                <w:rFonts w:ascii="Arial" w:eastAsia="宋体" w:hAnsi="Arial" w:cs="Arial"/>
                <w:color w:val="000000"/>
                <w:sz w:val="17"/>
                <w:szCs w:val="17"/>
              </w:rPr>
              <w:t>59 </w:t>
            </w:r>
          </w:p>
        </w:tc>
        <w:tc>
          <w:tcPr>
            <w:tcW w:w="0" w:type="auto"/>
            <w:tcBorders>
              <w:top w:val="single" w:sz="8" w:space="0" w:color="808080"/>
            </w:tcBorders>
            <w:shd w:val="clear" w:color="auto" w:fill="auto"/>
            <w:tcMar>
              <w:top w:w="40" w:type="dxa"/>
              <w:bottom w:w="40" w:type="dxa"/>
              <w:right w:w="20" w:type="dxa"/>
            </w:tcMar>
            <w:vAlign w:val="bottom"/>
          </w:tcPr>
          <w:p w14:paraId="1D026324"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25"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326"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27" w14:textId="77777777" w:rsidR="004421F6" w:rsidRDefault="00F15622">
            <w:pPr>
              <w:jc w:val="right"/>
              <w:textAlignment w:val="bottom"/>
            </w:pPr>
            <w:r>
              <w:rPr>
                <w:rFonts w:ascii="Arial" w:eastAsia="宋体" w:hAnsi="Arial" w:cs="Arial"/>
                <w:color w:val="000000"/>
                <w:sz w:val="17"/>
                <w:szCs w:val="17"/>
              </w:rPr>
              <w:t>448 </w:t>
            </w:r>
          </w:p>
        </w:tc>
        <w:tc>
          <w:tcPr>
            <w:tcW w:w="0" w:type="auto"/>
            <w:tcBorders>
              <w:top w:val="single" w:sz="8" w:space="0" w:color="808080"/>
            </w:tcBorders>
            <w:shd w:val="clear" w:color="auto" w:fill="auto"/>
            <w:tcMar>
              <w:top w:w="40" w:type="dxa"/>
              <w:bottom w:w="40" w:type="dxa"/>
              <w:right w:w="20" w:type="dxa"/>
            </w:tcMar>
            <w:vAlign w:val="bottom"/>
          </w:tcPr>
          <w:p w14:paraId="1D026328"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29" w14:textId="77777777" w:rsidR="004421F6" w:rsidRDefault="00F1562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bottom w:w="40" w:type="dxa"/>
              <w:right w:w="20" w:type="dxa"/>
            </w:tcMar>
            <w:vAlign w:val="bottom"/>
          </w:tcPr>
          <w:p w14:paraId="1D02632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2B"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32C"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2D" w14:textId="77777777" w:rsidR="004421F6" w:rsidRDefault="00F15622">
            <w:pPr>
              <w:jc w:val="right"/>
              <w:textAlignment w:val="bottom"/>
            </w:pPr>
            <w:r>
              <w:rPr>
                <w:rFonts w:ascii="Arial" w:eastAsia="宋体" w:hAnsi="Arial" w:cs="Arial"/>
                <w:color w:val="000000"/>
                <w:sz w:val="17"/>
                <w:szCs w:val="17"/>
              </w:rPr>
              <w:t>457 </w:t>
            </w:r>
          </w:p>
        </w:tc>
        <w:tc>
          <w:tcPr>
            <w:tcW w:w="0" w:type="auto"/>
            <w:tcBorders>
              <w:top w:val="single" w:sz="8" w:space="0" w:color="808080"/>
            </w:tcBorders>
            <w:shd w:val="clear" w:color="auto" w:fill="auto"/>
            <w:tcMar>
              <w:top w:w="40" w:type="dxa"/>
              <w:bottom w:w="40" w:type="dxa"/>
              <w:right w:w="20" w:type="dxa"/>
            </w:tcMar>
            <w:vAlign w:val="bottom"/>
          </w:tcPr>
          <w:p w14:paraId="1D02632E" w14:textId="77777777" w:rsidR="004421F6" w:rsidRDefault="004421F6">
            <w:pPr>
              <w:jc w:val="right"/>
              <w:rPr>
                <w:rFonts w:ascii="宋体"/>
              </w:rPr>
            </w:pPr>
          </w:p>
        </w:tc>
        <w:tc>
          <w:tcPr>
            <w:tcW w:w="0" w:type="auto"/>
            <w:shd w:val="clear" w:color="auto" w:fill="auto"/>
          </w:tcPr>
          <w:p w14:paraId="1D02632F" w14:textId="77777777" w:rsidR="004421F6" w:rsidRDefault="004421F6">
            <w:pPr>
              <w:rPr>
                <w:rFonts w:ascii="宋体"/>
              </w:rPr>
            </w:pPr>
          </w:p>
        </w:tc>
        <w:tc>
          <w:tcPr>
            <w:tcW w:w="0" w:type="auto"/>
            <w:shd w:val="clear" w:color="auto" w:fill="auto"/>
          </w:tcPr>
          <w:p w14:paraId="1D026330" w14:textId="77777777" w:rsidR="004421F6" w:rsidRDefault="004421F6">
            <w:pPr>
              <w:rPr>
                <w:rFonts w:ascii="宋体"/>
              </w:rPr>
            </w:pPr>
          </w:p>
        </w:tc>
        <w:tc>
          <w:tcPr>
            <w:tcW w:w="0" w:type="auto"/>
            <w:shd w:val="clear" w:color="auto" w:fill="auto"/>
          </w:tcPr>
          <w:p w14:paraId="1D026331" w14:textId="77777777" w:rsidR="004421F6" w:rsidRDefault="004421F6">
            <w:pPr>
              <w:rPr>
                <w:rFonts w:ascii="宋体"/>
              </w:rPr>
            </w:pPr>
          </w:p>
        </w:tc>
        <w:tc>
          <w:tcPr>
            <w:tcW w:w="0" w:type="auto"/>
            <w:shd w:val="clear" w:color="auto" w:fill="auto"/>
          </w:tcPr>
          <w:p w14:paraId="1D026332" w14:textId="77777777" w:rsidR="004421F6" w:rsidRDefault="004421F6">
            <w:pPr>
              <w:rPr>
                <w:rFonts w:ascii="宋体"/>
              </w:rPr>
            </w:pPr>
          </w:p>
        </w:tc>
        <w:tc>
          <w:tcPr>
            <w:tcW w:w="0" w:type="auto"/>
            <w:shd w:val="clear" w:color="auto" w:fill="auto"/>
          </w:tcPr>
          <w:p w14:paraId="1D026333" w14:textId="77777777" w:rsidR="004421F6" w:rsidRDefault="004421F6">
            <w:pPr>
              <w:rPr>
                <w:rFonts w:ascii="宋体"/>
              </w:rPr>
            </w:pPr>
          </w:p>
        </w:tc>
        <w:tc>
          <w:tcPr>
            <w:tcW w:w="0" w:type="auto"/>
            <w:shd w:val="clear" w:color="auto" w:fill="auto"/>
          </w:tcPr>
          <w:p w14:paraId="1D026334" w14:textId="77777777" w:rsidR="004421F6" w:rsidRDefault="004421F6">
            <w:pPr>
              <w:rPr>
                <w:rFonts w:ascii="宋体"/>
              </w:rPr>
            </w:pPr>
          </w:p>
        </w:tc>
        <w:tc>
          <w:tcPr>
            <w:tcW w:w="0" w:type="auto"/>
            <w:shd w:val="clear" w:color="auto" w:fill="auto"/>
          </w:tcPr>
          <w:p w14:paraId="1D026335" w14:textId="77777777" w:rsidR="004421F6" w:rsidRDefault="004421F6">
            <w:pPr>
              <w:rPr>
                <w:rFonts w:ascii="宋体"/>
              </w:rPr>
            </w:pPr>
          </w:p>
        </w:tc>
        <w:tc>
          <w:tcPr>
            <w:tcW w:w="0" w:type="auto"/>
            <w:shd w:val="clear" w:color="auto" w:fill="auto"/>
          </w:tcPr>
          <w:p w14:paraId="1D026336" w14:textId="77777777" w:rsidR="004421F6" w:rsidRDefault="004421F6">
            <w:pPr>
              <w:rPr>
                <w:rFonts w:ascii="宋体"/>
              </w:rPr>
            </w:pPr>
          </w:p>
        </w:tc>
        <w:tc>
          <w:tcPr>
            <w:tcW w:w="0" w:type="auto"/>
            <w:shd w:val="clear" w:color="auto" w:fill="auto"/>
          </w:tcPr>
          <w:p w14:paraId="1D026337" w14:textId="77777777" w:rsidR="004421F6" w:rsidRDefault="004421F6">
            <w:pPr>
              <w:rPr>
                <w:rFonts w:ascii="宋体"/>
              </w:rPr>
            </w:pPr>
          </w:p>
        </w:tc>
        <w:tc>
          <w:tcPr>
            <w:tcW w:w="0" w:type="auto"/>
            <w:shd w:val="clear" w:color="auto" w:fill="auto"/>
          </w:tcPr>
          <w:p w14:paraId="1D026338" w14:textId="77777777" w:rsidR="004421F6" w:rsidRDefault="004421F6">
            <w:pPr>
              <w:rPr>
                <w:rFonts w:ascii="宋体"/>
              </w:rPr>
            </w:pPr>
          </w:p>
        </w:tc>
        <w:tc>
          <w:tcPr>
            <w:tcW w:w="0" w:type="auto"/>
            <w:shd w:val="clear" w:color="auto" w:fill="auto"/>
          </w:tcPr>
          <w:p w14:paraId="1D026339" w14:textId="77777777" w:rsidR="004421F6" w:rsidRDefault="004421F6">
            <w:pPr>
              <w:rPr>
                <w:rFonts w:ascii="宋体"/>
              </w:rPr>
            </w:pPr>
          </w:p>
        </w:tc>
        <w:tc>
          <w:tcPr>
            <w:tcW w:w="0" w:type="auto"/>
            <w:shd w:val="clear" w:color="auto" w:fill="auto"/>
          </w:tcPr>
          <w:p w14:paraId="1D02633A" w14:textId="77777777" w:rsidR="004421F6" w:rsidRDefault="004421F6">
            <w:pPr>
              <w:rPr>
                <w:rFonts w:ascii="宋体"/>
              </w:rPr>
            </w:pPr>
          </w:p>
        </w:tc>
        <w:tc>
          <w:tcPr>
            <w:tcW w:w="0" w:type="auto"/>
            <w:shd w:val="clear" w:color="auto" w:fill="auto"/>
          </w:tcPr>
          <w:p w14:paraId="1D02633B" w14:textId="77777777" w:rsidR="004421F6" w:rsidRDefault="004421F6">
            <w:pPr>
              <w:rPr>
                <w:rFonts w:ascii="宋体"/>
              </w:rPr>
            </w:pPr>
          </w:p>
        </w:tc>
        <w:tc>
          <w:tcPr>
            <w:tcW w:w="0" w:type="auto"/>
            <w:shd w:val="clear" w:color="auto" w:fill="auto"/>
          </w:tcPr>
          <w:p w14:paraId="1D02633C" w14:textId="77777777" w:rsidR="004421F6" w:rsidRDefault="004421F6">
            <w:pPr>
              <w:rPr>
                <w:rFonts w:ascii="宋体"/>
              </w:rPr>
            </w:pPr>
          </w:p>
        </w:tc>
        <w:tc>
          <w:tcPr>
            <w:tcW w:w="0" w:type="auto"/>
            <w:shd w:val="clear" w:color="auto" w:fill="auto"/>
          </w:tcPr>
          <w:p w14:paraId="1D02633D" w14:textId="77777777" w:rsidR="004421F6" w:rsidRDefault="004421F6">
            <w:pPr>
              <w:rPr>
                <w:rFonts w:ascii="宋体"/>
              </w:rPr>
            </w:pPr>
          </w:p>
        </w:tc>
        <w:tc>
          <w:tcPr>
            <w:tcW w:w="0" w:type="auto"/>
            <w:shd w:val="clear" w:color="auto" w:fill="auto"/>
          </w:tcPr>
          <w:p w14:paraId="1D02633E" w14:textId="77777777" w:rsidR="004421F6" w:rsidRDefault="004421F6">
            <w:pPr>
              <w:rPr>
                <w:rFonts w:ascii="宋体"/>
              </w:rPr>
            </w:pPr>
          </w:p>
        </w:tc>
        <w:tc>
          <w:tcPr>
            <w:tcW w:w="0" w:type="auto"/>
            <w:shd w:val="clear" w:color="auto" w:fill="auto"/>
          </w:tcPr>
          <w:p w14:paraId="1D02633F" w14:textId="77777777" w:rsidR="004421F6" w:rsidRDefault="004421F6">
            <w:pPr>
              <w:rPr>
                <w:rFonts w:ascii="宋体"/>
              </w:rPr>
            </w:pPr>
          </w:p>
        </w:tc>
        <w:tc>
          <w:tcPr>
            <w:tcW w:w="0" w:type="auto"/>
            <w:shd w:val="clear" w:color="auto" w:fill="auto"/>
          </w:tcPr>
          <w:p w14:paraId="1D026340" w14:textId="77777777" w:rsidR="004421F6" w:rsidRDefault="004421F6">
            <w:pPr>
              <w:rPr>
                <w:rFonts w:ascii="宋体"/>
              </w:rPr>
            </w:pPr>
          </w:p>
        </w:tc>
        <w:tc>
          <w:tcPr>
            <w:tcW w:w="0" w:type="auto"/>
            <w:shd w:val="clear" w:color="auto" w:fill="auto"/>
          </w:tcPr>
          <w:p w14:paraId="1D026341" w14:textId="77777777" w:rsidR="004421F6" w:rsidRDefault="004421F6">
            <w:pPr>
              <w:rPr>
                <w:rFonts w:ascii="宋体"/>
              </w:rPr>
            </w:pPr>
          </w:p>
        </w:tc>
        <w:tc>
          <w:tcPr>
            <w:tcW w:w="0" w:type="auto"/>
            <w:shd w:val="clear" w:color="auto" w:fill="auto"/>
          </w:tcPr>
          <w:p w14:paraId="1D026342" w14:textId="77777777" w:rsidR="004421F6" w:rsidRDefault="004421F6">
            <w:pPr>
              <w:rPr>
                <w:rFonts w:ascii="宋体"/>
              </w:rPr>
            </w:pPr>
          </w:p>
        </w:tc>
        <w:tc>
          <w:tcPr>
            <w:tcW w:w="0" w:type="auto"/>
            <w:shd w:val="clear" w:color="auto" w:fill="auto"/>
          </w:tcPr>
          <w:p w14:paraId="1D026343" w14:textId="77777777" w:rsidR="004421F6" w:rsidRDefault="004421F6">
            <w:pPr>
              <w:rPr>
                <w:rFonts w:ascii="宋体"/>
              </w:rPr>
            </w:pPr>
          </w:p>
        </w:tc>
        <w:tc>
          <w:tcPr>
            <w:tcW w:w="0" w:type="auto"/>
            <w:shd w:val="clear" w:color="auto" w:fill="auto"/>
          </w:tcPr>
          <w:p w14:paraId="1D026344" w14:textId="77777777" w:rsidR="004421F6" w:rsidRDefault="004421F6">
            <w:pPr>
              <w:rPr>
                <w:rFonts w:ascii="宋体"/>
              </w:rPr>
            </w:pPr>
          </w:p>
        </w:tc>
        <w:tc>
          <w:tcPr>
            <w:tcW w:w="0" w:type="auto"/>
            <w:shd w:val="clear" w:color="auto" w:fill="auto"/>
          </w:tcPr>
          <w:p w14:paraId="1D026345" w14:textId="77777777" w:rsidR="004421F6" w:rsidRDefault="004421F6">
            <w:pPr>
              <w:rPr>
                <w:rFonts w:ascii="宋体"/>
              </w:rPr>
            </w:pPr>
          </w:p>
        </w:tc>
        <w:tc>
          <w:tcPr>
            <w:tcW w:w="0" w:type="auto"/>
            <w:shd w:val="clear" w:color="auto" w:fill="auto"/>
          </w:tcPr>
          <w:p w14:paraId="1D026346" w14:textId="77777777" w:rsidR="004421F6" w:rsidRDefault="004421F6">
            <w:pPr>
              <w:rPr>
                <w:rFonts w:ascii="宋体"/>
              </w:rPr>
            </w:pPr>
          </w:p>
        </w:tc>
      </w:tr>
      <w:tr w:rsidR="004421F6" w14:paraId="1D026373"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348" w14:textId="77777777" w:rsidR="004421F6" w:rsidRDefault="00F15622">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49"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34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4B"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34C"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4D"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34E"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4F"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350"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51" w14:textId="77777777" w:rsidR="004421F6" w:rsidRDefault="00F1562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bottom w:w="40" w:type="dxa"/>
              <w:right w:w="20" w:type="dxa"/>
            </w:tcMar>
            <w:vAlign w:val="bottom"/>
          </w:tcPr>
          <w:p w14:paraId="1D026352"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53" w14:textId="77777777" w:rsidR="004421F6" w:rsidRDefault="00F1562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bottom w:w="40" w:type="dxa"/>
              <w:right w:w="20" w:type="dxa"/>
            </w:tcMar>
            <w:vAlign w:val="bottom"/>
          </w:tcPr>
          <w:p w14:paraId="1D026354"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55" w14:textId="77777777" w:rsidR="004421F6" w:rsidRDefault="00F15622">
            <w:pPr>
              <w:jc w:val="right"/>
              <w:textAlignment w:val="bottom"/>
            </w:pPr>
            <w:r>
              <w:rPr>
                <w:rFonts w:ascii="Arial" w:eastAsia="宋体" w:hAnsi="Arial" w:cs="Arial"/>
                <w:color w:val="000000"/>
                <w:sz w:val="17"/>
                <w:szCs w:val="17"/>
              </w:rPr>
              <w:t>24 </w:t>
            </w:r>
          </w:p>
        </w:tc>
        <w:tc>
          <w:tcPr>
            <w:tcW w:w="0" w:type="auto"/>
            <w:tcBorders>
              <w:top w:val="single" w:sz="8" w:space="0" w:color="808080"/>
            </w:tcBorders>
            <w:shd w:val="clear" w:color="auto" w:fill="auto"/>
            <w:tcMar>
              <w:top w:w="40" w:type="dxa"/>
              <w:bottom w:w="40" w:type="dxa"/>
              <w:right w:w="20" w:type="dxa"/>
            </w:tcMar>
            <w:vAlign w:val="bottom"/>
          </w:tcPr>
          <w:p w14:paraId="1D026356"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57" w14:textId="77777777" w:rsidR="004421F6" w:rsidRDefault="00F1562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bottom w:w="40" w:type="dxa"/>
              <w:right w:w="20" w:type="dxa"/>
            </w:tcMar>
            <w:vAlign w:val="bottom"/>
          </w:tcPr>
          <w:p w14:paraId="1D026358"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359" w14:textId="77777777" w:rsidR="004421F6" w:rsidRDefault="00F15622">
            <w:pPr>
              <w:jc w:val="right"/>
              <w:textAlignment w:val="bottom"/>
            </w:pPr>
            <w:r>
              <w:rPr>
                <w:rFonts w:ascii="Arial" w:eastAsia="宋体" w:hAnsi="Arial" w:cs="Arial"/>
                <w:color w:val="000000"/>
                <w:sz w:val="17"/>
                <w:szCs w:val="17"/>
              </w:rPr>
              <w:t>39 </w:t>
            </w:r>
          </w:p>
        </w:tc>
        <w:tc>
          <w:tcPr>
            <w:tcW w:w="0" w:type="auto"/>
            <w:tcBorders>
              <w:top w:val="single" w:sz="8" w:space="0" w:color="808080"/>
            </w:tcBorders>
            <w:shd w:val="clear" w:color="auto" w:fill="auto"/>
            <w:tcMar>
              <w:top w:w="40" w:type="dxa"/>
              <w:bottom w:w="40" w:type="dxa"/>
              <w:right w:w="20" w:type="dxa"/>
            </w:tcMar>
            <w:vAlign w:val="bottom"/>
          </w:tcPr>
          <w:p w14:paraId="1D02635A" w14:textId="77777777" w:rsidR="004421F6" w:rsidRDefault="004421F6">
            <w:pPr>
              <w:jc w:val="right"/>
              <w:rPr>
                <w:rFonts w:ascii="宋体"/>
              </w:rPr>
            </w:pPr>
          </w:p>
        </w:tc>
        <w:tc>
          <w:tcPr>
            <w:tcW w:w="0" w:type="auto"/>
            <w:shd w:val="clear" w:color="auto" w:fill="auto"/>
          </w:tcPr>
          <w:p w14:paraId="1D02635B" w14:textId="77777777" w:rsidR="004421F6" w:rsidRDefault="004421F6">
            <w:pPr>
              <w:rPr>
                <w:rFonts w:ascii="宋体"/>
              </w:rPr>
            </w:pPr>
          </w:p>
        </w:tc>
        <w:tc>
          <w:tcPr>
            <w:tcW w:w="0" w:type="auto"/>
            <w:shd w:val="clear" w:color="auto" w:fill="auto"/>
          </w:tcPr>
          <w:p w14:paraId="1D02635C" w14:textId="77777777" w:rsidR="004421F6" w:rsidRDefault="004421F6">
            <w:pPr>
              <w:rPr>
                <w:rFonts w:ascii="宋体"/>
              </w:rPr>
            </w:pPr>
          </w:p>
        </w:tc>
        <w:tc>
          <w:tcPr>
            <w:tcW w:w="0" w:type="auto"/>
            <w:shd w:val="clear" w:color="auto" w:fill="auto"/>
          </w:tcPr>
          <w:p w14:paraId="1D02635D" w14:textId="77777777" w:rsidR="004421F6" w:rsidRDefault="004421F6">
            <w:pPr>
              <w:rPr>
                <w:rFonts w:ascii="宋体"/>
              </w:rPr>
            </w:pPr>
          </w:p>
        </w:tc>
        <w:tc>
          <w:tcPr>
            <w:tcW w:w="0" w:type="auto"/>
            <w:shd w:val="clear" w:color="auto" w:fill="auto"/>
          </w:tcPr>
          <w:p w14:paraId="1D02635E" w14:textId="77777777" w:rsidR="004421F6" w:rsidRDefault="004421F6">
            <w:pPr>
              <w:rPr>
                <w:rFonts w:ascii="宋体"/>
              </w:rPr>
            </w:pPr>
          </w:p>
        </w:tc>
        <w:tc>
          <w:tcPr>
            <w:tcW w:w="0" w:type="auto"/>
            <w:shd w:val="clear" w:color="auto" w:fill="auto"/>
          </w:tcPr>
          <w:p w14:paraId="1D02635F" w14:textId="77777777" w:rsidR="004421F6" w:rsidRDefault="004421F6">
            <w:pPr>
              <w:rPr>
                <w:rFonts w:ascii="宋体"/>
              </w:rPr>
            </w:pPr>
          </w:p>
        </w:tc>
        <w:tc>
          <w:tcPr>
            <w:tcW w:w="0" w:type="auto"/>
            <w:shd w:val="clear" w:color="auto" w:fill="auto"/>
          </w:tcPr>
          <w:p w14:paraId="1D026360" w14:textId="77777777" w:rsidR="004421F6" w:rsidRDefault="004421F6">
            <w:pPr>
              <w:rPr>
                <w:rFonts w:ascii="宋体"/>
              </w:rPr>
            </w:pPr>
          </w:p>
        </w:tc>
        <w:tc>
          <w:tcPr>
            <w:tcW w:w="0" w:type="auto"/>
            <w:shd w:val="clear" w:color="auto" w:fill="auto"/>
          </w:tcPr>
          <w:p w14:paraId="1D026361" w14:textId="77777777" w:rsidR="004421F6" w:rsidRDefault="004421F6">
            <w:pPr>
              <w:rPr>
                <w:rFonts w:ascii="宋体"/>
              </w:rPr>
            </w:pPr>
          </w:p>
        </w:tc>
        <w:tc>
          <w:tcPr>
            <w:tcW w:w="0" w:type="auto"/>
            <w:shd w:val="clear" w:color="auto" w:fill="auto"/>
          </w:tcPr>
          <w:p w14:paraId="1D026362" w14:textId="77777777" w:rsidR="004421F6" w:rsidRDefault="004421F6">
            <w:pPr>
              <w:rPr>
                <w:rFonts w:ascii="宋体"/>
              </w:rPr>
            </w:pPr>
          </w:p>
        </w:tc>
        <w:tc>
          <w:tcPr>
            <w:tcW w:w="0" w:type="auto"/>
            <w:shd w:val="clear" w:color="auto" w:fill="auto"/>
          </w:tcPr>
          <w:p w14:paraId="1D026363" w14:textId="77777777" w:rsidR="004421F6" w:rsidRDefault="004421F6">
            <w:pPr>
              <w:rPr>
                <w:rFonts w:ascii="宋体"/>
              </w:rPr>
            </w:pPr>
          </w:p>
        </w:tc>
        <w:tc>
          <w:tcPr>
            <w:tcW w:w="0" w:type="auto"/>
            <w:shd w:val="clear" w:color="auto" w:fill="auto"/>
          </w:tcPr>
          <w:p w14:paraId="1D026364" w14:textId="77777777" w:rsidR="004421F6" w:rsidRDefault="004421F6">
            <w:pPr>
              <w:rPr>
                <w:rFonts w:ascii="宋体"/>
              </w:rPr>
            </w:pPr>
          </w:p>
        </w:tc>
        <w:tc>
          <w:tcPr>
            <w:tcW w:w="0" w:type="auto"/>
            <w:shd w:val="clear" w:color="auto" w:fill="auto"/>
          </w:tcPr>
          <w:p w14:paraId="1D026365" w14:textId="77777777" w:rsidR="004421F6" w:rsidRDefault="004421F6">
            <w:pPr>
              <w:rPr>
                <w:rFonts w:ascii="宋体"/>
              </w:rPr>
            </w:pPr>
          </w:p>
        </w:tc>
        <w:tc>
          <w:tcPr>
            <w:tcW w:w="0" w:type="auto"/>
            <w:shd w:val="clear" w:color="auto" w:fill="auto"/>
          </w:tcPr>
          <w:p w14:paraId="1D026366" w14:textId="77777777" w:rsidR="004421F6" w:rsidRDefault="004421F6">
            <w:pPr>
              <w:rPr>
                <w:rFonts w:ascii="宋体"/>
              </w:rPr>
            </w:pPr>
          </w:p>
        </w:tc>
        <w:tc>
          <w:tcPr>
            <w:tcW w:w="0" w:type="auto"/>
            <w:shd w:val="clear" w:color="auto" w:fill="auto"/>
          </w:tcPr>
          <w:p w14:paraId="1D026367" w14:textId="77777777" w:rsidR="004421F6" w:rsidRDefault="004421F6">
            <w:pPr>
              <w:rPr>
                <w:rFonts w:ascii="宋体"/>
              </w:rPr>
            </w:pPr>
          </w:p>
        </w:tc>
        <w:tc>
          <w:tcPr>
            <w:tcW w:w="0" w:type="auto"/>
            <w:shd w:val="clear" w:color="auto" w:fill="auto"/>
          </w:tcPr>
          <w:p w14:paraId="1D026368" w14:textId="77777777" w:rsidR="004421F6" w:rsidRDefault="004421F6">
            <w:pPr>
              <w:rPr>
                <w:rFonts w:ascii="宋体"/>
              </w:rPr>
            </w:pPr>
          </w:p>
        </w:tc>
        <w:tc>
          <w:tcPr>
            <w:tcW w:w="0" w:type="auto"/>
            <w:shd w:val="clear" w:color="auto" w:fill="auto"/>
          </w:tcPr>
          <w:p w14:paraId="1D026369" w14:textId="77777777" w:rsidR="004421F6" w:rsidRDefault="004421F6">
            <w:pPr>
              <w:rPr>
                <w:rFonts w:ascii="宋体"/>
              </w:rPr>
            </w:pPr>
          </w:p>
        </w:tc>
        <w:tc>
          <w:tcPr>
            <w:tcW w:w="0" w:type="auto"/>
            <w:shd w:val="clear" w:color="auto" w:fill="auto"/>
          </w:tcPr>
          <w:p w14:paraId="1D02636A" w14:textId="77777777" w:rsidR="004421F6" w:rsidRDefault="004421F6">
            <w:pPr>
              <w:rPr>
                <w:rFonts w:ascii="宋体"/>
              </w:rPr>
            </w:pPr>
          </w:p>
        </w:tc>
        <w:tc>
          <w:tcPr>
            <w:tcW w:w="0" w:type="auto"/>
            <w:shd w:val="clear" w:color="auto" w:fill="auto"/>
          </w:tcPr>
          <w:p w14:paraId="1D02636B" w14:textId="77777777" w:rsidR="004421F6" w:rsidRDefault="004421F6">
            <w:pPr>
              <w:rPr>
                <w:rFonts w:ascii="宋体"/>
              </w:rPr>
            </w:pPr>
          </w:p>
        </w:tc>
        <w:tc>
          <w:tcPr>
            <w:tcW w:w="0" w:type="auto"/>
            <w:shd w:val="clear" w:color="auto" w:fill="auto"/>
          </w:tcPr>
          <w:p w14:paraId="1D02636C" w14:textId="77777777" w:rsidR="004421F6" w:rsidRDefault="004421F6">
            <w:pPr>
              <w:rPr>
                <w:rFonts w:ascii="宋体"/>
              </w:rPr>
            </w:pPr>
          </w:p>
        </w:tc>
        <w:tc>
          <w:tcPr>
            <w:tcW w:w="0" w:type="auto"/>
            <w:shd w:val="clear" w:color="auto" w:fill="auto"/>
          </w:tcPr>
          <w:p w14:paraId="1D02636D" w14:textId="77777777" w:rsidR="004421F6" w:rsidRDefault="004421F6">
            <w:pPr>
              <w:rPr>
                <w:rFonts w:ascii="宋体"/>
              </w:rPr>
            </w:pPr>
          </w:p>
        </w:tc>
        <w:tc>
          <w:tcPr>
            <w:tcW w:w="0" w:type="auto"/>
            <w:shd w:val="clear" w:color="auto" w:fill="auto"/>
          </w:tcPr>
          <w:p w14:paraId="1D02636E" w14:textId="77777777" w:rsidR="004421F6" w:rsidRDefault="004421F6">
            <w:pPr>
              <w:rPr>
                <w:rFonts w:ascii="宋体"/>
              </w:rPr>
            </w:pPr>
          </w:p>
        </w:tc>
        <w:tc>
          <w:tcPr>
            <w:tcW w:w="0" w:type="auto"/>
            <w:shd w:val="clear" w:color="auto" w:fill="auto"/>
          </w:tcPr>
          <w:p w14:paraId="1D02636F" w14:textId="77777777" w:rsidR="004421F6" w:rsidRDefault="004421F6">
            <w:pPr>
              <w:rPr>
                <w:rFonts w:ascii="宋体"/>
              </w:rPr>
            </w:pPr>
          </w:p>
        </w:tc>
        <w:tc>
          <w:tcPr>
            <w:tcW w:w="0" w:type="auto"/>
            <w:shd w:val="clear" w:color="auto" w:fill="auto"/>
          </w:tcPr>
          <w:p w14:paraId="1D026370" w14:textId="77777777" w:rsidR="004421F6" w:rsidRDefault="004421F6">
            <w:pPr>
              <w:rPr>
                <w:rFonts w:ascii="宋体"/>
              </w:rPr>
            </w:pPr>
          </w:p>
        </w:tc>
        <w:tc>
          <w:tcPr>
            <w:tcW w:w="0" w:type="auto"/>
            <w:shd w:val="clear" w:color="auto" w:fill="auto"/>
          </w:tcPr>
          <w:p w14:paraId="1D026371" w14:textId="77777777" w:rsidR="004421F6" w:rsidRDefault="004421F6">
            <w:pPr>
              <w:rPr>
                <w:rFonts w:ascii="宋体"/>
              </w:rPr>
            </w:pPr>
          </w:p>
        </w:tc>
        <w:tc>
          <w:tcPr>
            <w:tcW w:w="0" w:type="auto"/>
            <w:shd w:val="clear" w:color="auto" w:fill="auto"/>
          </w:tcPr>
          <w:p w14:paraId="1D026372" w14:textId="77777777" w:rsidR="004421F6" w:rsidRDefault="004421F6">
            <w:pPr>
              <w:rPr>
                <w:rFonts w:ascii="宋体"/>
              </w:rPr>
            </w:pPr>
          </w:p>
        </w:tc>
      </w:tr>
      <w:tr w:rsidR="004421F6" w14:paraId="1D0263A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374" w14:textId="77777777" w:rsidR="004421F6" w:rsidRDefault="00F1562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auto"/>
            <w:tcMar>
              <w:top w:w="40" w:type="dxa"/>
              <w:left w:w="20" w:type="dxa"/>
              <w:bottom w:w="40" w:type="dxa"/>
            </w:tcMar>
            <w:vAlign w:val="bottom"/>
          </w:tcPr>
          <w:p w14:paraId="1D026375"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376" w14:textId="77777777" w:rsidR="004421F6" w:rsidRDefault="00F15622">
            <w:pPr>
              <w:jc w:val="right"/>
              <w:textAlignment w:val="bottom"/>
            </w:pPr>
            <w:r>
              <w:rPr>
                <w:rFonts w:ascii="Arial" w:eastAsia="宋体" w:hAnsi="Arial" w:cs="Arial"/>
                <w:b/>
                <w:bCs/>
                <w:color w:val="000000"/>
                <w:sz w:val="17"/>
                <w:szCs w:val="17"/>
              </w:rPr>
              <w:t>4,293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377"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378"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379" w14:textId="77777777" w:rsidR="004421F6" w:rsidRDefault="00F15622">
            <w:pPr>
              <w:jc w:val="right"/>
              <w:textAlignment w:val="bottom"/>
            </w:pPr>
            <w:r>
              <w:rPr>
                <w:rFonts w:ascii="Arial" w:eastAsia="宋体" w:hAnsi="Arial" w:cs="Arial"/>
                <w:b/>
                <w:bCs/>
                <w:color w:val="000000"/>
                <w:sz w:val="17"/>
                <w:szCs w:val="17"/>
              </w:rPr>
              <w:t>2,773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37A"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37B"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37C" w14:textId="77777777" w:rsidR="004421F6" w:rsidRDefault="00F15622">
            <w:pPr>
              <w:jc w:val="right"/>
              <w:textAlignment w:val="bottom"/>
            </w:pPr>
            <w:r>
              <w:rPr>
                <w:rFonts w:ascii="Arial" w:eastAsia="宋体" w:hAnsi="Arial" w:cs="Arial"/>
                <w:b/>
                <w:bCs/>
                <w:color w:val="000000"/>
                <w:sz w:val="17"/>
                <w:szCs w:val="17"/>
              </w:rPr>
              <w:t>1,679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37D"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37E"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37F" w14:textId="77777777" w:rsidR="004421F6" w:rsidRDefault="00F15622">
            <w:pPr>
              <w:jc w:val="right"/>
              <w:textAlignment w:val="bottom"/>
            </w:pPr>
            <w:r>
              <w:rPr>
                <w:rFonts w:ascii="Arial" w:eastAsia="宋体" w:hAnsi="Arial" w:cs="Arial"/>
                <w:b/>
                <w:bCs/>
                <w:color w:val="000000"/>
                <w:sz w:val="17"/>
                <w:szCs w:val="17"/>
              </w:rPr>
              <w:t>1,345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380"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381"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382" w14:textId="77777777" w:rsidR="004421F6" w:rsidRDefault="00F15622">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383"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384"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385" w14:textId="77777777" w:rsidR="004421F6" w:rsidRDefault="00F15622">
            <w:pPr>
              <w:jc w:val="right"/>
              <w:textAlignment w:val="bottom"/>
            </w:pPr>
            <w:r>
              <w:rPr>
                <w:rFonts w:ascii="Arial" w:eastAsia="宋体" w:hAnsi="Arial" w:cs="Arial"/>
                <w:b/>
                <w:bCs/>
                <w:color w:val="000000"/>
                <w:sz w:val="17"/>
                <w:szCs w:val="17"/>
              </w:rPr>
              <w:t>10,096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386"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387"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388" w14:textId="77777777" w:rsidR="004421F6" w:rsidRDefault="00F15622">
            <w:pPr>
              <w:jc w:val="right"/>
              <w:textAlignment w:val="bottom"/>
            </w:pPr>
            <w:r>
              <w:rPr>
                <w:rFonts w:ascii="Arial" w:eastAsia="宋体" w:hAnsi="Arial" w:cs="Arial"/>
                <w:b/>
                <w:bCs/>
                <w:color w:val="000000"/>
                <w:sz w:val="17"/>
                <w:szCs w:val="17"/>
              </w:rPr>
              <w:t>555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389"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38A"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38B" w14:textId="77777777" w:rsidR="004421F6" w:rsidRDefault="00F15622">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38C"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38D"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38E" w14:textId="77777777" w:rsidR="004421F6" w:rsidRDefault="00F15622">
            <w:pPr>
              <w:jc w:val="right"/>
              <w:textAlignment w:val="bottom"/>
            </w:pPr>
            <w:r>
              <w:rPr>
                <w:rFonts w:ascii="Arial" w:eastAsia="宋体" w:hAnsi="Arial" w:cs="Arial"/>
                <w:b/>
                <w:bCs/>
                <w:color w:val="000000"/>
                <w:sz w:val="17"/>
                <w:szCs w:val="17"/>
              </w:rPr>
              <w:t>10,660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38F" w14:textId="77777777" w:rsidR="004421F6" w:rsidRDefault="004421F6">
            <w:pPr>
              <w:jc w:val="right"/>
              <w:rPr>
                <w:rFonts w:ascii="宋体"/>
              </w:rPr>
            </w:pPr>
          </w:p>
        </w:tc>
        <w:tc>
          <w:tcPr>
            <w:tcW w:w="0" w:type="auto"/>
            <w:shd w:val="clear" w:color="auto" w:fill="auto"/>
          </w:tcPr>
          <w:p w14:paraId="1D026390" w14:textId="77777777" w:rsidR="004421F6" w:rsidRDefault="004421F6">
            <w:pPr>
              <w:rPr>
                <w:rFonts w:ascii="宋体"/>
              </w:rPr>
            </w:pPr>
          </w:p>
        </w:tc>
        <w:tc>
          <w:tcPr>
            <w:tcW w:w="0" w:type="auto"/>
            <w:shd w:val="clear" w:color="auto" w:fill="auto"/>
          </w:tcPr>
          <w:p w14:paraId="1D026391" w14:textId="77777777" w:rsidR="004421F6" w:rsidRDefault="004421F6">
            <w:pPr>
              <w:rPr>
                <w:rFonts w:ascii="宋体"/>
              </w:rPr>
            </w:pPr>
          </w:p>
        </w:tc>
        <w:tc>
          <w:tcPr>
            <w:tcW w:w="0" w:type="auto"/>
            <w:shd w:val="clear" w:color="auto" w:fill="auto"/>
          </w:tcPr>
          <w:p w14:paraId="1D026392" w14:textId="77777777" w:rsidR="004421F6" w:rsidRDefault="004421F6">
            <w:pPr>
              <w:rPr>
                <w:rFonts w:ascii="宋体"/>
              </w:rPr>
            </w:pPr>
          </w:p>
        </w:tc>
        <w:tc>
          <w:tcPr>
            <w:tcW w:w="0" w:type="auto"/>
            <w:shd w:val="clear" w:color="auto" w:fill="auto"/>
          </w:tcPr>
          <w:p w14:paraId="1D026393" w14:textId="77777777" w:rsidR="004421F6" w:rsidRDefault="004421F6">
            <w:pPr>
              <w:rPr>
                <w:rFonts w:ascii="宋体"/>
              </w:rPr>
            </w:pPr>
          </w:p>
        </w:tc>
        <w:tc>
          <w:tcPr>
            <w:tcW w:w="0" w:type="auto"/>
            <w:shd w:val="clear" w:color="auto" w:fill="auto"/>
          </w:tcPr>
          <w:p w14:paraId="1D026394" w14:textId="77777777" w:rsidR="004421F6" w:rsidRDefault="004421F6">
            <w:pPr>
              <w:rPr>
                <w:rFonts w:ascii="宋体"/>
              </w:rPr>
            </w:pPr>
          </w:p>
        </w:tc>
        <w:tc>
          <w:tcPr>
            <w:tcW w:w="0" w:type="auto"/>
            <w:shd w:val="clear" w:color="auto" w:fill="auto"/>
          </w:tcPr>
          <w:p w14:paraId="1D026395" w14:textId="77777777" w:rsidR="004421F6" w:rsidRDefault="004421F6">
            <w:pPr>
              <w:rPr>
                <w:rFonts w:ascii="宋体"/>
              </w:rPr>
            </w:pPr>
          </w:p>
        </w:tc>
        <w:tc>
          <w:tcPr>
            <w:tcW w:w="0" w:type="auto"/>
            <w:shd w:val="clear" w:color="auto" w:fill="auto"/>
          </w:tcPr>
          <w:p w14:paraId="1D026396" w14:textId="77777777" w:rsidR="004421F6" w:rsidRDefault="004421F6">
            <w:pPr>
              <w:rPr>
                <w:rFonts w:ascii="宋体"/>
              </w:rPr>
            </w:pPr>
          </w:p>
        </w:tc>
        <w:tc>
          <w:tcPr>
            <w:tcW w:w="0" w:type="auto"/>
            <w:shd w:val="clear" w:color="auto" w:fill="auto"/>
          </w:tcPr>
          <w:p w14:paraId="1D026397" w14:textId="77777777" w:rsidR="004421F6" w:rsidRDefault="004421F6">
            <w:pPr>
              <w:rPr>
                <w:rFonts w:ascii="宋体"/>
              </w:rPr>
            </w:pPr>
          </w:p>
        </w:tc>
        <w:tc>
          <w:tcPr>
            <w:tcW w:w="0" w:type="auto"/>
            <w:shd w:val="clear" w:color="auto" w:fill="auto"/>
          </w:tcPr>
          <w:p w14:paraId="1D026398" w14:textId="77777777" w:rsidR="004421F6" w:rsidRDefault="004421F6">
            <w:pPr>
              <w:rPr>
                <w:rFonts w:ascii="宋体"/>
              </w:rPr>
            </w:pPr>
          </w:p>
        </w:tc>
        <w:tc>
          <w:tcPr>
            <w:tcW w:w="0" w:type="auto"/>
            <w:shd w:val="clear" w:color="auto" w:fill="auto"/>
          </w:tcPr>
          <w:p w14:paraId="1D026399" w14:textId="77777777" w:rsidR="004421F6" w:rsidRDefault="004421F6">
            <w:pPr>
              <w:rPr>
                <w:rFonts w:ascii="宋体"/>
              </w:rPr>
            </w:pPr>
          </w:p>
        </w:tc>
        <w:tc>
          <w:tcPr>
            <w:tcW w:w="0" w:type="auto"/>
            <w:shd w:val="clear" w:color="auto" w:fill="auto"/>
          </w:tcPr>
          <w:p w14:paraId="1D02639A" w14:textId="77777777" w:rsidR="004421F6" w:rsidRDefault="004421F6">
            <w:pPr>
              <w:rPr>
                <w:rFonts w:ascii="宋体"/>
              </w:rPr>
            </w:pPr>
          </w:p>
        </w:tc>
        <w:tc>
          <w:tcPr>
            <w:tcW w:w="0" w:type="auto"/>
            <w:shd w:val="clear" w:color="auto" w:fill="auto"/>
          </w:tcPr>
          <w:p w14:paraId="1D02639B" w14:textId="77777777" w:rsidR="004421F6" w:rsidRDefault="004421F6">
            <w:pPr>
              <w:rPr>
                <w:rFonts w:ascii="宋体"/>
              </w:rPr>
            </w:pPr>
          </w:p>
        </w:tc>
        <w:tc>
          <w:tcPr>
            <w:tcW w:w="0" w:type="auto"/>
            <w:shd w:val="clear" w:color="auto" w:fill="auto"/>
          </w:tcPr>
          <w:p w14:paraId="1D02639C" w14:textId="77777777" w:rsidR="004421F6" w:rsidRDefault="004421F6">
            <w:pPr>
              <w:rPr>
                <w:rFonts w:ascii="宋体"/>
              </w:rPr>
            </w:pPr>
          </w:p>
        </w:tc>
        <w:tc>
          <w:tcPr>
            <w:tcW w:w="0" w:type="auto"/>
            <w:shd w:val="clear" w:color="auto" w:fill="auto"/>
          </w:tcPr>
          <w:p w14:paraId="1D02639D" w14:textId="77777777" w:rsidR="004421F6" w:rsidRDefault="004421F6">
            <w:pPr>
              <w:rPr>
                <w:rFonts w:ascii="宋体"/>
              </w:rPr>
            </w:pPr>
          </w:p>
        </w:tc>
        <w:tc>
          <w:tcPr>
            <w:tcW w:w="0" w:type="auto"/>
            <w:shd w:val="clear" w:color="auto" w:fill="auto"/>
          </w:tcPr>
          <w:p w14:paraId="1D02639E" w14:textId="77777777" w:rsidR="004421F6" w:rsidRDefault="004421F6">
            <w:pPr>
              <w:rPr>
                <w:rFonts w:ascii="宋体"/>
              </w:rPr>
            </w:pPr>
          </w:p>
        </w:tc>
        <w:tc>
          <w:tcPr>
            <w:tcW w:w="0" w:type="auto"/>
            <w:shd w:val="clear" w:color="auto" w:fill="auto"/>
          </w:tcPr>
          <w:p w14:paraId="1D02639F" w14:textId="77777777" w:rsidR="004421F6" w:rsidRDefault="004421F6">
            <w:pPr>
              <w:rPr>
                <w:rFonts w:ascii="宋体"/>
              </w:rPr>
            </w:pPr>
          </w:p>
        </w:tc>
        <w:tc>
          <w:tcPr>
            <w:tcW w:w="0" w:type="auto"/>
            <w:shd w:val="clear" w:color="auto" w:fill="auto"/>
          </w:tcPr>
          <w:p w14:paraId="1D0263A0" w14:textId="77777777" w:rsidR="004421F6" w:rsidRDefault="004421F6">
            <w:pPr>
              <w:rPr>
                <w:rFonts w:ascii="宋体"/>
              </w:rPr>
            </w:pPr>
          </w:p>
        </w:tc>
        <w:tc>
          <w:tcPr>
            <w:tcW w:w="0" w:type="auto"/>
            <w:shd w:val="clear" w:color="auto" w:fill="auto"/>
          </w:tcPr>
          <w:p w14:paraId="1D0263A1" w14:textId="77777777" w:rsidR="004421F6" w:rsidRDefault="004421F6">
            <w:pPr>
              <w:rPr>
                <w:rFonts w:ascii="宋体"/>
              </w:rPr>
            </w:pPr>
          </w:p>
        </w:tc>
        <w:tc>
          <w:tcPr>
            <w:tcW w:w="0" w:type="auto"/>
            <w:shd w:val="clear" w:color="auto" w:fill="auto"/>
          </w:tcPr>
          <w:p w14:paraId="1D0263A2" w14:textId="77777777" w:rsidR="004421F6" w:rsidRDefault="004421F6">
            <w:pPr>
              <w:rPr>
                <w:rFonts w:ascii="宋体"/>
              </w:rPr>
            </w:pPr>
          </w:p>
        </w:tc>
        <w:tc>
          <w:tcPr>
            <w:tcW w:w="0" w:type="auto"/>
            <w:shd w:val="clear" w:color="auto" w:fill="auto"/>
          </w:tcPr>
          <w:p w14:paraId="1D0263A3" w14:textId="77777777" w:rsidR="004421F6" w:rsidRDefault="004421F6">
            <w:pPr>
              <w:rPr>
                <w:rFonts w:ascii="宋体"/>
              </w:rPr>
            </w:pPr>
          </w:p>
        </w:tc>
        <w:tc>
          <w:tcPr>
            <w:tcW w:w="0" w:type="auto"/>
            <w:shd w:val="clear" w:color="auto" w:fill="auto"/>
          </w:tcPr>
          <w:p w14:paraId="1D0263A4" w14:textId="77777777" w:rsidR="004421F6" w:rsidRDefault="004421F6">
            <w:pPr>
              <w:rPr>
                <w:rFonts w:ascii="宋体"/>
              </w:rPr>
            </w:pPr>
          </w:p>
        </w:tc>
        <w:tc>
          <w:tcPr>
            <w:tcW w:w="0" w:type="auto"/>
            <w:shd w:val="clear" w:color="auto" w:fill="auto"/>
          </w:tcPr>
          <w:p w14:paraId="1D0263A5" w14:textId="77777777" w:rsidR="004421F6" w:rsidRDefault="004421F6">
            <w:pPr>
              <w:rPr>
                <w:rFonts w:ascii="宋体"/>
              </w:rPr>
            </w:pPr>
          </w:p>
        </w:tc>
        <w:tc>
          <w:tcPr>
            <w:tcW w:w="0" w:type="auto"/>
            <w:shd w:val="clear" w:color="auto" w:fill="auto"/>
          </w:tcPr>
          <w:p w14:paraId="1D0263A6" w14:textId="77777777" w:rsidR="004421F6" w:rsidRDefault="004421F6">
            <w:pPr>
              <w:rPr>
                <w:rFonts w:ascii="宋体"/>
              </w:rPr>
            </w:pPr>
          </w:p>
        </w:tc>
        <w:tc>
          <w:tcPr>
            <w:tcW w:w="0" w:type="auto"/>
            <w:shd w:val="clear" w:color="auto" w:fill="auto"/>
          </w:tcPr>
          <w:p w14:paraId="1D0263A7" w14:textId="77777777" w:rsidR="004421F6" w:rsidRDefault="004421F6">
            <w:pPr>
              <w:rPr>
                <w:rFonts w:ascii="宋体"/>
              </w:rPr>
            </w:pPr>
          </w:p>
        </w:tc>
      </w:tr>
      <w:tr w:rsidR="004421F6" w14:paraId="1D0263C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3A9" w14:textId="77777777" w:rsidR="004421F6" w:rsidRDefault="00F1562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left w:w="20" w:type="dxa"/>
              <w:right w:w="20" w:type="dxa"/>
            </w:tcMar>
            <w:vAlign w:val="bottom"/>
          </w:tcPr>
          <w:p w14:paraId="1D0263AA"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3AB"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3AC"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3AD"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3AE"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3AF"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3B0"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3B1"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3B2" w14:textId="77777777" w:rsidR="004421F6" w:rsidRDefault="004421F6">
            <w:pPr>
              <w:rPr>
                <w:rFonts w:ascii="宋体"/>
              </w:rPr>
            </w:pPr>
          </w:p>
        </w:tc>
        <w:tc>
          <w:tcPr>
            <w:tcW w:w="0" w:type="auto"/>
            <w:shd w:val="clear" w:color="auto" w:fill="auto"/>
          </w:tcPr>
          <w:p w14:paraId="1D0263B3" w14:textId="77777777" w:rsidR="004421F6" w:rsidRDefault="004421F6">
            <w:pPr>
              <w:rPr>
                <w:rFonts w:ascii="宋体"/>
              </w:rPr>
            </w:pPr>
          </w:p>
        </w:tc>
        <w:tc>
          <w:tcPr>
            <w:tcW w:w="0" w:type="auto"/>
            <w:shd w:val="clear" w:color="auto" w:fill="auto"/>
          </w:tcPr>
          <w:p w14:paraId="1D0263B4" w14:textId="77777777" w:rsidR="004421F6" w:rsidRDefault="004421F6">
            <w:pPr>
              <w:rPr>
                <w:rFonts w:ascii="宋体"/>
              </w:rPr>
            </w:pPr>
          </w:p>
        </w:tc>
        <w:tc>
          <w:tcPr>
            <w:tcW w:w="0" w:type="auto"/>
            <w:shd w:val="clear" w:color="auto" w:fill="auto"/>
          </w:tcPr>
          <w:p w14:paraId="1D0263B5" w14:textId="77777777" w:rsidR="004421F6" w:rsidRDefault="004421F6">
            <w:pPr>
              <w:rPr>
                <w:rFonts w:ascii="宋体"/>
              </w:rPr>
            </w:pPr>
          </w:p>
        </w:tc>
        <w:tc>
          <w:tcPr>
            <w:tcW w:w="0" w:type="auto"/>
            <w:shd w:val="clear" w:color="auto" w:fill="auto"/>
          </w:tcPr>
          <w:p w14:paraId="1D0263B6" w14:textId="77777777" w:rsidR="004421F6" w:rsidRDefault="004421F6">
            <w:pPr>
              <w:rPr>
                <w:rFonts w:ascii="宋体"/>
              </w:rPr>
            </w:pPr>
          </w:p>
        </w:tc>
        <w:tc>
          <w:tcPr>
            <w:tcW w:w="0" w:type="auto"/>
            <w:shd w:val="clear" w:color="auto" w:fill="auto"/>
          </w:tcPr>
          <w:p w14:paraId="1D0263B7" w14:textId="77777777" w:rsidR="004421F6" w:rsidRDefault="004421F6">
            <w:pPr>
              <w:rPr>
                <w:rFonts w:ascii="宋体"/>
              </w:rPr>
            </w:pPr>
          </w:p>
        </w:tc>
        <w:tc>
          <w:tcPr>
            <w:tcW w:w="0" w:type="auto"/>
            <w:shd w:val="clear" w:color="auto" w:fill="auto"/>
          </w:tcPr>
          <w:p w14:paraId="1D0263B8" w14:textId="77777777" w:rsidR="004421F6" w:rsidRDefault="004421F6">
            <w:pPr>
              <w:rPr>
                <w:rFonts w:ascii="宋体"/>
              </w:rPr>
            </w:pPr>
          </w:p>
        </w:tc>
        <w:tc>
          <w:tcPr>
            <w:tcW w:w="0" w:type="auto"/>
            <w:shd w:val="clear" w:color="auto" w:fill="auto"/>
          </w:tcPr>
          <w:p w14:paraId="1D0263B9" w14:textId="77777777" w:rsidR="004421F6" w:rsidRDefault="004421F6">
            <w:pPr>
              <w:rPr>
                <w:rFonts w:ascii="宋体"/>
              </w:rPr>
            </w:pPr>
          </w:p>
        </w:tc>
        <w:tc>
          <w:tcPr>
            <w:tcW w:w="0" w:type="auto"/>
            <w:shd w:val="clear" w:color="auto" w:fill="auto"/>
          </w:tcPr>
          <w:p w14:paraId="1D0263BA" w14:textId="77777777" w:rsidR="004421F6" w:rsidRDefault="004421F6">
            <w:pPr>
              <w:rPr>
                <w:rFonts w:ascii="宋体"/>
              </w:rPr>
            </w:pPr>
          </w:p>
        </w:tc>
        <w:tc>
          <w:tcPr>
            <w:tcW w:w="0" w:type="auto"/>
            <w:shd w:val="clear" w:color="auto" w:fill="auto"/>
          </w:tcPr>
          <w:p w14:paraId="1D0263BB" w14:textId="77777777" w:rsidR="004421F6" w:rsidRDefault="004421F6">
            <w:pPr>
              <w:rPr>
                <w:rFonts w:ascii="宋体"/>
              </w:rPr>
            </w:pPr>
          </w:p>
        </w:tc>
        <w:tc>
          <w:tcPr>
            <w:tcW w:w="0" w:type="auto"/>
            <w:shd w:val="clear" w:color="auto" w:fill="auto"/>
          </w:tcPr>
          <w:p w14:paraId="1D0263BC" w14:textId="77777777" w:rsidR="004421F6" w:rsidRDefault="004421F6">
            <w:pPr>
              <w:rPr>
                <w:rFonts w:ascii="宋体"/>
              </w:rPr>
            </w:pPr>
          </w:p>
        </w:tc>
        <w:tc>
          <w:tcPr>
            <w:tcW w:w="0" w:type="auto"/>
            <w:shd w:val="clear" w:color="auto" w:fill="auto"/>
          </w:tcPr>
          <w:p w14:paraId="1D0263BD" w14:textId="77777777" w:rsidR="004421F6" w:rsidRDefault="004421F6">
            <w:pPr>
              <w:rPr>
                <w:rFonts w:ascii="宋体"/>
              </w:rPr>
            </w:pPr>
          </w:p>
        </w:tc>
        <w:tc>
          <w:tcPr>
            <w:tcW w:w="0" w:type="auto"/>
            <w:shd w:val="clear" w:color="auto" w:fill="auto"/>
          </w:tcPr>
          <w:p w14:paraId="1D0263BE" w14:textId="77777777" w:rsidR="004421F6" w:rsidRDefault="004421F6">
            <w:pPr>
              <w:rPr>
                <w:rFonts w:ascii="宋体"/>
              </w:rPr>
            </w:pPr>
          </w:p>
        </w:tc>
        <w:tc>
          <w:tcPr>
            <w:tcW w:w="0" w:type="auto"/>
            <w:shd w:val="clear" w:color="auto" w:fill="auto"/>
          </w:tcPr>
          <w:p w14:paraId="1D0263BF" w14:textId="77777777" w:rsidR="004421F6" w:rsidRDefault="004421F6">
            <w:pPr>
              <w:rPr>
                <w:rFonts w:ascii="宋体"/>
              </w:rPr>
            </w:pPr>
          </w:p>
        </w:tc>
        <w:tc>
          <w:tcPr>
            <w:tcW w:w="0" w:type="auto"/>
            <w:shd w:val="clear" w:color="auto" w:fill="auto"/>
          </w:tcPr>
          <w:p w14:paraId="1D0263C0" w14:textId="77777777" w:rsidR="004421F6" w:rsidRDefault="004421F6">
            <w:pPr>
              <w:rPr>
                <w:rFonts w:ascii="宋体"/>
              </w:rPr>
            </w:pPr>
          </w:p>
        </w:tc>
        <w:tc>
          <w:tcPr>
            <w:tcW w:w="0" w:type="auto"/>
            <w:shd w:val="clear" w:color="auto" w:fill="auto"/>
          </w:tcPr>
          <w:p w14:paraId="1D0263C1" w14:textId="77777777" w:rsidR="004421F6" w:rsidRDefault="004421F6">
            <w:pPr>
              <w:rPr>
                <w:rFonts w:ascii="宋体"/>
              </w:rPr>
            </w:pPr>
          </w:p>
        </w:tc>
        <w:tc>
          <w:tcPr>
            <w:tcW w:w="0" w:type="auto"/>
            <w:shd w:val="clear" w:color="auto" w:fill="auto"/>
          </w:tcPr>
          <w:p w14:paraId="1D0263C2" w14:textId="77777777" w:rsidR="004421F6" w:rsidRDefault="004421F6">
            <w:pPr>
              <w:rPr>
                <w:rFonts w:ascii="宋体"/>
              </w:rPr>
            </w:pPr>
          </w:p>
        </w:tc>
        <w:tc>
          <w:tcPr>
            <w:tcW w:w="0" w:type="auto"/>
            <w:shd w:val="clear" w:color="auto" w:fill="auto"/>
          </w:tcPr>
          <w:p w14:paraId="1D0263C3" w14:textId="77777777" w:rsidR="004421F6" w:rsidRDefault="004421F6">
            <w:pPr>
              <w:rPr>
                <w:rFonts w:ascii="宋体"/>
              </w:rPr>
            </w:pPr>
          </w:p>
        </w:tc>
        <w:tc>
          <w:tcPr>
            <w:tcW w:w="0" w:type="auto"/>
            <w:shd w:val="clear" w:color="auto" w:fill="auto"/>
          </w:tcPr>
          <w:p w14:paraId="1D0263C4" w14:textId="77777777" w:rsidR="004421F6" w:rsidRDefault="004421F6">
            <w:pPr>
              <w:rPr>
                <w:rFonts w:ascii="宋体"/>
              </w:rPr>
            </w:pPr>
          </w:p>
        </w:tc>
        <w:tc>
          <w:tcPr>
            <w:tcW w:w="0" w:type="auto"/>
            <w:shd w:val="clear" w:color="auto" w:fill="auto"/>
          </w:tcPr>
          <w:p w14:paraId="1D0263C5" w14:textId="77777777" w:rsidR="004421F6" w:rsidRDefault="004421F6">
            <w:pPr>
              <w:rPr>
                <w:rFonts w:ascii="宋体"/>
              </w:rPr>
            </w:pPr>
          </w:p>
        </w:tc>
        <w:tc>
          <w:tcPr>
            <w:tcW w:w="0" w:type="auto"/>
            <w:shd w:val="clear" w:color="auto" w:fill="auto"/>
          </w:tcPr>
          <w:p w14:paraId="1D0263C6" w14:textId="77777777" w:rsidR="004421F6" w:rsidRDefault="004421F6">
            <w:pPr>
              <w:rPr>
                <w:rFonts w:ascii="宋体"/>
              </w:rPr>
            </w:pPr>
          </w:p>
        </w:tc>
        <w:tc>
          <w:tcPr>
            <w:tcW w:w="0" w:type="auto"/>
            <w:shd w:val="clear" w:color="auto" w:fill="auto"/>
          </w:tcPr>
          <w:p w14:paraId="1D0263C7" w14:textId="77777777" w:rsidR="004421F6" w:rsidRDefault="004421F6">
            <w:pPr>
              <w:rPr>
                <w:rFonts w:ascii="宋体"/>
              </w:rPr>
            </w:pPr>
          </w:p>
        </w:tc>
        <w:tc>
          <w:tcPr>
            <w:tcW w:w="0" w:type="auto"/>
            <w:shd w:val="clear" w:color="auto" w:fill="auto"/>
          </w:tcPr>
          <w:p w14:paraId="1D0263C8" w14:textId="77777777" w:rsidR="004421F6" w:rsidRDefault="004421F6">
            <w:pPr>
              <w:rPr>
                <w:rFonts w:ascii="宋体"/>
              </w:rPr>
            </w:pPr>
          </w:p>
        </w:tc>
        <w:tc>
          <w:tcPr>
            <w:tcW w:w="0" w:type="auto"/>
            <w:shd w:val="clear" w:color="auto" w:fill="auto"/>
          </w:tcPr>
          <w:p w14:paraId="1D0263C9" w14:textId="77777777" w:rsidR="004421F6" w:rsidRDefault="004421F6">
            <w:pPr>
              <w:rPr>
                <w:rFonts w:ascii="宋体"/>
              </w:rPr>
            </w:pPr>
          </w:p>
        </w:tc>
        <w:tc>
          <w:tcPr>
            <w:tcW w:w="0" w:type="auto"/>
            <w:shd w:val="clear" w:color="auto" w:fill="auto"/>
          </w:tcPr>
          <w:p w14:paraId="1D0263CA" w14:textId="77777777" w:rsidR="004421F6" w:rsidRDefault="004421F6">
            <w:pPr>
              <w:rPr>
                <w:rFonts w:ascii="宋体"/>
              </w:rPr>
            </w:pPr>
          </w:p>
        </w:tc>
      </w:tr>
      <w:tr w:rsidR="004421F6" w14:paraId="1D026400"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3CC" w14:textId="77777777" w:rsidR="004421F6" w:rsidRDefault="00F1562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auto"/>
            <w:tcMar>
              <w:top w:w="40" w:type="dxa"/>
              <w:left w:w="20" w:type="dxa"/>
              <w:bottom w:w="40" w:type="dxa"/>
            </w:tcMar>
            <w:vAlign w:val="bottom"/>
          </w:tcPr>
          <w:p w14:paraId="1D0263CD"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3CE" w14:textId="77777777" w:rsidR="004421F6" w:rsidRDefault="00F15622">
            <w:pPr>
              <w:jc w:val="right"/>
              <w:textAlignment w:val="bottom"/>
            </w:pPr>
            <w:r>
              <w:rPr>
                <w:rFonts w:ascii="Arial" w:eastAsia="宋体" w:hAnsi="Arial" w:cs="Arial"/>
                <w:color w:val="000000"/>
                <w:sz w:val="17"/>
                <w:szCs w:val="17"/>
              </w:rPr>
              <w:t>2,864 </w:t>
            </w:r>
          </w:p>
        </w:tc>
        <w:tc>
          <w:tcPr>
            <w:tcW w:w="0" w:type="auto"/>
            <w:tcBorders>
              <w:top w:val="single" w:sz="8" w:space="0" w:color="808080"/>
            </w:tcBorders>
            <w:shd w:val="clear" w:color="auto" w:fill="auto"/>
            <w:tcMar>
              <w:top w:w="40" w:type="dxa"/>
              <w:bottom w:w="40" w:type="dxa"/>
              <w:right w:w="20" w:type="dxa"/>
            </w:tcMar>
            <w:vAlign w:val="bottom"/>
          </w:tcPr>
          <w:p w14:paraId="1D0263CF"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3D0"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3D1" w14:textId="77777777" w:rsidR="004421F6" w:rsidRDefault="00F15622">
            <w:pPr>
              <w:jc w:val="right"/>
              <w:textAlignment w:val="bottom"/>
            </w:pPr>
            <w:r>
              <w:rPr>
                <w:rFonts w:ascii="Arial" w:eastAsia="宋体" w:hAnsi="Arial" w:cs="Arial"/>
                <w:color w:val="000000"/>
                <w:sz w:val="17"/>
                <w:szCs w:val="17"/>
              </w:rPr>
              <w:t>2,042 </w:t>
            </w:r>
          </w:p>
        </w:tc>
        <w:tc>
          <w:tcPr>
            <w:tcW w:w="0" w:type="auto"/>
            <w:tcBorders>
              <w:top w:val="single" w:sz="8" w:space="0" w:color="808080"/>
            </w:tcBorders>
            <w:shd w:val="clear" w:color="auto" w:fill="auto"/>
            <w:tcMar>
              <w:top w:w="40" w:type="dxa"/>
              <w:bottom w:w="40" w:type="dxa"/>
              <w:right w:w="20" w:type="dxa"/>
            </w:tcMar>
            <w:vAlign w:val="bottom"/>
          </w:tcPr>
          <w:p w14:paraId="1D0263D2"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3D3"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3D4" w14:textId="77777777" w:rsidR="004421F6" w:rsidRDefault="00F15622">
            <w:pPr>
              <w:jc w:val="right"/>
              <w:textAlignment w:val="bottom"/>
            </w:pPr>
            <w:r>
              <w:rPr>
                <w:rFonts w:ascii="Arial" w:eastAsia="宋体" w:hAnsi="Arial" w:cs="Arial"/>
                <w:color w:val="000000"/>
                <w:sz w:val="17"/>
                <w:szCs w:val="17"/>
              </w:rPr>
              <w:t>986 </w:t>
            </w:r>
          </w:p>
        </w:tc>
        <w:tc>
          <w:tcPr>
            <w:tcW w:w="0" w:type="auto"/>
            <w:tcBorders>
              <w:top w:val="single" w:sz="8" w:space="0" w:color="808080"/>
            </w:tcBorders>
            <w:shd w:val="clear" w:color="auto" w:fill="auto"/>
            <w:tcMar>
              <w:top w:w="40" w:type="dxa"/>
              <w:bottom w:w="40" w:type="dxa"/>
              <w:right w:w="20" w:type="dxa"/>
            </w:tcMar>
            <w:vAlign w:val="bottom"/>
          </w:tcPr>
          <w:p w14:paraId="1D0263D5"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3D6"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3D7" w14:textId="77777777" w:rsidR="004421F6" w:rsidRDefault="00F15622">
            <w:pPr>
              <w:jc w:val="right"/>
              <w:textAlignment w:val="bottom"/>
            </w:pPr>
            <w:r>
              <w:rPr>
                <w:rFonts w:ascii="Arial" w:eastAsia="宋体" w:hAnsi="Arial" w:cs="Arial"/>
                <w:color w:val="000000"/>
                <w:sz w:val="17"/>
                <w:szCs w:val="17"/>
              </w:rPr>
              <w:t>950 </w:t>
            </w:r>
          </w:p>
        </w:tc>
        <w:tc>
          <w:tcPr>
            <w:tcW w:w="0" w:type="auto"/>
            <w:tcBorders>
              <w:top w:val="single" w:sz="8" w:space="0" w:color="808080"/>
            </w:tcBorders>
            <w:shd w:val="clear" w:color="auto" w:fill="auto"/>
            <w:tcMar>
              <w:top w:w="40" w:type="dxa"/>
              <w:bottom w:w="40" w:type="dxa"/>
              <w:right w:w="20" w:type="dxa"/>
            </w:tcMar>
            <w:vAlign w:val="bottom"/>
          </w:tcPr>
          <w:p w14:paraId="1D0263D8"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3D9"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3DA"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3DB"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3DC"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3DD" w14:textId="77777777" w:rsidR="004421F6" w:rsidRDefault="00F15622">
            <w:pPr>
              <w:jc w:val="right"/>
              <w:textAlignment w:val="bottom"/>
            </w:pPr>
            <w:r>
              <w:rPr>
                <w:rFonts w:ascii="Arial" w:eastAsia="宋体" w:hAnsi="Arial" w:cs="Arial"/>
                <w:color w:val="000000"/>
                <w:sz w:val="17"/>
                <w:szCs w:val="17"/>
              </w:rPr>
              <w:t>6,842 </w:t>
            </w:r>
          </w:p>
        </w:tc>
        <w:tc>
          <w:tcPr>
            <w:tcW w:w="0" w:type="auto"/>
            <w:tcBorders>
              <w:top w:val="single" w:sz="8" w:space="0" w:color="808080"/>
            </w:tcBorders>
            <w:shd w:val="clear" w:color="auto" w:fill="auto"/>
            <w:tcMar>
              <w:top w:w="40" w:type="dxa"/>
              <w:bottom w:w="40" w:type="dxa"/>
              <w:right w:w="20" w:type="dxa"/>
            </w:tcMar>
            <w:vAlign w:val="bottom"/>
          </w:tcPr>
          <w:p w14:paraId="1D0263DE"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3DF"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3E0" w14:textId="77777777" w:rsidR="004421F6" w:rsidRDefault="00F15622">
            <w:pPr>
              <w:jc w:val="right"/>
              <w:textAlignment w:val="bottom"/>
            </w:pPr>
            <w:r>
              <w:rPr>
                <w:rFonts w:ascii="Arial" w:eastAsia="宋体" w:hAnsi="Arial" w:cs="Arial"/>
                <w:color w:val="000000"/>
                <w:sz w:val="17"/>
                <w:szCs w:val="17"/>
              </w:rPr>
              <w:t>367 </w:t>
            </w:r>
          </w:p>
        </w:tc>
        <w:tc>
          <w:tcPr>
            <w:tcW w:w="0" w:type="auto"/>
            <w:tcBorders>
              <w:top w:val="single" w:sz="8" w:space="0" w:color="808080"/>
            </w:tcBorders>
            <w:shd w:val="clear" w:color="auto" w:fill="auto"/>
            <w:tcMar>
              <w:top w:w="40" w:type="dxa"/>
              <w:bottom w:w="40" w:type="dxa"/>
              <w:right w:w="20" w:type="dxa"/>
            </w:tcMar>
            <w:vAlign w:val="bottom"/>
          </w:tcPr>
          <w:p w14:paraId="1D0263E1"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3E2"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3E3"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3E4"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3E5"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3E6" w14:textId="77777777" w:rsidR="004421F6" w:rsidRDefault="00F15622">
            <w:pPr>
              <w:jc w:val="right"/>
              <w:textAlignment w:val="bottom"/>
            </w:pPr>
            <w:r>
              <w:rPr>
                <w:rFonts w:ascii="Arial" w:eastAsia="宋体" w:hAnsi="Arial" w:cs="Arial"/>
                <w:color w:val="000000"/>
                <w:sz w:val="17"/>
                <w:szCs w:val="17"/>
              </w:rPr>
              <w:t>7,209 </w:t>
            </w:r>
          </w:p>
        </w:tc>
        <w:tc>
          <w:tcPr>
            <w:tcW w:w="0" w:type="auto"/>
            <w:tcBorders>
              <w:top w:val="single" w:sz="8" w:space="0" w:color="808080"/>
            </w:tcBorders>
            <w:shd w:val="clear" w:color="auto" w:fill="auto"/>
            <w:tcMar>
              <w:top w:w="40" w:type="dxa"/>
              <w:bottom w:w="40" w:type="dxa"/>
              <w:right w:w="20" w:type="dxa"/>
            </w:tcMar>
            <w:vAlign w:val="bottom"/>
          </w:tcPr>
          <w:p w14:paraId="1D0263E7" w14:textId="77777777" w:rsidR="004421F6" w:rsidRDefault="004421F6">
            <w:pPr>
              <w:jc w:val="right"/>
              <w:rPr>
                <w:rFonts w:ascii="宋体"/>
              </w:rPr>
            </w:pPr>
          </w:p>
        </w:tc>
        <w:tc>
          <w:tcPr>
            <w:tcW w:w="0" w:type="auto"/>
            <w:shd w:val="clear" w:color="auto" w:fill="auto"/>
          </w:tcPr>
          <w:p w14:paraId="1D0263E8" w14:textId="77777777" w:rsidR="004421F6" w:rsidRDefault="004421F6">
            <w:pPr>
              <w:rPr>
                <w:rFonts w:ascii="宋体"/>
              </w:rPr>
            </w:pPr>
          </w:p>
        </w:tc>
        <w:tc>
          <w:tcPr>
            <w:tcW w:w="0" w:type="auto"/>
            <w:shd w:val="clear" w:color="auto" w:fill="auto"/>
          </w:tcPr>
          <w:p w14:paraId="1D0263E9" w14:textId="77777777" w:rsidR="004421F6" w:rsidRDefault="004421F6">
            <w:pPr>
              <w:rPr>
                <w:rFonts w:ascii="宋体"/>
              </w:rPr>
            </w:pPr>
          </w:p>
        </w:tc>
        <w:tc>
          <w:tcPr>
            <w:tcW w:w="0" w:type="auto"/>
            <w:shd w:val="clear" w:color="auto" w:fill="auto"/>
          </w:tcPr>
          <w:p w14:paraId="1D0263EA" w14:textId="77777777" w:rsidR="004421F6" w:rsidRDefault="004421F6">
            <w:pPr>
              <w:rPr>
                <w:rFonts w:ascii="宋体"/>
              </w:rPr>
            </w:pPr>
          </w:p>
        </w:tc>
        <w:tc>
          <w:tcPr>
            <w:tcW w:w="0" w:type="auto"/>
            <w:shd w:val="clear" w:color="auto" w:fill="auto"/>
          </w:tcPr>
          <w:p w14:paraId="1D0263EB" w14:textId="77777777" w:rsidR="004421F6" w:rsidRDefault="004421F6">
            <w:pPr>
              <w:rPr>
                <w:rFonts w:ascii="宋体"/>
              </w:rPr>
            </w:pPr>
          </w:p>
        </w:tc>
        <w:tc>
          <w:tcPr>
            <w:tcW w:w="0" w:type="auto"/>
            <w:shd w:val="clear" w:color="auto" w:fill="auto"/>
          </w:tcPr>
          <w:p w14:paraId="1D0263EC" w14:textId="77777777" w:rsidR="004421F6" w:rsidRDefault="004421F6">
            <w:pPr>
              <w:rPr>
                <w:rFonts w:ascii="宋体"/>
              </w:rPr>
            </w:pPr>
          </w:p>
        </w:tc>
        <w:tc>
          <w:tcPr>
            <w:tcW w:w="0" w:type="auto"/>
            <w:shd w:val="clear" w:color="auto" w:fill="auto"/>
          </w:tcPr>
          <w:p w14:paraId="1D0263ED" w14:textId="77777777" w:rsidR="004421F6" w:rsidRDefault="004421F6">
            <w:pPr>
              <w:rPr>
                <w:rFonts w:ascii="宋体"/>
              </w:rPr>
            </w:pPr>
          </w:p>
        </w:tc>
        <w:tc>
          <w:tcPr>
            <w:tcW w:w="0" w:type="auto"/>
            <w:shd w:val="clear" w:color="auto" w:fill="auto"/>
          </w:tcPr>
          <w:p w14:paraId="1D0263EE" w14:textId="77777777" w:rsidR="004421F6" w:rsidRDefault="004421F6">
            <w:pPr>
              <w:rPr>
                <w:rFonts w:ascii="宋体"/>
              </w:rPr>
            </w:pPr>
          </w:p>
        </w:tc>
        <w:tc>
          <w:tcPr>
            <w:tcW w:w="0" w:type="auto"/>
            <w:shd w:val="clear" w:color="auto" w:fill="auto"/>
          </w:tcPr>
          <w:p w14:paraId="1D0263EF" w14:textId="77777777" w:rsidR="004421F6" w:rsidRDefault="004421F6">
            <w:pPr>
              <w:rPr>
                <w:rFonts w:ascii="宋体"/>
              </w:rPr>
            </w:pPr>
          </w:p>
        </w:tc>
        <w:tc>
          <w:tcPr>
            <w:tcW w:w="0" w:type="auto"/>
            <w:shd w:val="clear" w:color="auto" w:fill="auto"/>
          </w:tcPr>
          <w:p w14:paraId="1D0263F0" w14:textId="77777777" w:rsidR="004421F6" w:rsidRDefault="004421F6">
            <w:pPr>
              <w:rPr>
                <w:rFonts w:ascii="宋体"/>
              </w:rPr>
            </w:pPr>
          </w:p>
        </w:tc>
        <w:tc>
          <w:tcPr>
            <w:tcW w:w="0" w:type="auto"/>
            <w:shd w:val="clear" w:color="auto" w:fill="auto"/>
          </w:tcPr>
          <w:p w14:paraId="1D0263F1" w14:textId="77777777" w:rsidR="004421F6" w:rsidRDefault="004421F6">
            <w:pPr>
              <w:rPr>
                <w:rFonts w:ascii="宋体"/>
              </w:rPr>
            </w:pPr>
          </w:p>
        </w:tc>
        <w:tc>
          <w:tcPr>
            <w:tcW w:w="0" w:type="auto"/>
            <w:shd w:val="clear" w:color="auto" w:fill="auto"/>
          </w:tcPr>
          <w:p w14:paraId="1D0263F2" w14:textId="77777777" w:rsidR="004421F6" w:rsidRDefault="004421F6">
            <w:pPr>
              <w:rPr>
                <w:rFonts w:ascii="宋体"/>
              </w:rPr>
            </w:pPr>
          </w:p>
        </w:tc>
        <w:tc>
          <w:tcPr>
            <w:tcW w:w="0" w:type="auto"/>
            <w:shd w:val="clear" w:color="auto" w:fill="auto"/>
          </w:tcPr>
          <w:p w14:paraId="1D0263F3" w14:textId="77777777" w:rsidR="004421F6" w:rsidRDefault="004421F6">
            <w:pPr>
              <w:rPr>
                <w:rFonts w:ascii="宋体"/>
              </w:rPr>
            </w:pPr>
          </w:p>
        </w:tc>
        <w:tc>
          <w:tcPr>
            <w:tcW w:w="0" w:type="auto"/>
            <w:shd w:val="clear" w:color="auto" w:fill="auto"/>
          </w:tcPr>
          <w:p w14:paraId="1D0263F4" w14:textId="77777777" w:rsidR="004421F6" w:rsidRDefault="004421F6">
            <w:pPr>
              <w:rPr>
                <w:rFonts w:ascii="宋体"/>
              </w:rPr>
            </w:pPr>
          </w:p>
        </w:tc>
        <w:tc>
          <w:tcPr>
            <w:tcW w:w="0" w:type="auto"/>
            <w:shd w:val="clear" w:color="auto" w:fill="auto"/>
          </w:tcPr>
          <w:p w14:paraId="1D0263F5" w14:textId="77777777" w:rsidR="004421F6" w:rsidRDefault="004421F6">
            <w:pPr>
              <w:rPr>
                <w:rFonts w:ascii="宋体"/>
              </w:rPr>
            </w:pPr>
          </w:p>
        </w:tc>
        <w:tc>
          <w:tcPr>
            <w:tcW w:w="0" w:type="auto"/>
            <w:shd w:val="clear" w:color="auto" w:fill="auto"/>
          </w:tcPr>
          <w:p w14:paraId="1D0263F6" w14:textId="77777777" w:rsidR="004421F6" w:rsidRDefault="004421F6">
            <w:pPr>
              <w:rPr>
                <w:rFonts w:ascii="宋体"/>
              </w:rPr>
            </w:pPr>
          </w:p>
        </w:tc>
        <w:tc>
          <w:tcPr>
            <w:tcW w:w="0" w:type="auto"/>
            <w:shd w:val="clear" w:color="auto" w:fill="auto"/>
          </w:tcPr>
          <w:p w14:paraId="1D0263F7" w14:textId="77777777" w:rsidR="004421F6" w:rsidRDefault="004421F6">
            <w:pPr>
              <w:rPr>
                <w:rFonts w:ascii="宋体"/>
              </w:rPr>
            </w:pPr>
          </w:p>
        </w:tc>
        <w:tc>
          <w:tcPr>
            <w:tcW w:w="0" w:type="auto"/>
            <w:shd w:val="clear" w:color="auto" w:fill="auto"/>
          </w:tcPr>
          <w:p w14:paraId="1D0263F8" w14:textId="77777777" w:rsidR="004421F6" w:rsidRDefault="004421F6">
            <w:pPr>
              <w:rPr>
                <w:rFonts w:ascii="宋体"/>
              </w:rPr>
            </w:pPr>
          </w:p>
        </w:tc>
        <w:tc>
          <w:tcPr>
            <w:tcW w:w="0" w:type="auto"/>
            <w:shd w:val="clear" w:color="auto" w:fill="auto"/>
          </w:tcPr>
          <w:p w14:paraId="1D0263F9" w14:textId="77777777" w:rsidR="004421F6" w:rsidRDefault="004421F6">
            <w:pPr>
              <w:rPr>
                <w:rFonts w:ascii="宋体"/>
              </w:rPr>
            </w:pPr>
          </w:p>
        </w:tc>
        <w:tc>
          <w:tcPr>
            <w:tcW w:w="0" w:type="auto"/>
            <w:shd w:val="clear" w:color="auto" w:fill="auto"/>
          </w:tcPr>
          <w:p w14:paraId="1D0263FA" w14:textId="77777777" w:rsidR="004421F6" w:rsidRDefault="004421F6">
            <w:pPr>
              <w:rPr>
                <w:rFonts w:ascii="宋体"/>
              </w:rPr>
            </w:pPr>
          </w:p>
        </w:tc>
        <w:tc>
          <w:tcPr>
            <w:tcW w:w="0" w:type="auto"/>
            <w:shd w:val="clear" w:color="auto" w:fill="auto"/>
          </w:tcPr>
          <w:p w14:paraId="1D0263FB" w14:textId="77777777" w:rsidR="004421F6" w:rsidRDefault="004421F6">
            <w:pPr>
              <w:rPr>
                <w:rFonts w:ascii="宋体"/>
              </w:rPr>
            </w:pPr>
          </w:p>
        </w:tc>
        <w:tc>
          <w:tcPr>
            <w:tcW w:w="0" w:type="auto"/>
            <w:shd w:val="clear" w:color="auto" w:fill="auto"/>
          </w:tcPr>
          <w:p w14:paraId="1D0263FC" w14:textId="77777777" w:rsidR="004421F6" w:rsidRDefault="004421F6">
            <w:pPr>
              <w:rPr>
                <w:rFonts w:ascii="宋体"/>
              </w:rPr>
            </w:pPr>
          </w:p>
        </w:tc>
        <w:tc>
          <w:tcPr>
            <w:tcW w:w="0" w:type="auto"/>
            <w:shd w:val="clear" w:color="auto" w:fill="auto"/>
          </w:tcPr>
          <w:p w14:paraId="1D0263FD" w14:textId="77777777" w:rsidR="004421F6" w:rsidRDefault="004421F6">
            <w:pPr>
              <w:rPr>
                <w:rFonts w:ascii="宋体"/>
              </w:rPr>
            </w:pPr>
          </w:p>
        </w:tc>
        <w:tc>
          <w:tcPr>
            <w:tcW w:w="0" w:type="auto"/>
            <w:shd w:val="clear" w:color="auto" w:fill="auto"/>
          </w:tcPr>
          <w:p w14:paraId="1D0263FE" w14:textId="77777777" w:rsidR="004421F6" w:rsidRDefault="004421F6">
            <w:pPr>
              <w:rPr>
                <w:rFonts w:ascii="宋体"/>
              </w:rPr>
            </w:pPr>
          </w:p>
        </w:tc>
        <w:tc>
          <w:tcPr>
            <w:tcW w:w="0" w:type="auto"/>
            <w:shd w:val="clear" w:color="auto" w:fill="auto"/>
          </w:tcPr>
          <w:p w14:paraId="1D0263FF" w14:textId="77777777" w:rsidR="004421F6" w:rsidRDefault="004421F6">
            <w:pPr>
              <w:rPr>
                <w:rFonts w:ascii="宋体"/>
              </w:rPr>
            </w:pPr>
          </w:p>
        </w:tc>
      </w:tr>
      <w:tr w:rsidR="004421F6" w14:paraId="1D02642C"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401" w14:textId="77777777" w:rsidR="004421F6" w:rsidRDefault="00F15622">
            <w:pPr>
              <w:textAlignment w:val="bottom"/>
            </w:pPr>
            <w:r>
              <w:rPr>
                <w:rFonts w:ascii="Arial" w:eastAsia="宋体" w:hAnsi="Arial" w:cs="Arial"/>
                <w:color w:val="000000"/>
                <w:sz w:val="17"/>
                <w:szCs w:val="17"/>
              </w:rPr>
              <w:t>Sales through Direct to Consumer</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02" w14:textId="77777777" w:rsidR="004421F6" w:rsidRDefault="00F15622">
            <w:pPr>
              <w:jc w:val="right"/>
              <w:textAlignment w:val="bottom"/>
            </w:pPr>
            <w:r>
              <w:rPr>
                <w:rFonts w:ascii="Arial" w:eastAsia="宋体" w:hAnsi="Arial" w:cs="Arial"/>
                <w:color w:val="000000"/>
                <w:sz w:val="17"/>
                <w:szCs w:val="17"/>
              </w:rPr>
              <w:t>1,429 </w:t>
            </w:r>
          </w:p>
        </w:tc>
        <w:tc>
          <w:tcPr>
            <w:tcW w:w="0" w:type="auto"/>
            <w:tcBorders>
              <w:top w:val="single" w:sz="8" w:space="0" w:color="808080"/>
            </w:tcBorders>
            <w:shd w:val="clear" w:color="auto" w:fill="auto"/>
            <w:tcMar>
              <w:top w:w="40" w:type="dxa"/>
              <w:bottom w:w="40" w:type="dxa"/>
              <w:right w:w="20" w:type="dxa"/>
            </w:tcMar>
            <w:vAlign w:val="bottom"/>
          </w:tcPr>
          <w:p w14:paraId="1D026403"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04" w14:textId="77777777" w:rsidR="004421F6" w:rsidRDefault="00F15622">
            <w:pPr>
              <w:jc w:val="right"/>
              <w:textAlignment w:val="bottom"/>
            </w:pPr>
            <w:r>
              <w:rPr>
                <w:rFonts w:ascii="Arial" w:eastAsia="宋体" w:hAnsi="Arial" w:cs="Arial"/>
                <w:color w:val="000000"/>
                <w:sz w:val="17"/>
                <w:szCs w:val="17"/>
              </w:rPr>
              <w:t>731 </w:t>
            </w:r>
          </w:p>
        </w:tc>
        <w:tc>
          <w:tcPr>
            <w:tcW w:w="0" w:type="auto"/>
            <w:tcBorders>
              <w:top w:val="single" w:sz="8" w:space="0" w:color="808080"/>
            </w:tcBorders>
            <w:shd w:val="clear" w:color="auto" w:fill="auto"/>
            <w:tcMar>
              <w:top w:w="40" w:type="dxa"/>
              <w:bottom w:w="40" w:type="dxa"/>
              <w:right w:w="20" w:type="dxa"/>
            </w:tcMar>
            <w:vAlign w:val="bottom"/>
          </w:tcPr>
          <w:p w14:paraId="1D026405"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06" w14:textId="77777777" w:rsidR="004421F6" w:rsidRDefault="00F15622">
            <w:pPr>
              <w:jc w:val="right"/>
              <w:textAlignment w:val="bottom"/>
            </w:pPr>
            <w:r>
              <w:rPr>
                <w:rFonts w:ascii="Arial" w:eastAsia="宋体" w:hAnsi="Arial" w:cs="Arial"/>
                <w:color w:val="000000"/>
                <w:sz w:val="17"/>
                <w:szCs w:val="17"/>
              </w:rPr>
              <w:t>693 </w:t>
            </w:r>
          </w:p>
        </w:tc>
        <w:tc>
          <w:tcPr>
            <w:tcW w:w="0" w:type="auto"/>
            <w:tcBorders>
              <w:top w:val="single" w:sz="8" w:space="0" w:color="808080"/>
            </w:tcBorders>
            <w:shd w:val="clear" w:color="auto" w:fill="auto"/>
            <w:tcMar>
              <w:top w:w="40" w:type="dxa"/>
              <w:bottom w:w="40" w:type="dxa"/>
              <w:right w:w="20" w:type="dxa"/>
            </w:tcMar>
            <w:vAlign w:val="bottom"/>
          </w:tcPr>
          <w:p w14:paraId="1D026407"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08" w14:textId="77777777" w:rsidR="004421F6" w:rsidRDefault="00F15622">
            <w:pPr>
              <w:jc w:val="right"/>
              <w:textAlignment w:val="bottom"/>
            </w:pPr>
            <w:r>
              <w:rPr>
                <w:rFonts w:ascii="Arial" w:eastAsia="宋体" w:hAnsi="Arial" w:cs="Arial"/>
                <w:color w:val="000000"/>
                <w:sz w:val="17"/>
                <w:szCs w:val="17"/>
              </w:rPr>
              <w:t>395 </w:t>
            </w:r>
          </w:p>
        </w:tc>
        <w:tc>
          <w:tcPr>
            <w:tcW w:w="0" w:type="auto"/>
            <w:tcBorders>
              <w:top w:val="single" w:sz="8" w:space="0" w:color="808080"/>
            </w:tcBorders>
            <w:shd w:val="clear" w:color="auto" w:fill="auto"/>
            <w:tcMar>
              <w:top w:w="40" w:type="dxa"/>
              <w:bottom w:w="40" w:type="dxa"/>
              <w:right w:w="20" w:type="dxa"/>
            </w:tcMar>
            <w:vAlign w:val="bottom"/>
          </w:tcPr>
          <w:p w14:paraId="1D026409"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0A"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40B"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0C" w14:textId="77777777" w:rsidR="004421F6" w:rsidRDefault="00F15622">
            <w:pPr>
              <w:jc w:val="right"/>
              <w:textAlignment w:val="bottom"/>
            </w:pPr>
            <w:r>
              <w:rPr>
                <w:rFonts w:ascii="Arial" w:eastAsia="宋体" w:hAnsi="Arial" w:cs="Arial"/>
                <w:color w:val="000000"/>
                <w:sz w:val="17"/>
                <w:szCs w:val="17"/>
              </w:rPr>
              <w:t>3,248 </w:t>
            </w:r>
          </w:p>
        </w:tc>
        <w:tc>
          <w:tcPr>
            <w:tcW w:w="0" w:type="auto"/>
            <w:tcBorders>
              <w:top w:val="single" w:sz="8" w:space="0" w:color="808080"/>
            </w:tcBorders>
            <w:shd w:val="clear" w:color="auto" w:fill="auto"/>
            <w:tcMar>
              <w:top w:w="40" w:type="dxa"/>
              <w:bottom w:w="40" w:type="dxa"/>
              <w:right w:w="20" w:type="dxa"/>
            </w:tcMar>
            <w:vAlign w:val="bottom"/>
          </w:tcPr>
          <w:p w14:paraId="1D02640D"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0E" w14:textId="77777777" w:rsidR="004421F6" w:rsidRDefault="00F15622">
            <w:pPr>
              <w:jc w:val="right"/>
              <w:textAlignment w:val="bottom"/>
            </w:pPr>
            <w:r>
              <w:rPr>
                <w:rFonts w:ascii="Arial" w:eastAsia="宋体" w:hAnsi="Arial" w:cs="Arial"/>
                <w:color w:val="000000"/>
                <w:sz w:val="17"/>
                <w:szCs w:val="17"/>
              </w:rPr>
              <w:t>164 </w:t>
            </w:r>
          </w:p>
        </w:tc>
        <w:tc>
          <w:tcPr>
            <w:tcW w:w="0" w:type="auto"/>
            <w:tcBorders>
              <w:top w:val="single" w:sz="8" w:space="0" w:color="808080"/>
            </w:tcBorders>
            <w:shd w:val="clear" w:color="auto" w:fill="auto"/>
            <w:tcMar>
              <w:top w:w="40" w:type="dxa"/>
              <w:bottom w:w="40" w:type="dxa"/>
              <w:right w:w="20" w:type="dxa"/>
            </w:tcMar>
            <w:vAlign w:val="bottom"/>
          </w:tcPr>
          <w:p w14:paraId="1D02640F"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10"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41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12" w14:textId="77777777" w:rsidR="004421F6" w:rsidRDefault="00F15622">
            <w:pPr>
              <w:jc w:val="right"/>
              <w:textAlignment w:val="bottom"/>
            </w:pPr>
            <w:r>
              <w:rPr>
                <w:rFonts w:ascii="Arial" w:eastAsia="宋体" w:hAnsi="Arial" w:cs="Arial"/>
                <w:color w:val="000000"/>
                <w:sz w:val="17"/>
                <w:szCs w:val="17"/>
              </w:rPr>
              <w:t>3,412 </w:t>
            </w:r>
          </w:p>
        </w:tc>
        <w:tc>
          <w:tcPr>
            <w:tcW w:w="0" w:type="auto"/>
            <w:tcBorders>
              <w:top w:val="single" w:sz="8" w:space="0" w:color="808080"/>
            </w:tcBorders>
            <w:shd w:val="clear" w:color="auto" w:fill="auto"/>
            <w:tcMar>
              <w:top w:w="40" w:type="dxa"/>
              <w:bottom w:w="40" w:type="dxa"/>
              <w:right w:w="20" w:type="dxa"/>
            </w:tcMar>
            <w:vAlign w:val="bottom"/>
          </w:tcPr>
          <w:p w14:paraId="1D026413" w14:textId="77777777" w:rsidR="004421F6" w:rsidRDefault="004421F6">
            <w:pPr>
              <w:jc w:val="right"/>
              <w:rPr>
                <w:rFonts w:ascii="宋体"/>
              </w:rPr>
            </w:pPr>
          </w:p>
        </w:tc>
        <w:tc>
          <w:tcPr>
            <w:tcW w:w="0" w:type="auto"/>
            <w:shd w:val="clear" w:color="auto" w:fill="auto"/>
          </w:tcPr>
          <w:p w14:paraId="1D026414" w14:textId="77777777" w:rsidR="004421F6" w:rsidRDefault="004421F6">
            <w:pPr>
              <w:rPr>
                <w:rFonts w:ascii="宋体"/>
              </w:rPr>
            </w:pPr>
          </w:p>
        </w:tc>
        <w:tc>
          <w:tcPr>
            <w:tcW w:w="0" w:type="auto"/>
            <w:shd w:val="clear" w:color="auto" w:fill="auto"/>
          </w:tcPr>
          <w:p w14:paraId="1D026415" w14:textId="77777777" w:rsidR="004421F6" w:rsidRDefault="004421F6">
            <w:pPr>
              <w:rPr>
                <w:rFonts w:ascii="宋体"/>
              </w:rPr>
            </w:pPr>
          </w:p>
        </w:tc>
        <w:tc>
          <w:tcPr>
            <w:tcW w:w="0" w:type="auto"/>
            <w:shd w:val="clear" w:color="auto" w:fill="auto"/>
          </w:tcPr>
          <w:p w14:paraId="1D026416" w14:textId="77777777" w:rsidR="004421F6" w:rsidRDefault="004421F6">
            <w:pPr>
              <w:rPr>
                <w:rFonts w:ascii="宋体"/>
              </w:rPr>
            </w:pPr>
          </w:p>
        </w:tc>
        <w:tc>
          <w:tcPr>
            <w:tcW w:w="0" w:type="auto"/>
            <w:shd w:val="clear" w:color="auto" w:fill="auto"/>
          </w:tcPr>
          <w:p w14:paraId="1D026417" w14:textId="77777777" w:rsidR="004421F6" w:rsidRDefault="004421F6">
            <w:pPr>
              <w:rPr>
                <w:rFonts w:ascii="宋体"/>
              </w:rPr>
            </w:pPr>
          </w:p>
        </w:tc>
        <w:tc>
          <w:tcPr>
            <w:tcW w:w="0" w:type="auto"/>
            <w:shd w:val="clear" w:color="auto" w:fill="auto"/>
          </w:tcPr>
          <w:p w14:paraId="1D026418" w14:textId="77777777" w:rsidR="004421F6" w:rsidRDefault="004421F6">
            <w:pPr>
              <w:rPr>
                <w:rFonts w:ascii="宋体"/>
              </w:rPr>
            </w:pPr>
          </w:p>
        </w:tc>
        <w:tc>
          <w:tcPr>
            <w:tcW w:w="0" w:type="auto"/>
            <w:shd w:val="clear" w:color="auto" w:fill="auto"/>
          </w:tcPr>
          <w:p w14:paraId="1D026419" w14:textId="77777777" w:rsidR="004421F6" w:rsidRDefault="004421F6">
            <w:pPr>
              <w:rPr>
                <w:rFonts w:ascii="宋体"/>
              </w:rPr>
            </w:pPr>
          </w:p>
        </w:tc>
        <w:tc>
          <w:tcPr>
            <w:tcW w:w="0" w:type="auto"/>
            <w:shd w:val="clear" w:color="auto" w:fill="auto"/>
          </w:tcPr>
          <w:p w14:paraId="1D02641A" w14:textId="77777777" w:rsidR="004421F6" w:rsidRDefault="004421F6">
            <w:pPr>
              <w:rPr>
                <w:rFonts w:ascii="宋体"/>
              </w:rPr>
            </w:pPr>
          </w:p>
        </w:tc>
        <w:tc>
          <w:tcPr>
            <w:tcW w:w="0" w:type="auto"/>
            <w:shd w:val="clear" w:color="auto" w:fill="auto"/>
          </w:tcPr>
          <w:p w14:paraId="1D02641B" w14:textId="77777777" w:rsidR="004421F6" w:rsidRDefault="004421F6">
            <w:pPr>
              <w:rPr>
                <w:rFonts w:ascii="宋体"/>
              </w:rPr>
            </w:pPr>
          </w:p>
        </w:tc>
        <w:tc>
          <w:tcPr>
            <w:tcW w:w="0" w:type="auto"/>
            <w:shd w:val="clear" w:color="auto" w:fill="auto"/>
          </w:tcPr>
          <w:p w14:paraId="1D02641C" w14:textId="77777777" w:rsidR="004421F6" w:rsidRDefault="004421F6">
            <w:pPr>
              <w:rPr>
                <w:rFonts w:ascii="宋体"/>
              </w:rPr>
            </w:pPr>
          </w:p>
        </w:tc>
        <w:tc>
          <w:tcPr>
            <w:tcW w:w="0" w:type="auto"/>
            <w:shd w:val="clear" w:color="auto" w:fill="auto"/>
          </w:tcPr>
          <w:p w14:paraId="1D02641D" w14:textId="77777777" w:rsidR="004421F6" w:rsidRDefault="004421F6">
            <w:pPr>
              <w:rPr>
                <w:rFonts w:ascii="宋体"/>
              </w:rPr>
            </w:pPr>
          </w:p>
        </w:tc>
        <w:tc>
          <w:tcPr>
            <w:tcW w:w="0" w:type="auto"/>
            <w:shd w:val="clear" w:color="auto" w:fill="auto"/>
          </w:tcPr>
          <w:p w14:paraId="1D02641E" w14:textId="77777777" w:rsidR="004421F6" w:rsidRDefault="004421F6">
            <w:pPr>
              <w:rPr>
                <w:rFonts w:ascii="宋体"/>
              </w:rPr>
            </w:pPr>
          </w:p>
        </w:tc>
        <w:tc>
          <w:tcPr>
            <w:tcW w:w="0" w:type="auto"/>
            <w:shd w:val="clear" w:color="auto" w:fill="auto"/>
          </w:tcPr>
          <w:p w14:paraId="1D02641F" w14:textId="77777777" w:rsidR="004421F6" w:rsidRDefault="004421F6">
            <w:pPr>
              <w:rPr>
                <w:rFonts w:ascii="宋体"/>
              </w:rPr>
            </w:pPr>
          </w:p>
        </w:tc>
        <w:tc>
          <w:tcPr>
            <w:tcW w:w="0" w:type="auto"/>
            <w:shd w:val="clear" w:color="auto" w:fill="auto"/>
          </w:tcPr>
          <w:p w14:paraId="1D026420" w14:textId="77777777" w:rsidR="004421F6" w:rsidRDefault="004421F6">
            <w:pPr>
              <w:rPr>
                <w:rFonts w:ascii="宋体"/>
              </w:rPr>
            </w:pPr>
          </w:p>
        </w:tc>
        <w:tc>
          <w:tcPr>
            <w:tcW w:w="0" w:type="auto"/>
            <w:shd w:val="clear" w:color="auto" w:fill="auto"/>
          </w:tcPr>
          <w:p w14:paraId="1D026421" w14:textId="77777777" w:rsidR="004421F6" w:rsidRDefault="004421F6">
            <w:pPr>
              <w:rPr>
                <w:rFonts w:ascii="宋体"/>
              </w:rPr>
            </w:pPr>
          </w:p>
        </w:tc>
        <w:tc>
          <w:tcPr>
            <w:tcW w:w="0" w:type="auto"/>
            <w:shd w:val="clear" w:color="auto" w:fill="auto"/>
          </w:tcPr>
          <w:p w14:paraId="1D026422" w14:textId="77777777" w:rsidR="004421F6" w:rsidRDefault="004421F6">
            <w:pPr>
              <w:rPr>
                <w:rFonts w:ascii="宋体"/>
              </w:rPr>
            </w:pPr>
          </w:p>
        </w:tc>
        <w:tc>
          <w:tcPr>
            <w:tcW w:w="0" w:type="auto"/>
            <w:shd w:val="clear" w:color="auto" w:fill="auto"/>
          </w:tcPr>
          <w:p w14:paraId="1D026423" w14:textId="77777777" w:rsidR="004421F6" w:rsidRDefault="004421F6">
            <w:pPr>
              <w:rPr>
                <w:rFonts w:ascii="宋体"/>
              </w:rPr>
            </w:pPr>
          </w:p>
        </w:tc>
        <w:tc>
          <w:tcPr>
            <w:tcW w:w="0" w:type="auto"/>
            <w:shd w:val="clear" w:color="auto" w:fill="auto"/>
          </w:tcPr>
          <w:p w14:paraId="1D026424" w14:textId="77777777" w:rsidR="004421F6" w:rsidRDefault="004421F6">
            <w:pPr>
              <w:rPr>
                <w:rFonts w:ascii="宋体"/>
              </w:rPr>
            </w:pPr>
          </w:p>
        </w:tc>
        <w:tc>
          <w:tcPr>
            <w:tcW w:w="0" w:type="auto"/>
            <w:shd w:val="clear" w:color="auto" w:fill="auto"/>
          </w:tcPr>
          <w:p w14:paraId="1D026425" w14:textId="77777777" w:rsidR="004421F6" w:rsidRDefault="004421F6">
            <w:pPr>
              <w:rPr>
                <w:rFonts w:ascii="宋体"/>
              </w:rPr>
            </w:pPr>
          </w:p>
        </w:tc>
        <w:tc>
          <w:tcPr>
            <w:tcW w:w="0" w:type="auto"/>
            <w:shd w:val="clear" w:color="auto" w:fill="auto"/>
          </w:tcPr>
          <w:p w14:paraId="1D026426" w14:textId="77777777" w:rsidR="004421F6" w:rsidRDefault="004421F6">
            <w:pPr>
              <w:rPr>
                <w:rFonts w:ascii="宋体"/>
              </w:rPr>
            </w:pPr>
          </w:p>
        </w:tc>
        <w:tc>
          <w:tcPr>
            <w:tcW w:w="0" w:type="auto"/>
            <w:shd w:val="clear" w:color="auto" w:fill="auto"/>
          </w:tcPr>
          <w:p w14:paraId="1D026427" w14:textId="77777777" w:rsidR="004421F6" w:rsidRDefault="004421F6">
            <w:pPr>
              <w:rPr>
                <w:rFonts w:ascii="宋体"/>
              </w:rPr>
            </w:pPr>
          </w:p>
        </w:tc>
        <w:tc>
          <w:tcPr>
            <w:tcW w:w="0" w:type="auto"/>
            <w:shd w:val="clear" w:color="auto" w:fill="auto"/>
          </w:tcPr>
          <w:p w14:paraId="1D026428" w14:textId="77777777" w:rsidR="004421F6" w:rsidRDefault="004421F6">
            <w:pPr>
              <w:rPr>
                <w:rFonts w:ascii="宋体"/>
              </w:rPr>
            </w:pPr>
          </w:p>
        </w:tc>
        <w:tc>
          <w:tcPr>
            <w:tcW w:w="0" w:type="auto"/>
            <w:shd w:val="clear" w:color="auto" w:fill="auto"/>
          </w:tcPr>
          <w:p w14:paraId="1D026429" w14:textId="77777777" w:rsidR="004421F6" w:rsidRDefault="004421F6">
            <w:pPr>
              <w:rPr>
                <w:rFonts w:ascii="宋体"/>
              </w:rPr>
            </w:pPr>
          </w:p>
        </w:tc>
        <w:tc>
          <w:tcPr>
            <w:tcW w:w="0" w:type="auto"/>
            <w:shd w:val="clear" w:color="auto" w:fill="auto"/>
          </w:tcPr>
          <w:p w14:paraId="1D02642A" w14:textId="77777777" w:rsidR="004421F6" w:rsidRDefault="004421F6">
            <w:pPr>
              <w:rPr>
                <w:rFonts w:ascii="宋体"/>
              </w:rPr>
            </w:pPr>
          </w:p>
        </w:tc>
        <w:tc>
          <w:tcPr>
            <w:tcW w:w="0" w:type="auto"/>
            <w:shd w:val="clear" w:color="auto" w:fill="auto"/>
          </w:tcPr>
          <w:p w14:paraId="1D02642B" w14:textId="77777777" w:rsidR="004421F6" w:rsidRDefault="004421F6">
            <w:pPr>
              <w:rPr>
                <w:rFonts w:ascii="宋体"/>
              </w:rPr>
            </w:pPr>
          </w:p>
        </w:tc>
      </w:tr>
      <w:tr w:rsidR="004421F6" w14:paraId="1D026458"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42D" w14:textId="77777777" w:rsidR="004421F6" w:rsidRDefault="00F15622">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2E"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42F"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30"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43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32"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433"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34"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435"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36" w14:textId="77777777" w:rsidR="004421F6" w:rsidRDefault="00F1562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bottom w:w="40" w:type="dxa"/>
              <w:right w:w="20" w:type="dxa"/>
            </w:tcMar>
            <w:vAlign w:val="bottom"/>
          </w:tcPr>
          <w:p w14:paraId="1D026437"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38" w14:textId="77777777" w:rsidR="004421F6" w:rsidRDefault="00F1562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bottom w:w="40" w:type="dxa"/>
              <w:right w:w="20" w:type="dxa"/>
            </w:tcMar>
            <w:vAlign w:val="bottom"/>
          </w:tcPr>
          <w:p w14:paraId="1D026439"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3A" w14:textId="77777777" w:rsidR="004421F6" w:rsidRDefault="00F15622">
            <w:pPr>
              <w:jc w:val="right"/>
              <w:textAlignment w:val="bottom"/>
            </w:pPr>
            <w:r>
              <w:rPr>
                <w:rFonts w:ascii="Arial" w:eastAsia="宋体" w:hAnsi="Arial" w:cs="Arial"/>
                <w:color w:val="000000"/>
                <w:sz w:val="17"/>
                <w:szCs w:val="17"/>
              </w:rPr>
              <w:t>24 </w:t>
            </w:r>
          </w:p>
        </w:tc>
        <w:tc>
          <w:tcPr>
            <w:tcW w:w="0" w:type="auto"/>
            <w:tcBorders>
              <w:top w:val="single" w:sz="8" w:space="0" w:color="808080"/>
            </w:tcBorders>
            <w:shd w:val="clear" w:color="auto" w:fill="auto"/>
            <w:tcMar>
              <w:top w:w="40" w:type="dxa"/>
              <w:bottom w:w="40" w:type="dxa"/>
              <w:right w:w="20" w:type="dxa"/>
            </w:tcMar>
            <w:vAlign w:val="bottom"/>
          </w:tcPr>
          <w:p w14:paraId="1D02643B"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3C" w14:textId="77777777" w:rsidR="004421F6" w:rsidRDefault="00F1562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bottom w:w="40" w:type="dxa"/>
              <w:right w:w="20" w:type="dxa"/>
            </w:tcMar>
            <w:vAlign w:val="bottom"/>
          </w:tcPr>
          <w:p w14:paraId="1D02643D"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3E" w14:textId="77777777" w:rsidR="004421F6" w:rsidRDefault="00F15622">
            <w:pPr>
              <w:jc w:val="right"/>
              <w:textAlignment w:val="bottom"/>
            </w:pPr>
            <w:r>
              <w:rPr>
                <w:rFonts w:ascii="Arial" w:eastAsia="宋体" w:hAnsi="Arial" w:cs="Arial"/>
                <w:color w:val="000000"/>
                <w:sz w:val="17"/>
                <w:szCs w:val="17"/>
              </w:rPr>
              <w:t>39 </w:t>
            </w:r>
          </w:p>
        </w:tc>
        <w:tc>
          <w:tcPr>
            <w:tcW w:w="0" w:type="auto"/>
            <w:tcBorders>
              <w:top w:val="single" w:sz="8" w:space="0" w:color="808080"/>
            </w:tcBorders>
            <w:shd w:val="clear" w:color="auto" w:fill="auto"/>
            <w:tcMar>
              <w:top w:w="40" w:type="dxa"/>
              <w:bottom w:w="40" w:type="dxa"/>
              <w:right w:w="20" w:type="dxa"/>
            </w:tcMar>
            <w:vAlign w:val="bottom"/>
          </w:tcPr>
          <w:p w14:paraId="1D02643F" w14:textId="77777777" w:rsidR="004421F6" w:rsidRDefault="004421F6">
            <w:pPr>
              <w:jc w:val="right"/>
              <w:rPr>
                <w:rFonts w:ascii="宋体"/>
              </w:rPr>
            </w:pPr>
          </w:p>
        </w:tc>
        <w:tc>
          <w:tcPr>
            <w:tcW w:w="0" w:type="auto"/>
            <w:shd w:val="clear" w:color="auto" w:fill="auto"/>
          </w:tcPr>
          <w:p w14:paraId="1D026440" w14:textId="77777777" w:rsidR="004421F6" w:rsidRDefault="004421F6">
            <w:pPr>
              <w:rPr>
                <w:rFonts w:ascii="宋体"/>
              </w:rPr>
            </w:pPr>
          </w:p>
        </w:tc>
        <w:tc>
          <w:tcPr>
            <w:tcW w:w="0" w:type="auto"/>
            <w:shd w:val="clear" w:color="auto" w:fill="auto"/>
          </w:tcPr>
          <w:p w14:paraId="1D026441" w14:textId="77777777" w:rsidR="004421F6" w:rsidRDefault="004421F6">
            <w:pPr>
              <w:rPr>
                <w:rFonts w:ascii="宋体"/>
              </w:rPr>
            </w:pPr>
          </w:p>
        </w:tc>
        <w:tc>
          <w:tcPr>
            <w:tcW w:w="0" w:type="auto"/>
            <w:shd w:val="clear" w:color="auto" w:fill="auto"/>
          </w:tcPr>
          <w:p w14:paraId="1D026442" w14:textId="77777777" w:rsidR="004421F6" w:rsidRDefault="004421F6">
            <w:pPr>
              <w:rPr>
                <w:rFonts w:ascii="宋体"/>
              </w:rPr>
            </w:pPr>
          </w:p>
        </w:tc>
        <w:tc>
          <w:tcPr>
            <w:tcW w:w="0" w:type="auto"/>
            <w:shd w:val="clear" w:color="auto" w:fill="auto"/>
          </w:tcPr>
          <w:p w14:paraId="1D026443" w14:textId="77777777" w:rsidR="004421F6" w:rsidRDefault="004421F6">
            <w:pPr>
              <w:rPr>
                <w:rFonts w:ascii="宋体"/>
              </w:rPr>
            </w:pPr>
          </w:p>
        </w:tc>
        <w:tc>
          <w:tcPr>
            <w:tcW w:w="0" w:type="auto"/>
            <w:shd w:val="clear" w:color="auto" w:fill="auto"/>
          </w:tcPr>
          <w:p w14:paraId="1D026444" w14:textId="77777777" w:rsidR="004421F6" w:rsidRDefault="004421F6">
            <w:pPr>
              <w:rPr>
                <w:rFonts w:ascii="宋体"/>
              </w:rPr>
            </w:pPr>
          </w:p>
        </w:tc>
        <w:tc>
          <w:tcPr>
            <w:tcW w:w="0" w:type="auto"/>
            <w:shd w:val="clear" w:color="auto" w:fill="auto"/>
          </w:tcPr>
          <w:p w14:paraId="1D026445" w14:textId="77777777" w:rsidR="004421F6" w:rsidRDefault="004421F6">
            <w:pPr>
              <w:rPr>
                <w:rFonts w:ascii="宋体"/>
              </w:rPr>
            </w:pPr>
          </w:p>
        </w:tc>
        <w:tc>
          <w:tcPr>
            <w:tcW w:w="0" w:type="auto"/>
            <w:shd w:val="clear" w:color="auto" w:fill="auto"/>
          </w:tcPr>
          <w:p w14:paraId="1D026446" w14:textId="77777777" w:rsidR="004421F6" w:rsidRDefault="004421F6">
            <w:pPr>
              <w:rPr>
                <w:rFonts w:ascii="宋体"/>
              </w:rPr>
            </w:pPr>
          </w:p>
        </w:tc>
        <w:tc>
          <w:tcPr>
            <w:tcW w:w="0" w:type="auto"/>
            <w:shd w:val="clear" w:color="auto" w:fill="auto"/>
          </w:tcPr>
          <w:p w14:paraId="1D026447" w14:textId="77777777" w:rsidR="004421F6" w:rsidRDefault="004421F6">
            <w:pPr>
              <w:rPr>
                <w:rFonts w:ascii="宋体"/>
              </w:rPr>
            </w:pPr>
          </w:p>
        </w:tc>
        <w:tc>
          <w:tcPr>
            <w:tcW w:w="0" w:type="auto"/>
            <w:shd w:val="clear" w:color="auto" w:fill="auto"/>
          </w:tcPr>
          <w:p w14:paraId="1D026448" w14:textId="77777777" w:rsidR="004421F6" w:rsidRDefault="004421F6">
            <w:pPr>
              <w:rPr>
                <w:rFonts w:ascii="宋体"/>
              </w:rPr>
            </w:pPr>
          </w:p>
        </w:tc>
        <w:tc>
          <w:tcPr>
            <w:tcW w:w="0" w:type="auto"/>
            <w:shd w:val="clear" w:color="auto" w:fill="auto"/>
          </w:tcPr>
          <w:p w14:paraId="1D026449" w14:textId="77777777" w:rsidR="004421F6" w:rsidRDefault="004421F6">
            <w:pPr>
              <w:rPr>
                <w:rFonts w:ascii="宋体"/>
              </w:rPr>
            </w:pPr>
          </w:p>
        </w:tc>
        <w:tc>
          <w:tcPr>
            <w:tcW w:w="0" w:type="auto"/>
            <w:shd w:val="clear" w:color="auto" w:fill="auto"/>
          </w:tcPr>
          <w:p w14:paraId="1D02644A" w14:textId="77777777" w:rsidR="004421F6" w:rsidRDefault="004421F6">
            <w:pPr>
              <w:rPr>
                <w:rFonts w:ascii="宋体"/>
              </w:rPr>
            </w:pPr>
          </w:p>
        </w:tc>
        <w:tc>
          <w:tcPr>
            <w:tcW w:w="0" w:type="auto"/>
            <w:shd w:val="clear" w:color="auto" w:fill="auto"/>
          </w:tcPr>
          <w:p w14:paraId="1D02644B" w14:textId="77777777" w:rsidR="004421F6" w:rsidRDefault="004421F6">
            <w:pPr>
              <w:rPr>
                <w:rFonts w:ascii="宋体"/>
              </w:rPr>
            </w:pPr>
          </w:p>
        </w:tc>
        <w:tc>
          <w:tcPr>
            <w:tcW w:w="0" w:type="auto"/>
            <w:shd w:val="clear" w:color="auto" w:fill="auto"/>
          </w:tcPr>
          <w:p w14:paraId="1D02644C" w14:textId="77777777" w:rsidR="004421F6" w:rsidRDefault="004421F6">
            <w:pPr>
              <w:rPr>
                <w:rFonts w:ascii="宋体"/>
              </w:rPr>
            </w:pPr>
          </w:p>
        </w:tc>
        <w:tc>
          <w:tcPr>
            <w:tcW w:w="0" w:type="auto"/>
            <w:shd w:val="clear" w:color="auto" w:fill="auto"/>
          </w:tcPr>
          <w:p w14:paraId="1D02644D" w14:textId="77777777" w:rsidR="004421F6" w:rsidRDefault="004421F6">
            <w:pPr>
              <w:rPr>
                <w:rFonts w:ascii="宋体"/>
              </w:rPr>
            </w:pPr>
          </w:p>
        </w:tc>
        <w:tc>
          <w:tcPr>
            <w:tcW w:w="0" w:type="auto"/>
            <w:shd w:val="clear" w:color="auto" w:fill="auto"/>
          </w:tcPr>
          <w:p w14:paraId="1D02644E" w14:textId="77777777" w:rsidR="004421F6" w:rsidRDefault="004421F6">
            <w:pPr>
              <w:rPr>
                <w:rFonts w:ascii="宋体"/>
              </w:rPr>
            </w:pPr>
          </w:p>
        </w:tc>
        <w:tc>
          <w:tcPr>
            <w:tcW w:w="0" w:type="auto"/>
            <w:shd w:val="clear" w:color="auto" w:fill="auto"/>
          </w:tcPr>
          <w:p w14:paraId="1D02644F" w14:textId="77777777" w:rsidR="004421F6" w:rsidRDefault="004421F6">
            <w:pPr>
              <w:rPr>
                <w:rFonts w:ascii="宋体"/>
              </w:rPr>
            </w:pPr>
          </w:p>
        </w:tc>
        <w:tc>
          <w:tcPr>
            <w:tcW w:w="0" w:type="auto"/>
            <w:shd w:val="clear" w:color="auto" w:fill="auto"/>
          </w:tcPr>
          <w:p w14:paraId="1D026450" w14:textId="77777777" w:rsidR="004421F6" w:rsidRDefault="004421F6">
            <w:pPr>
              <w:rPr>
                <w:rFonts w:ascii="宋体"/>
              </w:rPr>
            </w:pPr>
          </w:p>
        </w:tc>
        <w:tc>
          <w:tcPr>
            <w:tcW w:w="0" w:type="auto"/>
            <w:shd w:val="clear" w:color="auto" w:fill="auto"/>
          </w:tcPr>
          <w:p w14:paraId="1D026451" w14:textId="77777777" w:rsidR="004421F6" w:rsidRDefault="004421F6">
            <w:pPr>
              <w:rPr>
                <w:rFonts w:ascii="宋体"/>
              </w:rPr>
            </w:pPr>
          </w:p>
        </w:tc>
        <w:tc>
          <w:tcPr>
            <w:tcW w:w="0" w:type="auto"/>
            <w:shd w:val="clear" w:color="auto" w:fill="auto"/>
          </w:tcPr>
          <w:p w14:paraId="1D026452" w14:textId="77777777" w:rsidR="004421F6" w:rsidRDefault="004421F6">
            <w:pPr>
              <w:rPr>
                <w:rFonts w:ascii="宋体"/>
              </w:rPr>
            </w:pPr>
          </w:p>
        </w:tc>
        <w:tc>
          <w:tcPr>
            <w:tcW w:w="0" w:type="auto"/>
            <w:shd w:val="clear" w:color="auto" w:fill="auto"/>
          </w:tcPr>
          <w:p w14:paraId="1D026453" w14:textId="77777777" w:rsidR="004421F6" w:rsidRDefault="004421F6">
            <w:pPr>
              <w:rPr>
                <w:rFonts w:ascii="宋体"/>
              </w:rPr>
            </w:pPr>
          </w:p>
        </w:tc>
        <w:tc>
          <w:tcPr>
            <w:tcW w:w="0" w:type="auto"/>
            <w:shd w:val="clear" w:color="auto" w:fill="auto"/>
          </w:tcPr>
          <w:p w14:paraId="1D026454" w14:textId="77777777" w:rsidR="004421F6" w:rsidRDefault="004421F6">
            <w:pPr>
              <w:rPr>
                <w:rFonts w:ascii="宋体"/>
              </w:rPr>
            </w:pPr>
          </w:p>
        </w:tc>
        <w:tc>
          <w:tcPr>
            <w:tcW w:w="0" w:type="auto"/>
            <w:shd w:val="clear" w:color="auto" w:fill="auto"/>
          </w:tcPr>
          <w:p w14:paraId="1D026455" w14:textId="77777777" w:rsidR="004421F6" w:rsidRDefault="004421F6">
            <w:pPr>
              <w:rPr>
                <w:rFonts w:ascii="宋体"/>
              </w:rPr>
            </w:pPr>
          </w:p>
        </w:tc>
        <w:tc>
          <w:tcPr>
            <w:tcW w:w="0" w:type="auto"/>
            <w:shd w:val="clear" w:color="auto" w:fill="auto"/>
          </w:tcPr>
          <w:p w14:paraId="1D026456" w14:textId="77777777" w:rsidR="004421F6" w:rsidRDefault="004421F6">
            <w:pPr>
              <w:rPr>
                <w:rFonts w:ascii="宋体"/>
              </w:rPr>
            </w:pPr>
          </w:p>
        </w:tc>
        <w:tc>
          <w:tcPr>
            <w:tcW w:w="0" w:type="auto"/>
            <w:shd w:val="clear" w:color="auto" w:fill="auto"/>
          </w:tcPr>
          <w:p w14:paraId="1D026457" w14:textId="77777777" w:rsidR="004421F6" w:rsidRDefault="004421F6">
            <w:pPr>
              <w:rPr>
                <w:rFonts w:ascii="宋体"/>
              </w:rPr>
            </w:pPr>
          </w:p>
        </w:tc>
      </w:tr>
      <w:tr w:rsidR="004421F6" w14:paraId="1D02648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6459" w14:textId="77777777" w:rsidR="004421F6" w:rsidRDefault="00F15622">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45A"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45B" w14:textId="77777777" w:rsidR="004421F6" w:rsidRDefault="00F15622">
            <w:pPr>
              <w:jc w:val="right"/>
              <w:textAlignment w:val="bottom"/>
            </w:pPr>
            <w:r>
              <w:rPr>
                <w:rFonts w:ascii="Arial" w:eastAsia="宋体" w:hAnsi="Arial" w:cs="Arial"/>
                <w:b/>
                <w:bCs/>
                <w:color w:val="000000"/>
                <w:sz w:val="17"/>
                <w:szCs w:val="17"/>
              </w:rPr>
              <w:t>4,293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45C"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45D"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45E" w14:textId="77777777" w:rsidR="004421F6" w:rsidRDefault="00F15622">
            <w:pPr>
              <w:jc w:val="right"/>
              <w:textAlignment w:val="bottom"/>
            </w:pPr>
            <w:r>
              <w:rPr>
                <w:rFonts w:ascii="Arial" w:eastAsia="宋体" w:hAnsi="Arial" w:cs="Arial"/>
                <w:b/>
                <w:bCs/>
                <w:color w:val="000000"/>
                <w:sz w:val="17"/>
                <w:szCs w:val="17"/>
              </w:rPr>
              <w:t>2,773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45F"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460"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461" w14:textId="77777777" w:rsidR="004421F6" w:rsidRDefault="00F15622">
            <w:pPr>
              <w:jc w:val="right"/>
              <w:textAlignment w:val="bottom"/>
            </w:pPr>
            <w:r>
              <w:rPr>
                <w:rFonts w:ascii="Arial" w:eastAsia="宋体" w:hAnsi="Arial" w:cs="Arial"/>
                <w:b/>
                <w:bCs/>
                <w:color w:val="000000"/>
                <w:sz w:val="17"/>
                <w:szCs w:val="17"/>
              </w:rPr>
              <w:t>1,679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462"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463"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464" w14:textId="77777777" w:rsidR="004421F6" w:rsidRDefault="00F15622">
            <w:pPr>
              <w:jc w:val="right"/>
              <w:textAlignment w:val="bottom"/>
            </w:pPr>
            <w:r>
              <w:rPr>
                <w:rFonts w:ascii="Arial" w:eastAsia="宋体" w:hAnsi="Arial" w:cs="Arial"/>
                <w:b/>
                <w:bCs/>
                <w:color w:val="000000"/>
                <w:sz w:val="17"/>
                <w:szCs w:val="17"/>
              </w:rPr>
              <w:t>1,345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465"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466"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467" w14:textId="77777777" w:rsidR="004421F6" w:rsidRDefault="00F15622">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468"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469"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46A" w14:textId="77777777" w:rsidR="004421F6" w:rsidRDefault="00F15622">
            <w:pPr>
              <w:jc w:val="right"/>
              <w:textAlignment w:val="bottom"/>
            </w:pPr>
            <w:r>
              <w:rPr>
                <w:rFonts w:ascii="Arial" w:eastAsia="宋体" w:hAnsi="Arial" w:cs="Arial"/>
                <w:b/>
                <w:bCs/>
                <w:color w:val="000000"/>
                <w:sz w:val="17"/>
                <w:szCs w:val="17"/>
              </w:rPr>
              <w:t>10,096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46B"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46C"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46D" w14:textId="77777777" w:rsidR="004421F6" w:rsidRDefault="00F15622">
            <w:pPr>
              <w:jc w:val="right"/>
              <w:textAlignment w:val="bottom"/>
            </w:pPr>
            <w:r>
              <w:rPr>
                <w:rFonts w:ascii="Arial" w:eastAsia="宋体" w:hAnsi="Arial" w:cs="Arial"/>
                <w:b/>
                <w:bCs/>
                <w:color w:val="000000"/>
                <w:sz w:val="17"/>
                <w:szCs w:val="17"/>
              </w:rPr>
              <w:t>555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46E"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46F"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470" w14:textId="77777777" w:rsidR="004421F6" w:rsidRDefault="00F15622">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471"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472"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473" w14:textId="77777777" w:rsidR="004421F6" w:rsidRDefault="00F15622">
            <w:pPr>
              <w:jc w:val="right"/>
              <w:textAlignment w:val="bottom"/>
            </w:pPr>
            <w:r>
              <w:rPr>
                <w:rFonts w:ascii="Arial" w:eastAsia="宋体" w:hAnsi="Arial" w:cs="Arial"/>
                <w:b/>
                <w:bCs/>
                <w:color w:val="000000"/>
                <w:sz w:val="17"/>
                <w:szCs w:val="17"/>
              </w:rPr>
              <w:t>10,660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474" w14:textId="77777777" w:rsidR="004421F6" w:rsidRDefault="004421F6">
            <w:pPr>
              <w:jc w:val="right"/>
              <w:rPr>
                <w:rFonts w:ascii="宋体"/>
              </w:rPr>
            </w:pPr>
          </w:p>
        </w:tc>
        <w:tc>
          <w:tcPr>
            <w:tcW w:w="0" w:type="auto"/>
            <w:shd w:val="clear" w:color="auto" w:fill="auto"/>
          </w:tcPr>
          <w:p w14:paraId="1D026475" w14:textId="77777777" w:rsidR="004421F6" w:rsidRDefault="004421F6">
            <w:pPr>
              <w:rPr>
                <w:rFonts w:ascii="宋体"/>
              </w:rPr>
            </w:pPr>
          </w:p>
        </w:tc>
        <w:tc>
          <w:tcPr>
            <w:tcW w:w="0" w:type="auto"/>
            <w:shd w:val="clear" w:color="auto" w:fill="auto"/>
          </w:tcPr>
          <w:p w14:paraId="1D026476" w14:textId="77777777" w:rsidR="004421F6" w:rsidRDefault="004421F6">
            <w:pPr>
              <w:rPr>
                <w:rFonts w:ascii="宋体"/>
              </w:rPr>
            </w:pPr>
          </w:p>
        </w:tc>
        <w:tc>
          <w:tcPr>
            <w:tcW w:w="0" w:type="auto"/>
            <w:shd w:val="clear" w:color="auto" w:fill="auto"/>
          </w:tcPr>
          <w:p w14:paraId="1D026477" w14:textId="77777777" w:rsidR="004421F6" w:rsidRDefault="004421F6">
            <w:pPr>
              <w:rPr>
                <w:rFonts w:ascii="宋体"/>
              </w:rPr>
            </w:pPr>
          </w:p>
        </w:tc>
        <w:tc>
          <w:tcPr>
            <w:tcW w:w="0" w:type="auto"/>
            <w:shd w:val="clear" w:color="auto" w:fill="auto"/>
          </w:tcPr>
          <w:p w14:paraId="1D026478" w14:textId="77777777" w:rsidR="004421F6" w:rsidRDefault="004421F6">
            <w:pPr>
              <w:rPr>
                <w:rFonts w:ascii="宋体"/>
              </w:rPr>
            </w:pPr>
          </w:p>
        </w:tc>
        <w:tc>
          <w:tcPr>
            <w:tcW w:w="0" w:type="auto"/>
            <w:shd w:val="clear" w:color="auto" w:fill="auto"/>
          </w:tcPr>
          <w:p w14:paraId="1D026479" w14:textId="77777777" w:rsidR="004421F6" w:rsidRDefault="004421F6">
            <w:pPr>
              <w:rPr>
                <w:rFonts w:ascii="宋体"/>
              </w:rPr>
            </w:pPr>
          </w:p>
        </w:tc>
        <w:tc>
          <w:tcPr>
            <w:tcW w:w="0" w:type="auto"/>
            <w:shd w:val="clear" w:color="auto" w:fill="auto"/>
          </w:tcPr>
          <w:p w14:paraId="1D02647A" w14:textId="77777777" w:rsidR="004421F6" w:rsidRDefault="004421F6">
            <w:pPr>
              <w:rPr>
                <w:rFonts w:ascii="宋体"/>
              </w:rPr>
            </w:pPr>
          </w:p>
        </w:tc>
        <w:tc>
          <w:tcPr>
            <w:tcW w:w="0" w:type="auto"/>
            <w:shd w:val="clear" w:color="auto" w:fill="auto"/>
          </w:tcPr>
          <w:p w14:paraId="1D02647B" w14:textId="77777777" w:rsidR="004421F6" w:rsidRDefault="004421F6">
            <w:pPr>
              <w:rPr>
                <w:rFonts w:ascii="宋体"/>
              </w:rPr>
            </w:pPr>
          </w:p>
        </w:tc>
        <w:tc>
          <w:tcPr>
            <w:tcW w:w="0" w:type="auto"/>
            <w:shd w:val="clear" w:color="auto" w:fill="auto"/>
          </w:tcPr>
          <w:p w14:paraId="1D02647C" w14:textId="77777777" w:rsidR="004421F6" w:rsidRDefault="004421F6">
            <w:pPr>
              <w:rPr>
                <w:rFonts w:ascii="宋体"/>
              </w:rPr>
            </w:pPr>
          </w:p>
        </w:tc>
        <w:tc>
          <w:tcPr>
            <w:tcW w:w="0" w:type="auto"/>
            <w:shd w:val="clear" w:color="auto" w:fill="auto"/>
          </w:tcPr>
          <w:p w14:paraId="1D02647D" w14:textId="77777777" w:rsidR="004421F6" w:rsidRDefault="004421F6">
            <w:pPr>
              <w:rPr>
                <w:rFonts w:ascii="宋体"/>
              </w:rPr>
            </w:pPr>
          </w:p>
        </w:tc>
        <w:tc>
          <w:tcPr>
            <w:tcW w:w="0" w:type="auto"/>
            <w:shd w:val="clear" w:color="auto" w:fill="auto"/>
          </w:tcPr>
          <w:p w14:paraId="1D02647E" w14:textId="77777777" w:rsidR="004421F6" w:rsidRDefault="004421F6">
            <w:pPr>
              <w:rPr>
                <w:rFonts w:ascii="宋体"/>
              </w:rPr>
            </w:pPr>
          </w:p>
        </w:tc>
        <w:tc>
          <w:tcPr>
            <w:tcW w:w="0" w:type="auto"/>
            <w:shd w:val="clear" w:color="auto" w:fill="auto"/>
          </w:tcPr>
          <w:p w14:paraId="1D02647F" w14:textId="77777777" w:rsidR="004421F6" w:rsidRDefault="004421F6">
            <w:pPr>
              <w:rPr>
                <w:rFonts w:ascii="宋体"/>
              </w:rPr>
            </w:pPr>
          </w:p>
        </w:tc>
        <w:tc>
          <w:tcPr>
            <w:tcW w:w="0" w:type="auto"/>
            <w:shd w:val="clear" w:color="auto" w:fill="auto"/>
          </w:tcPr>
          <w:p w14:paraId="1D026480" w14:textId="77777777" w:rsidR="004421F6" w:rsidRDefault="004421F6">
            <w:pPr>
              <w:rPr>
                <w:rFonts w:ascii="宋体"/>
              </w:rPr>
            </w:pPr>
          </w:p>
        </w:tc>
        <w:tc>
          <w:tcPr>
            <w:tcW w:w="0" w:type="auto"/>
            <w:shd w:val="clear" w:color="auto" w:fill="auto"/>
          </w:tcPr>
          <w:p w14:paraId="1D026481" w14:textId="77777777" w:rsidR="004421F6" w:rsidRDefault="004421F6">
            <w:pPr>
              <w:rPr>
                <w:rFonts w:ascii="宋体"/>
              </w:rPr>
            </w:pPr>
          </w:p>
        </w:tc>
        <w:tc>
          <w:tcPr>
            <w:tcW w:w="0" w:type="auto"/>
            <w:shd w:val="clear" w:color="auto" w:fill="auto"/>
          </w:tcPr>
          <w:p w14:paraId="1D026482" w14:textId="77777777" w:rsidR="004421F6" w:rsidRDefault="004421F6">
            <w:pPr>
              <w:rPr>
                <w:rFonts w:ascii="宋体"/>
              </w:rPr>
            </w:pPr>
          </w:p>
        </w:tc>
        <w:tc>
          <w:tcPr>
            <w:tcW w:w="0" w:type="auto"/>
            <w:shd w:val="clear" w:color="auto" w:fill="auto"/>
          </w:tcPr>
          <w:p w14:paraId="1D026483" w14:textId="77777777" w:rsidR="004421F6" w:rsidRDefault="004421F6">
            <w:pPr>
              <w:rPr>
                <w:rFonts w:ascii="宋体"/>
              </w:rPr>
            </w:pPr>
          </w:p>
        </w:tc>
        <w:tc>
          <w:tcPr>
            <w:tcW w:w="0" w:type="auto"/>
            <w:shd w:val="clear" w:color="auto" w:fill="auto"/>
          </w:tcPr>
          <w:p w14:paraId="1D026484" w14:textId="77777777" w:rsidR="004421F6" w:rsidRDefault="004421F6">
            <w:pPr>
              <w:rPr>
                <w:rFonts w:ascii="宋体"/>
              </w:rPr>
            </w:pPr>
          </w:p>
        </w:tc>
        <w:tc>
          <w:tcPr>
            <w:tcW w:w="0" w:type="auto"/>
            <w:shd w:val="clear" w:color="auto" w:fill="auto"/>
          </w:tcPr>
          <w:p w14:paraId="1D026485" w14:textId="77777777" w:rsidR="004421F6" w:rsidRDefault="004421F6">
            <w:pPr>
              <w:rPr>
                <w:rFonts w:ascii="宋体"/>
              </w:rPr>
            </w:pPr>
          </w:p>
        </w:tc>
        <w:tc>
          <w:tcPr>
            <w:tcW w:w="0" w:type="auto"/>
            <w:shd w:val="clear" w:color="auto" w:fill="auto"/>
          </w:tcPr>
          <w:p w14:paraId="1D026486" w14:textId="77777777" w:rsidR="004421F6" w:rsidRDefault="004421F6">
            <w:pPr>
              <w:rPr>
                <w:rFonts w:ascii="宋体"/>
              </w:rPr>
            </w:pPr>
          </w:p>
        </w:tc>
        <w:tc>
          <w:tcPr>
            <w:tcW w:w="0" w:type="auto"/>
            <w:shd w:val="clear" w:color="auto" w:fill="auto"/>
          </w:tcPr>
          <w:p w14:paraId="1D026487" w14:textId="77777777" w:rsidR="004421F6" w:rsidRDefault="004421F6">
            <w:pPr>
              <w:rPr>
                <w:rFonts w:ascii="宋体"/>
              </w:rPr>
            </w:pPr>
          </w:p>
        </w:tc>
        <w:tc>
          <w:tcPr>
            <w:tcW w:w="0" w:type="auto"/>
            <w:shd w:val="clear" w:color="auto" w:fill="auto"/>
          </w:tcPr>
          <w:p w14:paraId="1D026488" w14:textId="77777777" w:rsidR="004421F6" w:rsidRDefault="004421F6">
            <w:pPr>
              <w:rPr>
                <w:rFonts w:ascii="宋体"/>
              </w:rPr>
            </w:pPr>
          </w:p>
        </w:tc>
        <w:tc>
          <w:tcPr>
            <w:tcW w:w="0" w:type="auto"/>
            <w:shd w:val="clear" w:color="auto" w:fill="auto"/>
          </w:tcPr>
          <w:p w14:paraId="1D026489" w14:textId="77777777" w:rsidR="004421F6" w:rsidRDefault="004421F6">
            <w:pPr>
              <w:rPr>
                <w:rFonts w:ascii="宋体"/>
              </w:rPr>
            </w:pPr>
          </w:p>
        </w:tc>
        <w:tc>
          <w:tcPr>
            <w:tcW w:w="0" w:type="auto"/>
            <w:shd w:val="clear" w:color="auto" w:fill="auto"/>
          </w:tcPr>
          <w:p w14:paraId="1D02648A" w14:textId="77777777" w:rsidR="004421F6" w:rsidRDefault="004421F6">
            <w:pPr>
              <w:rPr>
                <w:rFonts w:ascii="宋体"/>
              </w:rPr>
            </w:pPr>
          </w:p>
        </w:tc>
        <w:tc>
          <w:tcPr>
            <w:tcW w:w="0" w:type="auto"/>
            <w:shd w:val="clear" w:color="auto" w:fill="auto"/>
          </w:tcPr>
          <w:p w14:paraId="1D02648B" w14:textId="77777777" w:rsidR="004421F6" w:rsidRDefault="004421F6">
            <w:pPr>
              <w:rPr>
                <w:rFonts w:ascii="宋体"/>
              </w:rPr>
            </w:pPr>
          </w:p>
        </w:tc>
        <w:tc>
          <w:tcPr>
            <w:tcW w:w="0" w:type="auto"/>
            <w:shd w:val="clear" w:color="auto" w:fill="auto"/>
          </w:tcPr>
          <w:p w14:paraId="1D02648C" w14:textId="77777777" w:rsidR="004421F6" w:rsidRDefault="004421F6">
            <w:pPr>
              <w:rPr>
                <w:rFonts w:ascii="宋体"/>
              </w:rPr>
            </w:pPr>
          </w:p>
        </w:tc>
      </w:tr>
    </w:tbl>
    <w:p w14:paraId="1D02648E" w14:textId="77777777" w:rsidR="004421F6" w:rsidRDefault="004421F6"/>
    <w:p w14:paraId="1D02648F" w14:textId="77777777" w:rsidR="004421F6" w:rsidRDefault="00F15622">
      <w:r>
        <w:rPr>
          <w:rFonts w:ascii="Arial" w:eastAsia="宋体" w:hAnsi="Arial" w:cs="Arial"/>
          <w:color w:val="000000"/>
          <w:sz w:val="17"/>
          <w:szCs w:val="17"/>
        </w:rPr>
        <w:t>For the three months ended August 31, 2020 and 2019, Other revenues for Global Brand Divisions and Converse were primaril</w:t>
      </w:r>
      <w:r>
        <w:rPr>
          <w:rFonts w:ascii="Arial" w:eastAsia="宋体" w:hAnsi="Arial" w:cs="Arial"/>
          <w:color w:val="000000"/>
          <w:sz w:val="17"/>
          <w:szCs w:val="17"/>
        </w:rPr>
        <w:t>y attributable to licensing businesses. For the three months ended August 31, 2020 and 2019, Other revenues for Corporate primarily consisted of foreign currency hedge gains and losses related to revenues generated by entities within the NIKE Brand geograp</w:t>
      </w:r>
      <w:r>
        <w:rPr>
          <w:rFonts w:ascii="Arial" w:eastAsia="宋体" w:hAnsi="Arial" w:cs="Arial"/>
          <w:color w:val="000000"/>
          <w:sz w:val="17"/>
          <w:szCs w:val="17"/>
        </w:rPr>
        <w:t>hic operating segments and Converse but managed through the Company's central foreign exchange risk management program.</w:t>
      </w:r>
    </w:p>
    <w:p w14:paraId="1D026490" w14:textId="77777777" w:rsidR="004421F6" w:rsidRDefault="00F15622">
      <w:pPr>
        <w:spacing w:before="120" w:after="120"/>
      </w:pPr>
      <w:r>
        <w:rPr>
          <w:rFonts w:ascii="Arial" w:eastAsia="宋体" w:hAnsi="Arial" w:cs="Arial"/>
          <w:color w:val="000000"/>
          <w:sz w:val="17"/>
          <w:szCs w:val="17"/>
        </w:rPr>
        <w:t>As of August 31, 2020 and May 31, 2020, the Company did not have any contract assets and had an immaterial amount of contract liabilitie</w:t>
      </w:r>
      <w:r>
        <w:rPr>
          <w:rFonts w:ascii="Arial" w:eastAsia="宋体" w:hAnsi="Arial" w:cs="Arial"/>
          <w:color w:val="000000"/>
          <w:sz w:val="17"/>
          <w:szCs w:val="17"/>
        </w:rPr>
        <w:t>s recorded in Accrued liabilities on the Unaudited Condensed Consolidated Balance Sheets.</w:t>
      </w:r>
    </w:p>
    <w:p w14:paraId="1D026491" w14:textId="77777777" w:rsidR="004421F6" w:rsidRDefault="00F15622">
      <w:pPr>
        <w:spacing w:before="120" w:after="120"/>
        <w:jc w:val="right"/>
      </w:pPr>
      <w:r>
        <w:rPr>
          <w:rFonts w:ascii="Arial" w:eastAsia="宋体" w:hAnsi="Arial" w:cs="Arial"/>
          <w:color w:val="E87722"/>
          <w:sz w:val="17"/>
          <w:szCs w:val="17"/>
        </w:rPr>
        <w:t>17</w:t>
      </w:r>
    </w:p>
    <w:p w14:paraId="1D026492" w14:textId="77777777" w:rsidR="004421F6" w:rsidRDefault="00F15622">
      <w:r>
        <w:pict w14:anchorId="1D02728C">
          <v:rect id="_x0000_i1043" style="width:415.3pt;height:1.5pt" o:hralign="center" o:hrstd="t" o:hr="t" fillcolor="#a0a0a0" stroked="f"/>
        </w:pict>
      </w:r>
    </w:p>
    <w:p w14:paraId="1D026493" w14:textId="77777777" w:rsidR="004421F6" w:rsidRDefault="004421F6"/>
    <w:p w14:paraId="1D026494" w14:textId="77777777" w:rsidR="004421F6" w:rsidRDefault="00F15622">
      <w:hyperlink r:id="rId88" w:anchor="i3e524f2e23844e81ba9d33a05ac3917c_7" w:history="1">
        <w:r>
          <w:rPr>
            <w:rStyle w:val="a5"/>
            <w:rFonts w:ascii="sans-serif" w:eastAsia="sans-serif" w:hAnsi="sans-serif" w:cs="sans-serif"/>
            <w:sz w:val="17"/>
            <w:szCs w:val="17"/>
          </w:rPr>
          <w:t>Table of Co</w:t>
        </w:r>
        <w:r>
          <w:rPr>
            <w:rStyle w:val="a5"/>
            <w:rFonts w:ascii="sans-serif" w:eastAsia="sans-serif" w:hAnsi="sans-serif" w:cs="sans-serif"/>
            <w:sz w:val="17"/>
            <w:szCs w:val="17"/>
          </w:rPr>
          <w:t>ntents</w:t>
        </w:r>
      </w:hyperlink>
    </w:p>
    <w:p w14:paraId="1D026495" w14:textId="77777777" w:rsidR="004421F6" w:rsidRDefault="004421F6"/>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421F6" w14:paraId="1D026499" w14:textId="77777777">
        <w:tc>
          <w:tcPr>
            <w:tcW w:w="50" w:type="pct"/>
            <w:shd w:val="clear" w:color="auto" w:fill="auto"/>
          </w:tcPr>
          <w:p w14:paraId="1D026496" w14:textId="77777777" w:rsidR="004421F6" w:rsidRDefault="004421F6">
            <w:pPr>
              <w:rPr>
                <w:rFonts w:ascii="宋体"/>
              </w:rPr>
            </w:pPr>
          </w:p>
        </w:tc>
        <w:tc>
          <w:tcPr>
            <w:tcW w:w="4945" w:type="pct"/>
            <w:shd w:val="clear" w:color="auto" w:fill="auto"/>
          </w:tcPr>
          <w:p w14:paraId="1D026497" w14:textId="77777777" w:rsidR="004421F6" w:rsidRDefault="004421F6">
            <w:pPr>
              <w:rPr>
                <w:rFonts w:ascii="宋体"/>
              </w:rPr>
            </w:pPr>
          </w:p>
        </w:tc>
        <w:tc>
          <w:tcPr>
            <w:tcW w:w="5" w:type="pct"/>
            <w:shd w:val="clear" w:color="auto" w:fill="auto"/>
          </w:tcPr>
          <w:p w14:paraId="1D026498" w14:textId="77777777" w:rsidR="004421F6" w:rsidRDefault="004421F6">
            <w:pPr>
              <w:rPr>
                <w:rFonts w:ascii="宋体"/>
              </w:rPr>
            </w:pPr>
          </w:p>
        </w:tc>
      </w:tr>
      <w:tr w:rsidR="004421F6" w14:paraId="1D02649B" w14:textId="77777777">
        <w:tc>
          <w:tcPr>
            <w:tcW w:w="0" w:type="auto"/>
            <w:gridSpan w:val="3"/>
            <w:shd w:val="clear" w:color="auto" w:fill="auto"/>
            <w:tcMar>
              <w:top w:w="40" w:type="dxa"/>
              <w:left w:w="20" w:type="dxa"/>
              <w:bottom w:w="40" w:type="dxa"/>
              <w:right w:w="20" w:type="dxa"/>
            </w:tcMar>
            <w:vAlign w:val="bottom"/>
          </w:tcPr>
          <w:p w14:paraId="1D02649A" w14:textId="77777777" w:rsidR="004421F6" w:rsidRDefault="00F15622">
            <w:pPr>
              <w:textAlignment w:val="bottom"/>
            </w:pPr>
            <w:r>
              <w:rPr>
                <w:rFonts w:ascii="sans-serif" w:eastAsia="sans-serif" w:hAnsi="sans-serif" w:cs="sans-serif"/>
                <w:b/>
                <w:bCs/>
                <w:color w:val="E87722"/>
                <w:sz w:val="36"/>
                <w:szCs w:val="36"/>
              </w:rPr>
              <w:t>NOTE 12 — OPERATING SEGMENTS</w:t>
            </w:r>
          </w:p>
        </w:tc>
      </w:tr>
    </w:tbl>
    <w:p w14:paraId="1D02649C" w14:textId="77777777" w:rsidR="004421F6" w:rsidRDefault="00F15622">
      <w:pPr>
        <w:spacing w:before="120" w:after="120"/>
      </w:pPr>
      <w:r>
        <w:rPr>
          <w:rFonts w:ascii="Arial" w:eastAsia="宋体" w:hAnsi="Arial" w:cs="Arial"/>
          <w:color w:val="000000"/>
          <w:sz w:val="17"/>
          <w:szCs w:val="17"/>
        </w:rPr>
        <w:t xml:space="preserve">The Company's operating segments are evidence of the structure of the Company's internal organization. The NIKE Brand segments are defined by geographic regions for operations participating in NIKE Brand </w:t>
      </w:r>
      <w:r>
        <w:rPr>
          <w:rFonts w:ascii="Arial" w:eastAsia="宋体" w:hAnsi="Arial" w:cs="Arial"/>
          <w:color w:val="000000"/>
          <w:sz w:val="17"/>
          <w:szCs w:val="17"/>
        </w:rPr>
        <w:t>sales activity.</w:t>
      </w:r>
    </w:p>
    <w:p w14:paraId="1D02649D" w14:textId="77777777" w:rsidR="004421F6" w:rsidRDefault="00F15622">
      <w:pPr>
        <w:spacing w:before="120" w:after="120"/>
      </w:pPr>
      <w:r>
        <w:rPr>
          <w:rFonts w:ascii="Arial" w:eastAsia="宋体" w:hAnsi="Arial" w:cs="Arial"/>
          <w:color w:val="000000"/>
          <w:sz w:val="17"/>
          <w:szCs w:val="17"/>
        </w:rPr>
        <w:t>Each NIKE Brand geographic segment operates predominantly in one industry: the design, development, marketing and selling of athletic footwear, apparel and equipment. The Company's reportable operating segments for the NIKE Brand are: North</w:t>
      </w:r>
      <w:r>
        <w:rPr>
          <w:rFonts w:ascii="Arial" w:eastAsia="宋体" w:hAnsi="Arial" w:cs="Arial"/>
          <w:color w:val="000000"/>
          <w:sz w:val="17"/>
          <w:szCs w:val="17"/>
        </w:rPr>
        <w:t xml:space="preserve"> America; Europe, Middle East &amp; Africa (EMEA); Greater China; and Asia Pacific &amp; Latin America (APLA), and include results for the NIKE and Jordan brands. </w:t>
      </w:r>
    </w:p>
    <w:p w14:paraId="1D02649E" w14:textId="77777777" w:rsidR="004421F6" w:rsidRDefault="00F15622">
      <w:pPr>
        <w:spacing w:before="120" w:after="120"/>
      </w:pPr>
      <w:r>
        <w:rPr>
          <w:rFonts w:ascii="Arial" w:eastAsia="宋体" w:hAnsi="Arial" w:cs="Arial"/>
          <w:color w:val="000000"/>
          <w:sz w:val="17"/>
          <w:szCs w:val="17"/>
        </w:rPr>
        <w:t>The Company's NIKE Direct operations are managed within each NIKE Brand geographic operating segment</w:t>
      </w:r>
      <w:r>
        <w:rPr>
          <w:rFonts w:ascii="Arial" w:eastAsia="宋体" w:hAnsi="Arial" w:cs="Arial"/>
          <w:color w:val="000000"/>
          <w:sz w:val="17"/>
          <w:szCs w:val="17"/>
        </w:rPr>
        <w:t>. Converse is also a reportable segment for the Company, and operates in one industry: the design, marketing, licensing and selling of athletic lifestyle sneakers, apparel and accessories.</w:t>
      </w:r>
    </w:p>
    <w:p w14:paraId="1D02649F" w14:textId="77777777" w:rsidR="004421F6" w:rsidRDefault="00F15622">
      <w:pPr>
        <w:spacing w:before="120" w:after="120"/>
      </w:pPr>
      <w:r>
        <w:rPr>
          <w:rFonts w:ascii="Arial" w:eastAsia="宋体" w:hAnsi="Arial" w:cs="Arial"/>
          <w:color w:val="000000"/>
          <w:sz w:val="17"/>
          <w:szCs w:val="17"/>
        </w:rPr>
        <w:t>Global Brand Divisions is included within the NIKE Brand for presen</w:t>
      </w:r>
      <w:r>
        <w:rPr>
          <w:rFonts w:ascii="Arial" w:eastAsia="宋体" w:hAnsi="Arial" w:cs="Arial"/>
          <w:color w:val="000000"/>
          <w:sz w:val="17"/>
          <w:szCs w:val="17"/>
        </w:rPr>
        <w:t xml:space="preserve">tation purposes to align with the way management views the Company. Global Brand Divisions primarily represent NIKE Brand licensing businesses that are not part of a geographic operating segment, demand creation and operating overhead expense that include </w:t>
      </w:r>
      <w:r>
        <w:rPr>
          <w:rFonts w:ascii="Arial" w:eastAsia="宋体" w:hAnsi="Arial" w:cs="Arial"/>
          <w:color w:val="000000"/>
          <w:sz w:val="17"/>
          <w:szCs w:val="17"/>
        </w:rPr>
        <w:t xml:space="preserve">product creation and design expenses centrally managed for the NIKE Brand, as well as costs associated with NIKE Direct global digital operations and enterprise technology. </w:t>
      </w:r>
    </w:p>
    <w:p w14:paraId="1D0264A0" w14:textId="77777777" w:rsidR="004421F6" w:rsidRDefault="00F15622">
      <w:pPr>
        <w:spacing w:before="120" w:after="120"/>
      </w:pPr>
      <w:r>
        <w:rPr>
          <w:rFonts w:ascii="Arial" w:eastAsia="宋体" w:hAnsi="Arial" w:cs="Arial"/>
          <w:color w:val="000000"/>
          <w:sz w:val="17"/>
          <w:szCs w:val="17"/>
        </w:rPr>
        <w:t>Corporate consists primarily of unallocated general and administrative expenses, i</w:t>
      </w:r>
      <w:r>
        <w:rPr>
          <w:rFonts w:ascii="Arial" w:eastAsia="宋体" w:hAnsi="Arial" w:cs="Arial"/>
          <w:color w:val="000000"/>
          <w:sz w:val="17"/>
          <w:szCs w:val="17"/>
        </w:rPr>
        <w:t>ncluding expenses associated with centrally managed departments; depreciation and amortization related to the Company's headquarters; unallocated insurance, benefit and compensation programs, including stock-based compensation; and certain foreign currency</w:t>
      </w:r>
      <w:r>
        <w:rPr>
          <w:rFonts w:ascii="Arial" w:eastAsia="宋体" w:hAnsi="Arial" w:cs="Arial"/>
          <w:color w:val="000000"/>
          <w:sz w:val="17"/>
          <w:szCs w:val="17"/>
        </w:rPr>
        <w:t xml:space="preserve"> gains and losses, including certain hedge gains and losses.</w:t>
      </w:r>
    </w:p>
    <w:p w14:paraId="1D0264A1" w14:textId="77777777" w:rsidR="004421F6" w:rsidRDefault="00F15622">
      <w:pPr>
        <w:spacing w:before="120" w:after="120"/>
      </w:pPr>
      <w:r>
        <w:rPr>
          <w:rFonts w:ascii="Arial" w:eastAsia="宋体" w:hAnsi="Arial" w:cs="Arial"/>
          <w:color w:val="000000"/>
          <w:sz w:val="17"/>
          <w:szCs w:val="17"/>
        </w:rPr>
        <w:t>The primary financial measure used by the Company to evaluate performance of individual operating segments is earnings before interest and taxes (EBIT), which represents Net income before Interes</w:t>
      </w:r>
      <w:r>
        <w:rPr>
          <w:rFonts w:ascii="Arial" w:eastAsia="宋体" w:hAnsi="Arial" w:cs="Arial"/>
          <w:color w:val="000000"/>
          <w:sz w:val="17"/>
          <w:szCs w:val="17"/>
        </w:rPr>
        <w:t>t expense (income), net and Income tax expense in the Unaudited Condensed Consolidated Statements of Income.</w:t>
      </w:r>
    </w:p>
    <w:p w14:paraId="1D0264A2" w14:textId="77777777" w:rsidR="004421F6" w:rsidRDefault="00F15622">
      <w:pPr>
        <w:spacing w:before="120" w:after="120"/>
      </w:pPr>
      <w:r>
        <w:rPr>
          <w:rFonts w:ascii="Arial" w:eastAsia="宋体" w:hAnsi="Arial" w:cs="Arial"/>
          <w:color w:val="000000"/>
          <w:sz w:val="17"/>
          <w:szCs w:val="17"/>
        </w:rPr>
        <w:t>As part of the Company's centrally managed foreign exchange risk management program, standard foreign currency rates are assigned twice per year to</w:t>
      </w:r>
      <w:r>
        <w:rPr>
          <w:rFonts w:ascii="Arial" w:eastAsia="宋体" w:hAnsi="Arial" w:cs="Arial"/>
          <w:color w:val="000000"/>
          <w:sz w:val="17"/>
          <w:szCs w:val="17"/>
        </w:rPr>
        <w:t xml:space="preserve"> each NIKE Brand entity in the Company's geographic operating segments and to Converse. These rates are set approximately nine and twelve months in advance of the future selling seasons to which they relate (specifically, for each currency, one standard ra</w:t>
      </w:r>
      <w:r>
        <w:rPr>
          <w:rFonts w:ascii="Arial" w:eastAsia="宋体" w:hAnsi="Arial" w:cs="Arial"/>
          <w:color w:val="000000"/>
          <w:sz w:val="17"/>
          <w:szCs w:val="17"/>
        </w:rPr>
        <w:t>te applies to the fall and holiday selling seasons and one standard rate applies to the spring and summer selling seasons) based on average market spot rates in the calendar month preceding the date they are established. Inventories and Cost of sales for g</w:t>
      </w:r>
      <w:r>
        <w:rPr>
          <w:rFonts w:ascii="Arial" w:eastAsia="宋体" w:hAnsi="Arial" w:cs="Arial"/>
          <w:color w:val="000000"/>
          <w:sz w:val="17"/>
          <w:szCs w:val="17"/>
        </w:rPr>
        <w:t xml:space="preserve">eographic operating segments and Converse reflect the use of these standard rates to record non-functional currency product purchases in the entity's functional currency. Differences between assigned standard foreign currency rates and actual market rates </w:t>
      </w:r>
      <w:r>
        <w:rPr>
          <w:rFonts w:ascii="Arial" w:eastAsia="宋体" w:hAnsi="Arial" w:cs="Arial"/>
          <w:color w:val="000000"/>
          <w:sz w:val="17"/>
          <w:szCs w:val="17"/>
        </w:rPr>
        <w:t>are included in Corporate, together with foreign currency hedge gains and losses generated from the Company's centrally managed foreign exchange risk management program and other conversion gains and losses.</w:t>
      </w:r>
    </w:p>
    <w:p w14:paraId="1D0264A3" w14:textId="77777777" w:rsidR="004421F6" w:rsidRDefault="00F15622">
      <w:pPr>
        <w:spacing w:before="120"/>
      </w:pPr>
      <w:r>
        <w:rPr>
          <w:rFonts w:ascii="Arial" w:eastAsia="宋体" w:hAnsi="Arial" w:cs="Arial"/>
          <w:color w:val="000000"/>
          <w:sz w:val="17"/>
          <w:szCs w:val="17"/>
        </w:rPr>
        <w:t xml:space="preserve">Accounts receivable, net, Inventories and </w:t>
      </w:r>
      <w:r>
        <w:rPr>
          <w:rFonts w:ascii="Arial" w:eastAsia="宋体" w:hAnsi="Arial" w:cs="Arial"/>
          <w:color w:val="000000"/>
          <w:sz w:val="17"/>
          <w:szCs w:val="17"/>
        </w:rPr>
        <w:t>Property, plant and equipment, net for operating segments are regularly reviewed by management and are therefore provided below.</w:t>
      </w:r>
    </w:p>
    <w:p w14:paraId="1D0264A4" w14:textId="77777777" w:rsidR="004421F6" w:rsidRDefault="00F15622">
      <w:pPr>
        <w:spacing w:before="120" w:after="120"/>
      </w:pPr>
      <w:r>
        <w:rPr>
          <w:rFonts w:ascii="Arial" w:eastAsia="宋体" w:hAnsi="Arial" w:cs="Arial"/>
          <w:color w:val="E87722"/>
          <w:sz w:val="17"/>
          <w:szCs w:val="17"/>
        </w:rPr>
        <w:t>18</w:t>
      </w:r>
      <w:r>
        <w:rPr>
          <w:rFonts w:ascii="sans-serif" w:eastAsia="sans-serif" w:hAnsi="sans-serif" w:cs="sans-serif"/>
          <w:color w:val="000000"/>
          <w:sz w:val="17"/>
          <w:szCs w:val="17"/>
        </w:rPr>
        <w:t xml:space="preserve"> </w:t>
      </w:r>
    </w:p>
    <w:p w14:paraId="1D0264A5" w14:textId="77777777" w:rsidR="004421F6" w:rsidRDefault="00F15622">
      <w:r>
        <w:pict w14:anchorId="1D02728D">
          <v:rect id="_x0000_i1044" style="width:415.3pt;height:1.5pt" o:hralign="center" o:hrstd="t" o:hr="t" fillcolor="#a0a0a0" stroked="f"/>
        </w:pict>
      </w:r>
    </w:p>
    <w:p w14:paraId="1D0264A6" w14:textId="77777777" w:rsidR="004421F6" w:rsidRDefault="004421F6"/>
    <w:p w14:paraId="1D0264A7" w14:textId="77777777" w:rsidR="004421F6" w:rsidRDefault="00F15622">
      <w:hyperlink r:id="rId89" w:anchor="i3e524f2e23844e81ba9d33a05ac3917c_7" w:history="1">
        <w:r>
          <w:rPr>
            <w:rStyle w:val="a5"/>
            <w:rFonts w:ascii="sans-serif" w:eastAsia="sans-serif" w:hAnsi="sans-serif" w:cs="sans-serif"/>
            <w:sz w:val="17"/>
            <w:szCs w:val="17"/>
          </w:rPr>
          <w:t>Table of Contents</w:t>
        </w:r>
      </w:hyperlink>
    </w:p>
    <w:p w14:paraId="1D0264A8" w14:textId="77777777" w:rsidR="004421F6" w:rsidRDefault="004421F6"/>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233"/>
        <w:gridCol w:w="37"/>
        <w:gridCol w:w="130"/>
        <w:gridCol w:w="1201"/>
        <w:gridCol w:w="41"/>
        <w:gridCol w:w="36"/>
        <w:gridCol w:w="36"/>
        <w:gridCol w:w="36"/>
        <w:gridCol w:w="130"/>
        <w:gridCol w:w="1161"/>
        <w:gridCol w:w="41"/>
        <w:gridCol w:w="36"/>
        <w:gridCol w:w="36"/>
        <w:gridCol w:w="36"/>
        <w:gridCol w:w="36"/>
        <w:gridCol w:w="36"/>
        <w:gridCol w:w="36"/>
      </w:tblGrid>
      <w:tr w:rsidR="004421F6" w14:paraId="1D0264B5" w14:textId="77777777">
        <w:trPr>
          <w:gridAfter w:val="6"/>
          <w:jc w:val="center"/>
        </w:trPr>
        <w:tc>
          <w:tcPr>
            <w:tcW w:w="50" w:type="pct"/>
            <w:shd w:val="clear" w:color="auto" w:fill="auto"/>
          </w:tcPr>
          <w:p w14:paraId="1D0264A9" w14:textId="77777777" w:rsidR="004421F6" w:rsidRDefault="004421F6">
            <w:pPr>
              <w:rPr>
                <w:rFonts w:ascii="宋体"/>
              </w:rPr>
            </w:pPr>
          </w:p>
        </w:tc>
        <w:tc>
          <w:tcPr>
            <w:tcW w:w="3255" w:type="pct"/>
            <w:shd w:val="clear" w:color="auto" w:fill="auto"/>
          </w:tcPr>
          <w:p w14:paraId="1D0264AA" w14:textId="77777777" w:rsidR="004421F6" w:rsidRDefault="004421F6">
            <w:pPr>
              <w:rPr>
                <w:rFonts w:ascii="宋体"/>
              </w:rPr>
            </w:pPr>
          </w:p>
        </w:tc>
        <w:tc>
          <w:tcPr>
            <w:tcW w:w="5" w:type="pct"/>
            <w:shd w:val="clear" w:color="auto" w:fill="auto"/>
          </w:tcPr>
          <w:p w14:paraId="1D0264AB" w14:textId="77777777" w:rsidR="004421F6" w:rsidRDefault="004421F6">
            <w:pPr>
              <w:rPr>
                <w:rFonts w:ascii="宋体"/>
              </w:rPr>
            </w:pPr>
          </w:p>
        </w:tc>
        <w:tc>
          <w:tcPr>
            <w:tcW w:w="50" w:type="pct"/>
            <w:shd w:val="clear" w:color="auto" w:fill="auto"/>
          </w:tcPr>
          <w:p w14:paraId="1D0264AC" w14:textId="77777777" w:rsidR="004421F6" w:rsidRDefault="004421F6">
            <w:pPr>
              <w:rPr>
                <w:rFonts w:ascii="宋体"/>
              </w:rPr>
            </w:pPr>
          </w:p>
        </w:tc>
        <w:tc>
          <w:tcPr>
            <w:tcW w:w="770" w:type="pct"/>
            <w:shd w:val="clear" w:color="auto" w:fill="auto"/>
          </w:tcPr>
          <w:p w14:paraId="1D0264AD" w14:textId="77777777" w:rsidR="004421F6" w:rsidRDefault="004421F6">
            <w:pPr>
              <w:rPr>
                <w:rFonts w:ascii="宋体"/>
              </w:rPr>
            </w:pPr>
          </w:p>
        </w:tc>
        <w:tc>
          <w:tcPr>
            <w:tcW w:w="5" w:type="pct"/>
            <w:shd w:val="clear" w:color="auto" w:fill="auto"/>
          </w:tcPr>
          <w:p w14:paraId="1D0264AE" w14:textId="77777777" w:rsidR="004421F6" w:rsidRDefault="004421F6">
            <w:pPr>
              <w:rPr>
                <w:rFonts w:ascii="宋体"/>
              </w:rPr>
            </w:pPr>
          </w:p>
        </w:tc>
        <w:tc>
          <w:tcPr>
            <w:tcW w:w="5" w:type="pct"/>
            <w:shd w:val="clear" w:color="auto" w:fill="auto"/>
          </w:tcPr>
          <w:p w14:paraId="1D0264AF" w14:textId="77777777" w:rsidR="004421F6" w:rsidRDefault="004421F6">
            <w:pPr>
              <w:rPr>
                <w:rFonts w:ascii="宋体"/>
              </w:rPr>
            </w:pPr>
          </w:p>
        </w:tc>
        <w:tc>
          <w:tcPr>
            <w:tcW w:w="28" w:type="pct"/>
            <w:shd w:val="clear" w:color="auto" w:fill="auto"/>
          </w:tcPr>
          <w:p w14:paraId="1D0264B0" w14:textId="77777777" w:rsidR="004421F6" w:rsidRDefault="004421F6">
            <w:pPr>
              <w:rPr>
                <w:rFonts w:ascii="宋体"/>
              </w:rPr>
            </w:pPr>
          </w:p>
        </w:tc>
        <w:tc>
          <w:tcPr>
            <w:tcW w:w="5" w:type="pct"/>
            <w:shd w:val="clear" w:color="auto" w:fill="auto"/>
          </w:tcPr>
          <w:p w14:paraId="1D0264B1" w14:textId="77777777" w:rsidR="004421F6" w:rsidRDefault="004421F6">
            <w:pPr>
              <w:rPr>
                <w:rFonts w:ascii="宋体"/>
              </w:rPr>
            </w:pPr>
          </w:p>
        </w:tc>
        <w:tc>
          <w:tcPr>
            <w:tcW w:w="50" w:type="pct"/>
            <w:shd w:val="clear" w:color="auto" w:fill="auto"/>
          </w:tcPr>
          <w:p w14:paraId="1D0264B2" w14:textId="77777777" w:rsidR="004421F6" w:rsidRDefault="004421F6">
            <w:pPr>
              <w:rPr>
                <w:rFonts w:ascii="宋体"/>
              </w:rPr>
            </w:pPr>
          </w:p>
        </w:tc>
        <w:tc>
          <w:tcPr>
            <w:tcW w:w="770" w:type="pct"/>
            <w:shd w:val="clear" w:color="auto" w:fill="auto"/>
          </w:tcPr>
          <w:p w14:paraId="1D0264B3" w14:textId="77777777" w:rsidR="004421F6" w:rsidRDefault="004421F6">
            <w:pPr>
              <w:rPr>
                <w:rFonts w:ascii="宋体"/>
              </w:rPr>
            </w:pPr>
          </w:p>
        </w:tc>
        <w:tc>
          <w:tcPr>
            <w:tcW w:w="5" w:type="pct"/>
            <w:shd w:val="clear" w:color="auto" w:fill="auto"/>
          </w:tcPr>
          <w:p w14:paraId="1D0264B4" w14:textId="77777777" w:rsidR="004421F6" w:rsidRDefault="004421F6">
            <w:pPr>
              <w:rPr>
                <w:rFonts w:ascii="宋体"/>
              </w:rPr>
            </w:pPr>
          </w:p>
        </w:tc>
      </w:tr>
      <w:tr w:rsidR="004421F6" w14:paraId="1D0264BA" w14:textId="77777777">
        <w:trPr>
          <w:jc w:val="center"/>
        </w:trPr>
        <w:tc>
          <w:tcPr>
            <w:tcW w:w="0" w:type="auto"/>
            <w:gridSpan w:val="3"/>
            <w:shd w:val="clear" w:color="auto" w:fill="auto"/>
            <w:tcMar>
              <w:left w:w="20" w:type="dxa"/>
              <w:right w:w="20" w:type="dxa"/>
            </w:tcMar>
            <w:vAlign w:val="bottom"/>
          </w:tcPr>
          <w:p w14:paraId="1D0264B6" w14:textId="77777777" w:rsidR="004421F6" w:rsidRDefault="004421F6">
            <w:pPr>
              <w:rPr>
                <w:rFonts w:ascii="宋体"/>
              </w:rPr>
            </w:pPr>
          </w:p>
        </w:tc>
        <w:tc>
          <w:tcPr>
            <w:tcW w:w="0" w:type="auto"/>
            <w:gridSpan w:val="9"/>
            <w:shd w:val="clear" w:color="auto" w:fill="auto"/>
            <w:tcMar>
              <w:top w:w="40" w:type="dxa"/>
              <w:left w:w="20" w:type="dxa"/>
              <w:bottom w:w="40" w:type="dxa"/>
              <w:right w:w="20" w:type="dxa"/>
            </w:tcMar>
            <w:vAlign w:val="bottom"/>
          </w:tcPr>
          <w:p w14:paraId="1D0264B7"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64B8" w14:textId="77777777" w:rsidR="004421F6" w:rsidRDefault="004421F6">
            <w:pPr>
              <w:rPr>
                <w:rFonts w:ascii="宋体"/>
                <w:vanish/>
              </w:rPr>
            </w:pPr>
          </w:p>
        </w:tc>
        <w:tc>
          <w:tcPr>
            <w:tcW w:w="0" w:type="auto"/>
            <w:gridSpan w:val="3"/>
            <w:shd w:val="clear" w:color="auto" w:fill="auto"/>
          </w:tcPr>
          <w:p w14:paraId="1D0264B9" w14:textId="77777777" w:rsidR="004421F6" w:rsidRDefault="004421F6">
            <w:pPr>
              <w:rPr>
                <w:rFonts w:ascii="宋体"/>
                <w:vanish/>
              </w:rPr>
            </w:pPr>
          </w:p>
        </w:tc>
      </w:tr>
      <w:tr w:rsidR="004421F6" w14:paraId="1D0264C5" w14:textId="77777777">
        <w:trPr>
          <w:jc w:val="center"/>
        </w:trPr>
        <w:tc>
          <w:tcPr>
            <w:tcW w:w="0" w:type="auto"/>
            <w:gridSpan w:val="3"/>
            <w:shd w:val="clear" w:color="auto" w:fill="auto"/>
            <w:tcMar>
              <w:top w:w="40" w:type="dxa"/>
              <w:left w:w="20" w:type="dxa"/>
              <w:bottom w:w="40" w:type="dxa"/>
              <w:right w:w="20" w:type="dxa"/>
            </w:tcMar>
            <w:vAlign w:val="bottom"/>
          </w:tcPr>
          <w:p w14:paraId="1D0264BB"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4BC"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left w:w="20" w:type="dxa"/>
              <w:right w:w="20" w:type="dxa"/>
            </w:tcMar>
            <w:vAlign w:val="bottom"/>
          </w:tcPr>
          <w:p w14:paraId="1D0264BD" w14:textId="77777777" w:rsidR="004421F6" w:rsidRDefault="004421F6">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4BE"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shd w:val="clear" w:color="auto" w:fill="auto"/>
          </w:tcPr>
          <w:p w14:paraId="1D0264BF" w14:textId="77777777" w:rsidR="004421F6" w:rsidRDefault="004421F6">
            <w:pPr>
              <w:rPr>
                <w:rFonts w:ascii="宋体"/>
              </w:rPr>
            </w:pPr>
          </w:p>
        </w:tc>
        <w:tc>
          <w:tcPr>
            <w:tcW w:w="0" w:type="auto"/>
            <w:shd w:val="clear" w:color="auto" w:fill="auto"/>
          </w:tcPr>
          <w:p w14:paraId="1D0264C0" w14:textId="77777777" w:rsidR="004421F6" w:rsidRDefault="004421F6">
            <w:pPr>
              <w:rPr>
                <w:rFonts w:ascii="宋体"/>
              </w:rPr>
            </w:pPr>
          </w:p>
        </w:tc>
        <w:tc>
          <w:tcPr>
            <w:tcW w:w="0" w:type="auto"/>
            <w:shd w:val="clear" w:color="auto" w:fill="auto"/>
          </w:tcPr>
          <w:p w14:paraId="1D0264C1" w14:textId="77777777" w:rsidR="004421F6" w:rsidRDefault="004421F6">
            <w:pPr>
              <w:rPr>
                <w:rFonts w:ascii="宋体"/>
              </w:rPr>
            </w:pPr>
          </w:p>
        </w:tc>
        <w:tc>
          <w:tcPr>
            <w:tcW w:w="0" w:type="auto"/>
            <w:shd w:val="clear" w:color="auto" w:fill="auto"/>
          </w:tcPr>
          <w:p w14:paraId="1D0264C2" w14:textId="77777777" w:rsidR="004421F6" w:rsidRDefault="004421F6">
            <w:pPr>
              <w:rPr>
                <w:rFonts w:ascii="宋体"/>
              </w:rPr>
            </w:pPr>
          </w:p>
        </w:tc>
        <w:tc>
          <w:tcPr>
            <w:tcW w:w="0" w:type="auto"/>
            <w:shd w:val="clear" w:color="auto" w:fill="auto"/>
          </w:tcPr>
          <w:p w14:paraId="1D0264C3" w14:textId="77777777" w:rsidR="004421F6" w:rsidRDefault="004421F6">
            <w:pPr>
              <w:rPr>
                <w:rFonts w:ascii="宋体"/>
              </w:rPr>
            </w:pPr>
          </w:p>
        </w:tc>
        <w:tc>
          <w:tcPr>
            <w:tcW w:w="0" w:type="auto"/>
            <w:shd w:val="clear" w:color="auto" w:fill="auto"/>
          </w:tcPr>
          <w:p w14:paraId="1D0264C4" w14:textId="77777777" w:rsidR="004421F6" w:rsidRDefault="004421F6">
            <w:pPr>
              <w:rPr>
                <w:rFonts w:ascii="宋体"/>
              </w:rPr>
            </w:pPr>
          </w:p>
        </w:tc>
      </w:tr>
      <w:tr w:rsidR="004421F6" w14:paraId="1D0264D0"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4C6" w14:textId="77777777" w:rsidR="004421F6" w:rsidRDefault="00F15622">
            <w:pPr>
              <w:textAlignment w:val="bottom"/>
            </w:pPr>
            <w:r>
              <w:rPr>
                <w:rFonts w:ascii="Arial" w:eastAsia="宋体" w:hAnsi="Arial" w:cs="Arial"/>
                <w:b/>
                <w:bCs/>
                <w:color w:val="000000"/>
                <w:sz w:val="17"/>
                <w:szCs w:val="17"/>
              </w:rPr>
              <w:t>REVENUES</w:t>
            </w:r>
          </w:p>
        </w:tc>
        <w:tc>
          <w:tcPr>
            <w:tcW w:w="0" w:type="auto"/>
            <w:gridSpan w:val="3"/>
            <w:tcBorders>
              <w:top w:val="single" w:sz="8" w:space="0" w:color="E87722"/>
            </w:tcBorders>
            <w:shd w:val="clear" w:color="auto" w:fill="FFF1E7"/>
            <w:tcMar>
              <w:left w:w="20" w:type="dxa"/>
              <w:right w:w="20" w:type="dxa"/>
            </w:tcMar>
            <w:vAlign w:val="bottom"/>
          </w:tcPr>
          <w:p w14:paraId="1D0264C7"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4C8"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4C9" w14:textId="77777777" w:rsidR="004421F6" w:rsidRDefault="004421F6">
            <w:pPr>
              <w:rPr>
                <w:rFonts w:ascii="宋体"/>
              </w:rPr>
            </w:pPr>
          </w:p>
        </w:tc>
        <w:tc>
          <w:tcPr>
            <w:tcW w:w="0" w:type="auto"/>
            <w:shd w:val="clear" w:color="auto" w:fill="auto"/>
          </w:tcPr>
          <w:p w14:paraId="1D0264CA" w14:textId="77777777" w:rsidR="004421F6" w:rsidRDefault="004421F6">
            <w:pPr>
              <w:rPr>
                <w:rFonts w:ascii="宋体"/>
              </w:rPr>
            </w:pPr>
          </w:p>
        </w:tc>
        <w:tc>
          <w:tcPr>
            <w:tcW w:w="0" w:type="auto"/>
            <w:shd w:val="clear" w:color="auto" w:fill="auto"/>
          </w:tcPr>
          <w:p w14:paraId="1D0264CB" w14:textId="77777777" w:rsidR="004421F6" w:rsidRDefault="004421F6">
            <w:pPr>
              <w:rPr>
                <w:rFonts w:ascii="宋体"/>
              </w:rPr>
            </w:pPr>
          </w:p>
        </w:tc>
        <w:tc>
          <w:tcPr>
            <w:tcW w:w="0" w:type="auto"/>
            <w:shd w:val="clear" w:color="auto" w:fill="auto"/>
          </w:tcPr>
          <w:p w14:paraId="1D0264CC" w14:textId="77777777" w:rsidR="004421F6" w:rsidRDefault="004421F6">
            <w:pPr>
              <w:rPr>
                <w:rFonts w:ascii="宋体"/>
              </w:rPr>
            </w:pPr>
          </w:p>
        </w:tc>
        <w:tc>
          <w:tcPr>
            <w:tcW w:w="0" w:type="auto"/>
            <w:shd w:val="clear" w:color="auto" w:fill="auto"/>
          </w:tcPr>
          <w:p w14:paraId="1D0264CD" w14:textId="77777777" w:rsidR="004421F6" w:rsidRDefault="004421F6">
            <w:pPr>
              <w:rPr>
                <w:rFonts w:ascii="宋体"/>
              </w:rPr>
            </w:pPr>
          </w:p>
        </w:tc>
        <w:tc>
          <w:tcPr>
            <w:tcW w:w="0" w:type="auto"/>
            <w:shd w:val="clear" w:color="auto" w:fill="auto"/>
          </w:tcPr>
          <w:p w14:paraId="1D0264CE" w14:textId="77777777" w:rsidR="004421F6" w:rsidRDefault="004421F6">
            <w:pPr>
              <w:rPr>
                <w:rFonts w:ascii="宋体"/>
              </w:rPr>
            </w:pPr>
          </w:p>
        </w:tc>
        <w:tc>
          <w:tcPr>
            <w:tcW w:w="0" w:type="auto"/>
            <w:shd w:val="clear" w:color="auto" w:fill="auto"/>
          </w:tcPr>
          <w:p w14:paraId="1D0264CF" w14:textId="77777777" w:rsidR="004421F6" w:rsidRDefault="004421F6">
            <w:pPr>
              <w:rPr>
                <w:rFonts w:ascii="宋体"/>
              </w:rPr>
            </w:pPr>
          </w:p>
        </w:tc>
      </w:tr>
      <w:tr w:rsidR="004421F6" w14:paraId="1D0264DF"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4D1" w14:textId="77777777" w:rsidR="004421F6" w:rsidRDefault="00F15622">
            <w:pPr>
              <w:textAlignment w:val="bottom"/>
            </w:pPr>
            <w:r>
              <w:rPr>
                <w:rFonts w:ascii="Arial" w:eastAsia="宋体" w:hAnsi="Arial" w:cs="Arial"/>
                <w:color w:val="000000"/>
                <w:sz w:val="17"/>
                <w:szCs w:val="17"/>
              </w:rPr>
              <w:t>North America</w:t>
            </w:r>
          </w:p>
        </w:tc>
        <w:tc>
          <w:tcPr>
            <w:tcW w:w="0" w:type="auto"/>
            <w:tcBorders>
              <w:top w:val="single" w:sz="8" w:space="0" w:color="808080"/>
            </w:tcBorders>
            <w:shd w:val="clear" w:color="auto" w:fill="FFF1E7"/>
            <w:tcMar>
              <w:top w:w="40" w:type="dxa"/>
              <w:left w:w="20" w:type="dxa"/>
              <w:bottom w:w="40" w:type="dxa"/>
            </w:tcMar>
            <w:vAlign w:val="bottom"/>
          </w:tcPr>
          <w:p w14:paraId="1D0264D2"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4D3" w14:textId="77777777" w:rsidR="004421F6" w:rsidRDefault="00F15622">
            <w:pPr>
              <w:jc w:val="right"/>
              <w:textAlignment w:val="bottom"/>
            </w:pPr>
            <w:r>
              <w:rPr>
                <w:rFonts w:ascii="Arial" w:eastAsia="宋体" w:hAnsi="Arial" w:cs="Arial"/>
                <w:color w:val="000000"/>
                <w:sz w:val="17"/>
                <w:szCs w:val="17"/>
              </w:rPr>
              <w:t>4,225 </w:t>
            </w:r>
          </w:p>
        </w:tc>
        <w:tc>
          <w:tcPr>
            <w:tcW w:w="0" w:type="auto"/>
            <w:tcBorders>
              <w:top w:val="single" w:sz="8" w:space="0" w:color="808080"/>
            </w:tcBorders>
            <w:shd w:val="clear" w:color="auto" w:fill="FFF1E7"/>
            <w:tcMar>
              <w:top w:w="40" w:type="dxa"/>
              <w:bottom w:w="40" w:type="dxa"/>
              <w:right w:w="20" w:type="dxa"/>
            </w:tcMar>
            <w:vAlign w:val="bottom"/>
          </w:tcPr>
          <w:p w14:paraId="1D0264D4"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4D5" w14:textId="77777777" w:rsidR="004421F6" w:rsidRDefault="004421F6">
            <w:pPr>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4D6"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4D7" w14:textId="77777777" w:rsidR="004421F6" w:rsidRDefault="00F15622">
            <w:pPr>
              <w:jc w:val="right"/>
              <w:textAlignment w:val="bottom"/>
            </w:pPr>
            <w:r>
              <w:rPr>
                <w:rFonts w:ascii="Arial" w:eastAsia="宋体" w:hAnsi="Arial" w:cs="Arial"/>
                <w:color w:val="000000"/>
                <w:sz w:val="17"/>
                <w:szCs w:val="17"/>
              </w:rPr>
              <w:t>4,293 </w:t>
            </w:r>
          </w:p>
        </w:tc>
        <w:tc>
          <w:tcPr>
            <w:tcW w:w="0" w:type="auto"/>
            <w:tcBorders>
              <w:top w:val="single" w:sz="8" w:space="0" w:color="808080"/>
            </w:tcBorders>
            <w:shd w:val="clear" w:color="auto" w:fill="auto"/>
            <w:tcMar>
              <w:top w:w="40" w:type="dxa"/>
              <w:bottom w:w="40" w:type="dxa"/>
              <w:right w:w="20" w:type="dxa"/>
            </w:tcMar>
            <w:vAlign w:val="bottom"/>
          </w:tcPr>
          <w:p w14:paraId="1D0264D8" w14:textId="77777777" w:rsidR="004421F6" w:rsidRDefault="004421F6">
            <w:pPr>
              <w:jc w:val="right"/>
              <w:rPr>
                <w:rFonts w:ascii="宋体"/>
              </w:rPr>
            </w:pPr>
          </w:p>
        </w:tc>
        <w:tc>
          <w:tcPr>
            <w:tcW w:w="0" w:type="auto"/>
            <w:shd w:val="clear" w:color="auto" w:fill="auto"/>
          </w:tcPr>
          <w:p w14:paraId="1D0264D9" w14:textId="77777777" w:rsidR="004421F6" w:rsidRDefault="004421F6">
            <w:pPr>
              <w:rPr>
                <w:rFonts w:ascii="宋体"/>
              </w:rPr>
            </w:pPr>
          </w:p>
        </w:tc>
        <w:tc>
          <w:tcPr>
            <w:tcW w:w="0" w:type="auto"/>
            <w:shd w:val="clear" w:color="auto" w:fill="auto"/>
          </w:tcPr>
          <w:p w14:paraId="1D0264DA" w14:textId="77777777" w:rsidR="004421F6" w:rsidRDefault="004421F6">
            <w:pPr>
              <w:rPr>
                <w:rFonts w:ascii="宋体"/>
              </w:rPr>
            </w:pPr>
          </w:p>
        </w:tc>
        <w:tc>
          <w:tcPr>
            <w:tcW w:w="0" w:type="auto"/>
            <w:shd w:val="clear" w:color="auto" w:fill="auto"/>
          </w:tcPr>
          <w:p w14:paraId="1D0264DB" w14:textId="77777777" w:rsidR="004421F6" w:rsidRDefault="004421F6">
            <w:pPr>
              <w:rPr>
                <w:rFonts w:ascii="宋体"/>
              </w:rPr>
            </w:pPr>
          </w:p>
        </w:tc>
        <w:tc>
          <w:tcPr>
            <w:tcW w:w="0" w:type="auto"/>
            <w:shd w:val="clear" w:color="auto" w:fill="auto"/>
          </w:tcPr>
          <w:p w14:paraId="1D0264DC" w14:textId="77777777" w:rsidR="004421F6" w:rsidRDefault="004421F6">
            <w:pPr>
              <w:rPr>
                <w:rFonts w:ascii="宋体"/>
              </w:rPr>
            </w:pPr>
          </w:p>
        </w:tc>
        <w:tc>
          <w:tcPr>
            <w:tcW w:w="0" w:type="auto"/>
            <w:shd w:val="clear" w:color="auto" w:fill="auto"/>
          </w:tcPr>
          <w:p w14:paraId="1D0264DD" w14:textId="77777777" w:rsidR="004421F6" w:rsidRDefault="004421F6">
            <w:pPr>
              <w:rPr>
                <w:rFonts w:ascii="宋体"/>
              </w:rPr>
            </w:pPr>
          </w:p>
        </w:tc>
        <w:tc>
          <w:tcPr>
            <w:tcW w:w="0" w:type="auto"/>
            <w:shd w:val="clear" w:color="auto" w:fill="auto"/>
          </w:tcPr>
          <w:p w14:paraId="1D0264DE" w14:textId="77777777" w:rsidR="004421F6" w:rsidRDefault="004421F6">
            <w:pPr>
              <w:rPr>
                <w:rFonts w:ascii="宋体"/>
              </w:rPr>
            </w:pPr>
          </w:p>
        </w:tc>
      </w:tr>
      <w:tr w:rsidR="004421F6" w14:paraId="1D0264EC"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4E0" w14:textId="77777777" w:rsidR="004421F6" w:rsidRDefault="00F15622">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4E1" w14:textId="77777777" w:rsidR="004421F6" w:rsidRDefault="00F15622">
            <w:pPr>
              <w:jc w:val="right"/>
              <w:textAlignment w:val="bottom"/>
            </w:pPr>
            <w:r>
              <w:rPr>
                <w:rFonts w:ascii="Arial" w:eastAsia="宋体" w:hAnsi="Arial" w:cs="Arial"/>
                <w:color w:val="000000"/>
                <w:sz w:val="17"/>
                <w:szCs w:val="17"/>
              </w:rPr>
              <w:t>2,910 </w:t>
            </w:r>
          </w:p>
        </w:tc>
        <w:tc>
          <w:tcPr>
            <w:tcW w:w="0" w:type="auto"/>
            <w:tcBorders>
              <w:top w:val="single" w:sz="8" w:space="0" w:color="808080"/>
            </w:tcBorders>
            <w:shd w:val="clear" w:color="auto" w:fill="FFF1E7"/>
            <w:tcMar>
              <w:top w:w="40" w:type="dxa"/>
              <w:bottom w:w="40" w:type="dxa"/>
              <w:right w:w="20" w:type="dxa"/>
            </w:tcMar>
            <w:vAlign w:val="bottom"/>
          </w:tcPr>
          <w:p w14:paraId="1D0264E2"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4E3"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E4" w14:textId="77777777" w:rsidR="004421F6" w:rsidRDefault="00F15622">
            <w:pPr>
              <w:jc w:val="right"/>
              <w:textAlignment w:val="bottom"/>
            </w:pPr>
            <w:r>
              <w:rPr>
                <w:rFonts w:ascii="Arial" w:eastAsia="宋体" w:hAnsi="Arial" w:cs="Arial"/>
                <w:color w:val="000000"/>
                <w:sz w:val="17"/>
                <w:szCs w:val="17"/>
              </w:rPr>
              <w:t>2,773 </w:t>
            </w:r>
          </w:p>
        </w:tc>
        <w:tc>
          <w:tcPr>
            <w:tcW w:w="0" w:type="auto"/>
            <w:tcBorders>
              <w:top w:val="single" w:sz="8" w:space="0" w:color="808080"/>
            </w:tcBorders>
            <w:shd w:val="clear" w:color="auto" w:fill="auto"/>
            <w:tcMar>
              <w:top w:w="40" w:type="dxa"/>
              <w:bottom w:w="40" w:type="dxa"/>
              <w:right w:w="20" w:type="dxa"/>
            </w:tcMar>
            <w:vAlign w:val="bottom"/>
          </w:tcPr>
          <w:p w14:paraId="1D0264E5" w14:textId="77777777" w:rsidR="004421F6" w:rsidRDefault="004421F6">
            <w:pPr>
              <w:jc w:val="right"/>
              <w:rPr>
                <w:rFonts w:ascii="宋体"/>
              </w:rPr>
            </w:pPr>
          </w:p>
        </w:tc>
        <w:tc>
          <w:tcPr>
            <w:tcW w:w="0" w:type="auto"/>
            <w:shd w:val="clear" w:color="auto" w:fill="auto"/>
          </w:tcPr>
          <w:p w14:paraId="1D0264E6" w14:textId="77777777" w:rsidR="004421F6" w:rsidRDefault="004421F6">
            <w:pPr>
              <w:rPr>
                <w:rFonts w:ascii="宋体"/>
              </w:rPr>
            </w:pPr>
          </w:p>
        </w:tc>
        <w:tc>
          <w:tcPr>
            <w:tcW w:w="0" w:type="auto"/>
            <w:shd w:val="clear" w:color="auto" w:fill="auto"/>
          </w:tcPr>
          <w:p w14:paraId="1D0264E7" w14:textId="77777777" w:rsidR="004421F6" w:rsidRDefault="004421F6">
            <w:pPr>
              <w:rPr>
                <w:rFonts w:ascii="宋体"/>
              </w:rPr>
            </w:pPr>
          </w:p>
        </w:tc>
        <w:tc>
          <w:tcPr>
            <w:tcW w:w="0" w:type="auto"/>
            <w:shd w:val="clear" w:color="auto" w:fill="auto"/>
          </w:tcPr>
          <w:p w14:paraId="1D0264E8" w14:textId="77777777" w:rsidR="004421F6" w:rsidRDefault="004421F6">
            <w:pPr>
              <w:rPr>
                <w:rFonts w:ascii="宋体"/>
              </w:rPr>
            </w:pPr>
          </w:p>
        </w:tc>
        <w:tc>
          <w:tcPr>
            <w:tcW w:w="0" w:type="auto"/>
            <w:shd w:val="clear" w:color="auto" w:fill="auto"/>
          </w:tcPr>
          <w:p w14:paraId="1D0264E9" w14:textId="77777777" w:rsidR="004421F6" w:rsidRDefault="004421F6">
            <w:pPr>
              <w:rPr>
                <w:rFonts w:ascii="宋体"/>
              </w:rPr>
            </w:pPr>
          </w:p>
        </w:tc>
        <w:tc>
          <w:tcPr>
            <w:tcW w:w="0" w:type="auto"/>
            <w:shd w:val="clear" w:color="auto" w:fill="auto"/>
          </w:tcPr>
          <w:p w14:paraId="1D0264EA" w14:textId="77777777" w:rsidR="004421F6" w:rsidRDefault="004421F6">
            <w:pPr>
              <w:rPr>
                <w:rFonts w:ascii="宋体"/>
              </w:rPr>
            </w:pPr>
          </w:p>
        </w:tc>
        <w:tc>
          <w:tcPr>
            <w:tcW w:w="0" w:type="auto"/>
            <w:shd w:val="clear" w:color="auto" w:fill="auto"/>
          </w:tcPr>
          <w:p w14:paraId="1D0264EB" w14:textId="77777777" w:rsidR="004421F6" w:rsidRDefault="004421F6">
            <w:pPr>
              <w:rPr>
                <w:rFonts w:ascii="宋体"/>
              </w:rPr>
            </w:pPr>
          </w:p>
        </w:tc>
      </w:tr>
      <w:tr w:rsidR="004421F6" w14:paraId="1D0264F9"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4ED" w14:textId="77777777" w:rsidR="004421F6" w:rsidRDefault="00F15622">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4EE" w14:textId="77777777" w:rsidR="004421F6" w:rsidRDefault="00F15622">
            <w:pPr>
              <w:jc w:val="right"/>
              <w:textAlignment w:val="bottom"/>
            </w:pPr>
            <w:r>
              <w:rPr>
                <w:rFonts w:ascii="Arial" w:eastAsia="宋体" w:hAnsi="Arial" w:cs="Arial"/>
                <w:color w:val="000000"/>
                <w:sz w:val="17"/>
                <w:szCs w:val="17"/>
              </w:rPr>
              <w:t>1,780 </w:t>
            </w:r>
          </w:p>
        </w:tc>
        <w:tc>
          <w:tcPr>
            <w:tcW w:w="0" w:type="auto"/>
            <w:tcBorders>
              <w:top w:val="single" w:sz="8" w:space="0" w:color="808080"/>
            </w:tcBorders>
            <w:shd w:val="clear" w:color="auto" w:fill="FFF1E7"/>
            <w:tcMar>
              <w:top w:w="40" w:type="dxa"/>
              <w:bottom w:w="40" w:type="dxa"/>
              <w:right w:w="20" w:type="dxa"/>
            </w:tcMar>
            <w:vAlign w:val="bottom"/>
          </w:tcPr>
          <w:p w14:paraId="1D0264EF"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4F0"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F1" w14:textId="77777777" w:rsidR="004421F6" w:rsidRDefault="00F15622">
            <w:pPr>
              <w:jc w:val="right"/>
              <w:textAlignment w:val="bottom"/>
            </w:pPr>
            <w:r>
              <w:rPr>
                <w:rFonts w:ascii="Arial" w:eastAsia="宋体" w:hAnsi="Arial" w:cs="Arial"/>
                <w:color w:val="000000"/>
                <w:sz w:val="17"/>
                <w:szCs w:val="17"/>
              </w:rPr>
              <w:t>1,679 </w:t>
            </w:r>
          </w:p>
        </w:tc>
        <w:tc>
          <w:tcPr>
            <w:tcW w:w="0" w:type="auto"/>
            <w:tcBorders>
              <w:top w:val="single" w:sz="8" w:space="0" w:color="808080"/>
            </w:tcBorders>
            <w:shd w:val="clear" w:color="auto" w:fill="auto"/>
            <w:tcMar>
              <w:top w:w="40" w:type="dxa"/>
              <w:bottom w:w="40" w:type="dxa"/>
              <w:right w:w="20" w:type="dxa"/>
            </w:tcMar>
            <w:vAlign w:val="bottom"/>
          </w:tcPr>
          <w:p w14:paraId="1D0264F2" w14:textId="77777777" w:rsidR="004421F6" w:rsidRDefault="004421F6">
            <w:pPr>
              <w:jc w:val="right"/>
              <w:rPr>
                <w:rFonts w:ascii="宋体"/>
              </w:rPr>
            </w:pPr>
          </w:p>
        </w:tc>
        <w:tc>
          <w:tcPr>
            <w:tcW w:w="0" w:type="auto"/>
            <w:shd w:val="clear" w:color="auto" w:fill="auto"/>
          </w:tcPr>
          <w:p w14:paraId="1D0264F3" w14:textId="77777777" w:rsidR="004421F6" w:rsidRDefault="004421F6">
            <w:pPr>
              <w:rPr>
                <w:rFonts w:ascii="宋体"/>
              </w:rPr>
            </w:pPr>
          </w:p>
        </w:tc>
        <w:tc>
          <w:tcPr>
            <w:tcW w:w="0" w:type="auto"/>
            <w:shd w:val="clear" w:color="auto" w:fill="auto"/>
          </w:tcPr>
          <w:p w14:paraId="1D0264F4" w14:textId="77777777" w:rsidR="004421F6" w:rsidRDefault="004421F6">
            <w:pPr>
              <w:rPr>
                <w:rFonts w:ascii="宋体"/>
              </w:rPr>
            </w:pPr>
          </w:p>
        </w:tc>
        <w:tc>
          <w:tcPr>
            <w:tcW w:w="0" w:type="auto"/>
            <w:shd w:val="clear" w:color="auto" w:fill="auto"/>
          </w:tcPr>
          <w:p w14:paraId="1D0264F5" w14:textId="77777777" w:rsidR="004421F6" w:rsidRDefault="004421F6">
            <w:pPr>
              <w:rPr>
                <w:rFonts w:ascii="宋体"/>
              </w:rPr>
            </w:pPr>
          </w:p>
        </w:tc>
        <w:tc>
          <w:tcPr>
            <w:tcW w:w="0" w:type="auto"/>
            <w:shd w:val="clear" w:color="auto" w:fill="auto"/>
          </w:tcPr>
          <w:p w14:paraId="1D0264F6" w14:textId="77777777" w:rsidR="004421F6" w:rsidRDefault="004421F6">
            <w:pPr>
              <w:rPr>
                <w:rFonts w:ascii="宋体"/>
              </w:rPr>
            </w:pPr>
          </w:p>
        </w:tc>
        <w:tc>
          <w:tcPr>
            <w:tcW w:w="0" w:type="auto"/>
            <w:shd w:val="clear" w:color="auto" w:fill="auto"/>
          </w:tcPr>
          <w:p w14:paraId="1D0264F7" w14:textId="77777777" w:rsidR="004421F6" w:rsidRDefault="004421F6">
            <w:pPr>
              <w:rPr>
                <w:rFonts w:ascii="宋体"/>
              </w:rPr>
            </w:pPr>
          </w:p>
        </w:tc>
        <w:tc>
          <w:tcPr>
            <w:tcW w:w="0" w:type="auto"/>
            <w:shd w:val="clear" w:color="auto" w:fill="auto"/>
          </w:tcPr>
          <w:p w14:paraId="1D0264F8" w14:textId="77777777" w:rsidR="004421F6" w:rsidRDefault="004421F6">
            <w:pPr>
              <w:rPr>
                <w:rFonts w:ascii="宋体"/>
              </w:rPr>
            </w:pPr>
          </w:p>
        </w:tc>
      </w:tr>
      <w:tr w:rsidR="004421F6" w14:paraId="1D026506"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4FA" w14:textId="77777777" w:rsidR="004421F6" w:rsidRDefault="00F15622">
            <w:pPr>
              <w:textAlignment w:val="bottom"/>
            </w:pPr>
            <w:r>
              <w:rPr>
                <w:rFonts w:ascii="Arial" w:eastAsia="宋体" w:hAnsi="Arial" w:cs="Arial"/>
                <w:color w:val="000000"/>
                <w:sz w:val="17"/>
                <w:szCs w:val="17"/>
              </w:rPr>
              <w:t>Asia Pacific &amp; Latin America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4FB" w14:textId="77777777" w:rsidR="004421F6" w:rsidRDefault="00F15622">
            <w:pPr>
              <w:jc w:val="right"/>
              <w:textAlignment w:val="bottom"/>
            </w:pPr>
            <w:r>
              <w:rPr>
                <w:rFonts w:ascii="Arial" w:eastAsia="宋体" w:hAnsi="Arial" w:cs="Arial"/>
                <w:color w:val="000000"/>
                <w:sz w:val="17"/>
                <w:szCs w:val="17"/>
              </w:rPr>
              <w:t>1,099 </w:t>
            </w:r>
          </w:p>
        </w:tc>
        <w:tc>
          <w:tcPr>
            <w:tcW w:w="0" w:type="auto"/>
            <w:tcBorders>
              <w:top w:val="single" w:sz="8" w:space="0" w:color="808080"/>
            </w:tcBorders>
            <w:shd w:val="clear" w:color="auto" w:fill="FFF1E7"/>
            <w:tcMar>
              <w:top w:w="40" w:type="dxa"/>
              <w:bottom w:w="40" w:type="dxa"/>
              <w:right w:w="20" w:type="dxa"/>
            </w:tcMar>
            <w:vAlign w:val="bottom"/>
          </w:tcPr>
          <w:p w14:paraId="1D0264FC"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4FD"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4FE" w14:textId="77777777" w:rsidR="004421F6" w:rsidRDefault="00F15622">
            <w:pPr>
              <w:jc w:val="right"/>
              <w:textAlignment w:val="bottom"/>
            </w:pPr>
            <w:r>
              <w:rPr>
                <w:rFonts w:ascii="Arial" w:eastAsia="宋体" w:hAnsi="Arial" w:cs="Arial"/>
                <w:color w:val="000000"/>
                <w:sz w:val="17"/>
                <w:szCs w:val="17"/>
              </w:rPr>
              <w:t>1,345 </w:t>
            </w:r>
          </w:p>
        </w:tc>
        <w:tc>
          <w:tcPr>
            <w:tcW w:w="0" w:type="auto"/>
            <w:tcBorders>
              <w:top w:val="single" w:sz="8" w:space="0" w:color="808080"/>
            </w:tcBorders>
            <w:shd w:val="clear" w:color="auto" w:fill="auto"/>
            <w:tcMar>
              <w:top w:w="40" w:type="dxa"/>
              <w:bottom w:w="40" w:type="dxa"/>
              <w:right w:w="20" w:type="dxa"/>
            </w:tcMar>
            <w:vAlign w:val="bottom"/>
          </w:tcPr>
          <w:p w14:paraId="1D0264FF" w14:textId="77777777" w:rsidR="004421F6" w:rsidRDefault="004421F6">
            <w:pPr>
              <w:jc w:val="right"/>
              <w:rPr>
                <w:rFonts w:ascii="宋体"/>
              </w:rPr>
            </w:pPr>
          </w:p>
        </w:tc>
        <w:tc>
          <w:tcPr>
            <w:tcW w:w="0" w:type="auto"/>
            <w:shd w:val="clear" w:color="auto" w:fill="auto"/>
          </w:tcPr>
          <w:p w14:paraId="1D026500" w14:textId="77777777" w:rsidR="004421F6" w:rsidRDefault="004421F6">
            <w:pPr>
              <w:rPr>
                <w:rFonts w:ascii="宋体"/>
              </w:rPr>
            </w:pPr>
          </w:p>
        </w:tc>
        <w:tc>
          <w:tcPr>
            <w:tcW w:w="0" w:type="auto"/>
            <w:shd w:val="clear" w:color="auto" w:fill="auto"/>
          </w:tcPr>
          <w:p w14:paraId="1D026501" w14:textId="77777777" w:rsidR="004421F6" w:rsidRDefault="004421F6">
            <w:pPr>
              <w:rPr>
                <w:rFonts w:ascii="宋体"/>
              </w:rPr>
            </w:pPr>
          </w:p>
        </w:tc>
        <w:tc>
          <w:tcPr>
            <w:tcW w:w="0" w:type="auto"/>
            <w:shd w:val="clear" w:color="auto" w:fill="auto"/>
          </w:tcPr>
          <w:p w14:paraId="1D026502" w14:textId="77777777" w:rsidR="004421F6" w:rsidRDefault="004421F6">
            <w:pPr>
              <w:rPr>
                <w:rFonts w:ascii="宋体"/>
              </w:rPr>
            </w:pPr>
          </w:p>
        </w:tc>
        <w:tc>
          <w:tcPr>
            <w:tcW w:w="0" w:type="auto"/>
            <w:shd w:val="clear" w:color="auto" w:fill="auto"/>
          </w:tcPr>
          <w:p w14:paraId="1D026503" w14:textId="77777777" w:rsidR="004421F6" w:rsidRDefault="004421F6">
            <w:pPr>
              <w:rPr>
                <w:rFonts w:ascii="宋体"/>
              </w:rPr>
            </w:pPr>
          </w:p>
        </w:tc>
        <w:tc>
          <w:tcPr>
            <w:tcW w:w="0" w:type="auto"/>
            <w:shd w:val="clear" w:color="auto" w:fill="auto"/>
          </w:tcPr>
          <w:p w14:paraId="1D026504" w14:textId="77777777" w:rsidR="004421F6" w:rsidRDefault="004421F6">
            <w:pPr>
              <w:rPr>
                <w:rFonts w:ascii="宋体"/>
              </w:rPr>
            </w:pPr>
          </w:p>
        </w:tc>
        <w:tc>
          <w:tcPr>
            <w:tcW w:w="0" w:type="auto"/>
            <w:shd w:val="clear" w:color="auto" w:fill="auto"/>
          </w:tcPr>
          <w:p w14:paraId="1D026505" w14:textId="77777777" w:rsidR="004421F6" w:rsidRDefault="004421F6">
            <w:pPr>
              <w:rPr>
                <w:rFonts w:ascii="宋体"/>
              </w:rPr>
            </w:pPr>
          </w:p>
        </w:tc>
      </w:tr>
      <w:tr w:rsidR="004421F6" w14:paraId="1D026513"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507" w14:textId="77777777" w:rsidR="004421F6" w:rsidRDefault="00F15622">
            <w:pPr>
              <w:textAlignment w:val="bottom"/>
            </w:pPr>
            <w:r>
              <w:rPr>
                <w:rFonts w:ascii="Arial" w:eastAsia="宋体" w:hAnsi="Arial" w:cs="Arial"/>
                <w:color w:val="000000"/>
                <w:sz w:val="17"/>
                <w:szCs w:val="17"/>
              </w:rPr>
              <w:t>Global Brand 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508" w14:textId="77777777" w:rsidR="004421F6" w:rsidRDefault="00F1562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FFF1E7"/>
            <w:tcMar>
              <w:top w:w="40" w:type="dxa"/>
              <w:bottom w:w="40" w:type="dxa"/>
              <w:right w:w="20" w:type="dxa"/>
            </w:tcMar>
            <w:vAlign w:val="bottom"/>
          </w:tcPr>
          <w:p w14:paraId="1D026509"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50A"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50B" w14:textId="77777777" w:rsidR="004421F6" w:rsidRDefault="00F1562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bottom w:w="40" w:type="dxa"/>
              <w:right w:w="20" w:type="dxa"/>
            </w:tcMar>
            <w:vAlign w:val="bottom"/>
          </w:tcPr>
          <w:p w14:paraId="1D02650C" w14:textId="77777777" w:rsidR="004421F6" w:rsidRDefault="004421F6">
            <w:pPr>
              <w:jc w:val="right"/>
              <w:rPr>
                <w:rFonts w:ascii="宋体"/>
              </w:rPr>
            </w:pPr>
          </w:p>
        </w:tc>
        <w:tc>
          <w:tcPr>
            <w:tcW w:w="0" w:type="auto"/>
            <w:shd w:val="clear" w:color="auto" w:fill="auto"/>
          </w:tcPr>
          <w:p w14:paraId="1D02650D" w14:textId="77777777" w:rsidR="004421F6" w:rsidRDefault="004421F6">
            <w:pPr>
              <w:rPr>
                <w:rFonts w:ascii="宋体"/>
              </w:rPr>
            </w:pPr>
          </w:p>
        </w:tc>
        <w:tc>
          <w:tcPr>
            <w:tcW w:w="0" w:type="auto"/>
            <w:shd w:val="clear" w:color="auto" w:fill="auto"/>
          </w:tcPr>
          <w:p w14:paraId="1D02650E" w14:textId="77777777" w:rsidR="004421F6" w:rsidRDefault="004421F6">
            <w:pPr>
              <w:rPr>
                <w:rFonts w:ascii="宋体"/>
              </w:rPr>
            </w:pPr>
          </w:p>
        </w:tc>
        <w:tc>
          <w:tcPr>
            <w:tcW w:w="0" w:type="auto"/>
            <w:shd w:val="clear" w:color="auto" w:fill="auto"/>
          </w:tcPr>
          <w:p w14:paraId="1D02650F" w14:textId="77777777" w:rsidR="004421F6" w:rsidRDefault="004421F6">
            <w:pPr>
              <w:rPr>
                <w:rFonts w:ascii="宋体"/>
              </w:rPr>
            </w:pPr>
          </w:p>
        </w:tc>
        <w:tc>
          <w:tcPr>
            <w:tcW w:w="0" w:type="auto"/>
            <w:shd w:val="clear" w:color="auto" w:fill="auto"/>
          </w:tcPr>
          <w:p w14:paraId="1D026510" w14:textId="77777777" w:rsidR="004421F6" w:rsidRDefault="004421F6">
            <w:pPr>
              <w:rPr>
                <w:rFonts w:ascii="宋体"/>
              </w:rPr>
            </w:pPr>
          </w:p>
        </w:tc>
        <w:tc>
          <w:tcPr>
            <w:tcW w:w="0" w:type="auto"/>
            <w:shd w:val="clear" w:color="auto" w:fill="auto"/>
          </w:tcPr>
          <w:p w14:paraId="1D026511" w14:textId="77777777" w:rsidR="004421F6" w:rsidRDefault="004421F6">
            <w:pPr>
              <w:rPr>
                <w:rFonts w:ascii="宋体"/>
              </w:rPr>
            </w:pPr>
          </w:p>
        </w:tc>
        <w:tc>
          <w:tcPr>
            <w:tcW w:w="0" w:type="auto"/>
            <w:shd w:val="clear" w:color="auto" w:fill="auto"/>
          </w:tcPr>
          <w:p w14:paraId="1D026512" w14:textId="77777777" w:rsidR="004421F6" w:rsidRDefault="004421F6">
            <w:pPr>
              <w:rPr>
                <w:rFonts w:ascii="宋体"/>
              </w:rPr>
            </w:pPr>
          </w:p>
        </w:tc>
      </w:tr>
      <w:tr w:rsidR="004421F6" w14:paraId="1D026520"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514" w14:textId="77777777" w:rsidR="004421F6" w:rsidRDefault="00F15622">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6515" w14:textId="77777777" w:rsidR="004421F6" w:rsidRDefault="00F15622">
            <w:pPr>
              <w:jc w:val="right"/>
              <w:textAlignment w:val="bottom"/>
            </w:pPr>
            <w:r>
              <w:rPr>
                <w:rFonts w:ascii="Arial" w:eastAsia="宋体" w:hAnsi="Arial" w:cs="Arial"/>
                <w:color w:val="000000"/>
                <w:sz w:val="17"/>
                <w:szCs w:val="17"/>
              </w:rPr>
              <w:t>10,018 </w:t>
            </w:r>
          </w:p>
        </w:tc>
        <w:tc>
          <w:tcPr>
            <w:tcW w:w="0" w:type="auto"/>
            <w:tcBorders>
              <w:top w:val="single" w:sz="8" w:space="0" w:color="E87722"/>
            </w:tcBorders>
            <w:shd w:val="clear" w:color="auto" w:fill="FFF1E7"/>
            <w:tcMar>
              <w:top w:w="40" w:type="dxa"/>
              <w:bottom w:w="40" w:type="dxa"/>
              <w:right w:w="20" w:type="dxa"/>
            </w:tcMar>
            <w:vAlign w:val="bottom"/>
          </w:tcPr>
          <w:p w14:paraId="1D026516"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517" w14:textId="77777777" w:rsidR="004421F6" w:rsidRDefault="004421F6">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518" w14:textId="77777777" w:rsidR="004421F6" w:rsidRDefault="00F15622">
            <w:pPr>
              <w:jc w:val="right"/>
              <w:textAlignment w:val="bottom"/>
            </w:pPr>
            <w:r>
              <w:rPr>
                <w:rFonts w:ascii="Arial" w:eastAsia="宋体" w:hAnsi="Arial" w:cs="Arial"/>
                <w:color w:val="000000"/>
                <w:sz w:val="17"/>
                <w:szCs w:val="17"/>
              </w:rPr>
              <w:t>10,096 </w:t>
            </w:r>
          </w:p>
        </w:tc>
        <w:tc>
          <w:tcPr>
            <w:tcW w:w="0" w:type="auto"/>
            <w:tcBorders>
              <w:top w:val="single" w:sz="8" w:space="0" w:color="E87722"/>
            </w:tcBorders>
            <w:shd w:val="clear" w:color="auto" w:fill="auto"/>
            <w:tcMar>
              <w:top w:w="40" w:type="dxa"/>
              <w:bottom w:w="40" w:type="dxa"/>
              <w:right w:w="20" w:type="dxa"/>
            </w:tcMar>
            <w:vAlign w:val="bottom"/>
          </w:tcPr>
          <w:p w14:paraId="1D026519" w14:textId="77777777" w:rsidR="004421F6" w:rsidRDefault="004421F6">
            <w:pPr>
              <w:jc w:val="right"/>
              <w:rPr>
                <w:rFonts w:ascii="宋体"/>
              </w:rPr>
            </w:pPr>
          </w:p>
        </w:tc>
        <w:tc>
          <w:tcPr>
            <w:tcW w:w="0" w:type="auto"/>
            <w:shd w:val="clear" w:color="auto" w:fill="auto"/>
          </w:tcPr>
          <w:p w14:paraId="1D02651A" w14:textId="77777777" w:rsidR="004421F6" w:rsidRDefault="004421F6">
            <w:pPr>
              <w:rPr>
                <w:rFonts w:ascii="宋体"/>
              </w:rPr>
            </w:pPr>
          </w:p>
        </w:tc>
        <w:tc>
          <w:tcPr>
            <w:tcW w:w="0" w:type="auto"/>
            <w:shd w:val="clear" w:color="auto" w:fill="auto"/>
          </w:tcPr>
          <w:p w14:paraId="1D02651B" w14:textId="77777777" w:rsidR="004421F6" w:rsidRDefault="004421F6">
            <w:pPr>
              <w:rPr>
                <w:rFonts w:ascii="宋体"/>
              </w:rPr>
            </w:pPr>
          </w:p>
        </w:tc>
        <w:tc>
          <w:tcPr>
            <w:tcW w:w="0" w:type="auto"/>
            <w:shd w:val="clear" w:color="auto" w:fill="auto"/>
          </w:tcPr>
          <w:p w14:paraId="1D02651C" w14:textId="77777777" w:rsidR="004421F6" w:rsidRDefault="004421F6">
            <w:pPr>
              <w:rPr>
                <w:rFonts w:ascii="宋体"/>
              </w:rPr>
            </w:pPr>
          </w:p>
        </w:tc>
        <w:tc>
          <w:tcPr>
            <w:tcW w:w="0" w:type="auto"/>
            <w:shd w:val="clear" w:color="auto" w:fill="auto"/>
          </w:tcPr>
          <w:p w14:paraId="1D02651D" w14:textId="77777777" w:rsidR="004421F6" w:rsidRDefault="004421F6">
            <w:pPr>
              <w:rPr>
                <w:rFonts w:ascii="宋体"/>
              </w:rPr>
            </w:pPr>
          </w:p>
        </w:tc>
        <w:tc>
          <w:tcPr>
            <w:tcW w:w="0" w:type="auto"/>
            <w:shd w:val="clear" w:color="auto" w:fill="auto"/>
          </w:tcPr>
          <w:p w14:paraId="1D02651E" w14:textId="77777777" w:rsidR="004421F6" w:rsidRDefault="004421F6">
            <w:pPr>
              <w:rPr>
                <w:rFonts w:ascii="宋体"/>
              </w:rPr>
            </w:pPr>
          </w:p>
        </w:tc>
        <w:tc>
          <w:tcPr>
            <w:tcW w:w="0" w:type="auto"/>
            <w:shd w:val="clear" w:color="auto" w:fill="auto"/>
          </w:tcPr>
          <w:p w14:paraId="1D02651F" w14:textId="77777777" w:rsidR="004421F6" w:rsidRDefault="004421F6">
            <w:pPr>
              <w:rPr>
                <w:rFonts w:ascii="宋体"/>
              </w:rPr>
            </w:pPr>
          </w:p>
        </w:tc>
      </w:tr>
      <w:tr w:rsidR="004421F6" w14:paraId="1D02652D"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521" w14:textId="77777777" w:rsidR="004421F6" w:rsidRDefault="00F15622">
            <w:pPr>
              <w:textAlignment w:val="bottom"/>
            </w:pPr>
            <w:r>
              <w:rPr>
                <w:rFonts w:ascii="Arial" w:eastAsia="宋体" w:hAnsi="Arial" w:cs="Arial"/>
                <w:color w:val="000000"/>
                <w:sz w:val="17"/>
                <w:szCs w:val="17"/>
              </w:rPr>
              <w:t>Converse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522" w14:textId="77777777" w:rsidR="004421F6" w:rsidRDefault="00F15622">
            <w:pPr>
              <w:jc w:val="right"/>
              <w:textAlignment w:val="bottom"/>
            </w:pPr>
            <w:r>
              <w:rPr>
                <w:rFonts w:ascii="Arial" w:eastAsia="宋体" w:hAnsi="Arial" w:cs="Arial"/>
                <w:color w:val="000000"/>
                <w:sz w:val="17"/>
                <w:szCs w:val="17"/>
              </w:rPr>
              <w:t>563 </w:t>
            </w:r>
          </w:p>
        </w:tc>
        <w:tc>
          <w:tcPr>
            <w:tcW w:w="0" w:type="auto"/>
            <w:tcBorders>
              <w:top w:val="single" w:sz="8" w:space="0" w:color="808080"/>
            </w:tcBorders>
            <w:shd w:val="clear" w:color="auto" w:fill="FFF1E7"/>
            <w:tcMar>
              <w:top w:w="40" w:type="dxa"/>
              <w:bottom w:w="40" w:type="dxa"/>
              <w:right w:w="20" w:type="dxa"/>
            </w:tcMar>
            <w:vAlign w:val="bottom"/>
          </w:tcPr>
          <w:p w14:paraId="1D026523"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524"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525" w14:textId="77777777" w:rsidR="004421F6" w:rsidRDefault="00F15622">
            <w:pPr>
              <w:jc w:val="right"/>
              <w:textAlignment w:val="bottom"/>
            </w:pPr>
            <w:r>
              <w:rPr>
                <w:rFonts w:ascii="Arial" w:eastAsia="宋体" w:hAnsi="Arial" w:cs="Arial"/>
                <w:color w:val="000000"/>
                <w:sz w:val="17"/>
                <w:szCs w:val="17"/>
              </w:rPr>
              <w:t>555 </w:t>
            </w:r>
          </w:p>
        </w:tc>
        <w:tc>
          <w:tcPr>
            <w:tcW w:w="0" w:type="auto"/>
            <w:tcBorders>
              <w:top w:val="single" w:sz="8" w:space="0" w:color="808080"/>
            </w:tcBorders>
            <w:shd w:val="clear" w:color="auto" w:fill="auto"/>
            <w:tcMar>
              <w:top w:w="40" w:type="dxa"/>
              <w:bottom w:w="40" w:type="dxa"/>
              <w:right w:w="20" w:type="dxa"/>
            </w:tcMar>
            <w:vAlign w:val="bottom"/>
          </w:tcPr>
          <w:p w14:paraId="1D026526" w14:textId="77777777" w:rsidR="004421F6" w:rsidRDefault="004421F6">
            <w:pPr>
              <w:jc w:val="right"/>
              <w:rPr>
                <w:rFonts w:ascii="宋体"/>
              </w:rPr>
            </w:pPr>
          </w:p>
        </w:tc>
        <w:tc>
          <w:tcPr>
            <w:tcW w:w="0" w:type="auto"/>
            <w:shd w:val="clear" w:color="auto" w:fill="auto"/>
          </w:tcPr>
          <w:p w14:paraId="1D026527" w14:textId="77777777" w:rsidR="004421F6" w:rsidRDefault="004421F6">
            <w:pPr>
              <w:rPr>
                <w:rFonts w:ascii="宋体"/>
              </w:rPr>
            </w:pPr>
          </w:p>
        </w:tc>
        <w:tc>
          <w:tcPr>
            <w:tcW w:w="0" w:type="auto"/>
            <w:shd w:val="clear" w:color="auto" w:fill="auto"/>
          </w:tcPr>
          <w:p w14:paraId="1D026528" w14:textId="77777777" w:rsidR="004421F6" w:rsidRDefault="004421F6">
            <w:pPr>
              <w:rPr>
                <w:rFonts w:ascii="宋体"/>
              </w:rPr>
            </w:pPr>
          </w:p>
        </w:tc>
        <w:tc>
          <w:tcPr>
            <w:tcW w:w="0" w:type="auto"/>
            <w:shd w:val="clear" w:color="auto" w:fill="auto"/>
          </w:tcPr>
          <w:p w14:paraId="1D026529" w14:textId="77777777" w:rsidR="004421F6" w:rsidRDefault="004421F6">
            <w:pPr>
              <w:rPr>
                <w:rFonts w:ascii="宋体"/>
              </w:rPr>
            </w:pPr>
          </w:p>
        </w:tc>
        <w:tc>
          <w:tcPr>
            <w:tcW w:w="0" w:type="auto"/>
            <w:shd w:val="clear" w:color="auto" w:fill="auto"/>
          </w:tcPr>
          <w:p w14:paraId="1D02652A" w14:textId="77777777" w:rsidR="004421F6" w:rsidRDefault="004421F6">
            <w:pPr>
              <w:rPr>
                <w:rFonts w:ascii="宋体"/>
              </w:rPr>
            </w:pPr>
          </w:p>
        </w:tc>
        <w:tc>
          <w:tcPr>
            <w:tcW w:w="0" w:type="auto"/>
            <w:shd w:val="clear" w:color="auto" w:fill="auto"/>
          </w:tcPr>
          <w:p w14:paraId="1D02652B" w14:textId="77777777" w:rsidR="004421F6" w:rsidRDefault="004421F6">
            <w:pPr>
              <w:rPr>
                <w:rFonts w:ascii="宋体"/>
              </w:rPr>
            </w:pPr>
          </w:p>
        </w:tc>
        <w:tc>
          <w:tcPr>
            <w:tcW w:w="0" w:type="auto"/>
            <w:shd w:val="clear" w:color="auto" w:fill="auto"/>
          </w:tcPr>
          <w:p w14:paraId="1D02652C" w14:textId="77777777" w:rsidR="004421F6" w:rsidRDefault="004421F6">
            <w:pPr>
              <w:rPr>
                <w:rFonts w:ascii="宋体"/>
              </w:rPr>
            </w:pPr>
          </w:p>
        </w:tc>
      </w:tr>
      <w:tr w:rsidR="004421F6" w14:paraId="1D02653A"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52E" w14:textId="77777777" w:rsidR="004421F6" w:rsidRDefault="00F15622">
            <w:pPr>
              <w:textAlignment w:val="bottom"/>
            </w:pPr>
            <w:r>
              <w:rPr>
                <w:rFonts w:ascii="Arial" w:eastAsia="宋体" w:hAnsi="Arial" w:cs="Arial"/>
                <w:color w:val="000000"/>
                <w:sz w:val="17"/>
                <w:szCs w:val="17"/>
              </w:rPr>
              <w:t>Corporate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52F" w14:textId="77777777" w:rsidR="004421F6" w:rsidRDefault="00F15622">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FFF1E7"/>
            <w:tcMar>
              <w:top w:w="40" w:type="dxa"/>
              <w:bottom w:w="40" w:type="dxa"/>
              <w:right w:w="20" w:type="dxa"/>
            </w:tcMar>
            <w:vAlign w:val="bottom"/>
          </w:tcPr>
          <w:p w14:paraId="1D026530"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531"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532" w14:textId="77777777" w:rsidR="004421F6" w:rsidRDefault="00F1562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bottom w:w="40" w:type="dxa"/>
              <w:right w:w="20" w:type="dxa"/>
            </w:tcMar>
            <w:vAlign w:val="bottom"/>
          </w:tcPr>
          <w:p w14:paraId="1D026533" w14:textId="77777777" w:rsidR="004421F6" w:rsidRDefault="004421F6">
            <w:pPr>
              <w:jc w:val="right"/>
              <w:rPr>
                <w:rFonts w:ascii="宋体"/>
              </w:rPr>
            </w:pPr>
          </w:p>
        </w:tc>
        <w:tc>
          <w:tcPr>
            <w:tcW w:w="0" w:type="auto"/>
            <w:shd w:val="clear" w:color="auto" w:fill="auto"/>
          </w:tcPr>
          <w:p w14:paraId="1D026534" w14:textId="77777777" w:rsidR="004421F6" w:rsidRDefault="004421F6">
            <w:pPr>
              <w:rPr>
                <w:rFonts w:ascii="宋体"/>
              </w:rPr>
            </w:pPr>
          </w:p>
        </w:tc>
        <w:tc>
          <w:tcPr>
            <w:tcW w:w="0" w:type="auto"/>
            <w:shd w:val="clear" w:color="auto" w:fill="auto"/>
          </w:tcPr>
          <w:p w14:paraId="1D026535" w14:textId="77777777" w:rsidR="004421F6" w:rsidRDefault="004421F6">
            <w:pPr>
              <w:rPr>
                <w:rFonts w:ascii="宋体"/>
              </w:rPr>
            </w:pPr>
          </w:p>
        </w:tc>
        <w:tc>
          <w:tcPr>
            <w:tcW w:w="0" w:type="auto"/>
            <w:shd w:val="clear" w:color="auto" w:fill="auto"/>
          </w:tcPr>
          <w:p w14:paraId="1D026536" w14:textId="77777777" w:rsidR="004421F6" w:rsidRDefault="004421F6">
            <w:pPr>
              <w:rPr>
                <w:rFonts w:ascii="宋体"/>
              </w:rPr>
            </w:pPr>
          </w:p>
        </w:tc>
        <w:tc>
          <w:tcPr>
            <w:tcW w:w="0" w:type="auto"/>
            <w:shd w:val="clear" w:color="auto" w:fill="auto"/>
          </w:tcPr>
          <w:p w14:paraId="1D026537" w14:textId="77777777" w:rsidR="004421F6" w:rsidRDefault="004421F6">
            <w:pPr>
              <w:rPr>
                <w:rFonts w:ascii="宋体"/>
              </w:rPr>
            </w:pPr>
          </w:p>
        </w:tc>
        <w:tc>
          <w:tcPr>
            <w:tcW w:w="0" w:type="auto"/>
            <w:shd w:val="clear" w:color="auto" w:fill="auto"/>
          </w:tcPr>
          <w:p w14:paraId="1D026538" w14:textId="77777777" w:rsidR="004421F6" w:rsidRDefault="004421F6">
            <w:pPr>
              <w:rPr>
                <w:rFonts w:ascii="宋体"/>
              </w:rPr>
            </w:pPr>
          </w:p>
        </w:tc>
        <w:tc>
          <w:tcPr>
            <w:tcW w:w="0" w:type="auto"/>
            <w:shd w:val="clear" w:color="auto" w:fill="auto"/>
          </w:tcPr>
          <w:p w14:paraId="1D026539" w14:textId="77777777" w:rsidR="004421F6" w:rsidRDefault="004421F6">
            <w:pPr>
              <w:rPr>
                <w:rFonts w:ascii="宋体"/>
              </w:rPr>
            </w:pPr>
          </w:p>
        </w:tc>
      </w:tr>
      <w:tr w:rsidR="004421F6" w14:paraId="1D026549"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53B" w14:textId="77777777" w:rsidR="004421F6" w:rsidRDefault="00F15622">
            <w:pPr>
              <w:textAlignment w:val="bottom"/>
            </w:pPr>
            <w:r>
              <w:rPr>
                <w:rFonts w:ascii="Arial" w:eastAsia="宋体" w:hAnsi="Arial" w:cs="Arial"/>
                <w:b/>
                <w:bCs/>
                <w:color w:val="000000"/>
                <w:sz w:val="17"/>
                <w:szCs w:val="17"/>
              </w:rPr>
              <w:t xml:space="preserve">TOTAL NIKE, INC. </w:t>
            </w:r>
            <w:r>
              <w:rPr>
                <w:rFonts w:ascii="Arial" w:eastAsia="宋体" w:hAnsi="Arial" w:cs="Arial"/>
                <w:b/>
                <w:bCs/>
                <w:color w:val="000000"/>
                <w:sz w:val="17"/>
                <w:szCs w:val="17"/>
              </w:rPr>
              <w:t>REVENUES</w:t>
            </w:r>
          </w:p>
        </w:tc>
        <w:tc>
          <w:tcPr>
            <w:tcW w:w="0" w:type="auto"/>
            <w:tcBorders>
              <w:top w:val="single" w:sz="8" w:space="0" w:color="E87722"/>
            </w:tcBorders>
            <w:shd w:val="clear" w:color="auto" w:fill="FFF1E7"/>
            <w:tcMar>
              <w:top w:w="40" w:type="dxa"/>
              <w:left w:w="20" w:type="dxa"/>
              <w:bottom w:w="40" w:type="dxa"/>
            </w:tcMar>
            <w:vAlign w:val="bottom"/>
          </w:tcPr>
          <w:p w14:paraId="1D02653C"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53D" w14:textId="77777777" w:rsidR="004421F6" w:rsidRDefault="00F15622">
            <w:pPr>
              <w:jc w:val="right"/>
              <w:textAlignment w:val="bottom"/>
            </w:pPr>
            <w:r>
              <w:rPr>
                <w:rFonts w:ascii="Arial" w:eastAsia="宋体" w:hAnsi="Arial" w:cs="Arial"/>
                <w:b/>
                <w:bCs/>
                <w:color w:val="000000"/>
                <w:sz w:val="17"/>
                <w:szCs w:val="17"/>
              </w:rPr>
              <w:t>10,594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53E"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53F" w14:textId="77777777" w:rsidR="004421F6" w:rsidRDefault="004421F6">
            <w:pPr>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540"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541" w14:textId="77777777" w:rsidR="004421F6" w:rsidRDefault="00F15622">
            <w:pPr>
              <w:jc w:val="right"/>
              <w:textAlignment w:val="bottom"/>
            </w:pPr>
            <w:r>
              <w:rPr>
                <w:rFonts w:ascii="Arial" w:eastAsia="宋体" w:hAnsi="Arial" w:cs="Arial"/>
                <w:b/>
                <w:bCs/>
                <w:color w:val="000000"/>
                <w:sz w:val="17"/>
                <w:szCs w:val="17"/>
              </w:rPr>
              <w:t>10,660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542" w14:textId="77777777" w:rsidR="004421F6" w:rsidRDefault="004421F6">
            <w:pPr>
              <w:jc w:val="right"/>
              <w:rPr>
                <w:rFonts w:ascii="宋体"/>
              </w:rPr>
            </w:pPr>
          </w:p>
        </w:tc>
        <w:tc>
          <w:tcPr>
            <w:tcW w:w="0" w:type="auto"/>
            <w:shd w:val="clear" w:color="auto" w:fill="auto"/>
          </w:tcPr>
          <w:p w14:paraId="1D026543" w14:textId="77777777" w:rsidR="004421F6" w:rsidRDefault="004421F6">
            <w:pPr>
              <w:rPr>
                <w:rFonts w:ascii="宋体"/>
              </w:rPr>
            </w:pPr>
          </w:p>
        </w:tc>
        <w:tc>
          <w:tcPr>
            <w:tcW w:w="0" w:type="auto"/>
            <w:shd w:val="clear" w:color="auto" w:fill="auto"/>
          </w:tcPr>
          <w:p w14:paraId="1D026544" w14:textId="77777777" w:rsidR="004421F6" w:rsidRDefault="004421F6">
            <w:pPr>
              <w:rPr>
                <w:rFonts w:ascii="宋体"/>
              </w:rPr>
            </w:pPr>
          </w:p>
        </w:tc>
        <w:tc>
          <w:tcPr>
            <w:tcW w:w="0" w:type="auto"/>
            <w:shd w:val="clear" w:color="auto" w:fill="auto"/>
          </w:tcPr>
          <w:p w14:paraId="1D026545" w14:textId="77777777" w:rsidR="004421F6" w:rsidRDefault="004421F6">
            <w:pPr>
              <w:rPr>
                <w:rFonts w:ascii="宋体"/>
              </w:rPr>
            </w:pPr>
          </w:p>
        </w:tc>
        <w:tc>
          <w:tcPr>
            <w:tcW w:w="0" w:type="auto"/>
            <w:shd w:val="clear" w:color="auto" w:fill="auto"/>
          </w:tcPr>
          <w:p w14:paraId="1D026546" w14:textId="77777777" w:rsidR="004421F6" w:rsidRDefault="004421F6">
            <w:pPr>
              <w:rPr>
                <w:rFonts w:ascii="宋体"/>
              </w:rPr>
            </w:pPr>
          </w:p>
        </w:tc>
        <w:tc>
          <w:tcPr>
            <w:tcW w:w="0" w:type="auto"/>
            <w:shd w:val="clear" w:color="auto" w:fill="auto"/>
          </w:tcPr>
          <w:p w14:paraId="1D026547" w14:textId="77777777" w:rsidR="004421F6" w:rsidRDefault="004421F6">
            <w:pPr>
              <w:rPr>
                <w:rFonts w:ascii="宋体"/>
              </w:rPr>
            </w:pPr>
          </w:p>
        </w:tc>
        <w:tc>
          <w:tcPr>
            <w:tcW w:w="0" w:type="auto"/>
            <w:shd w:val="clear" w:color="auto" w:fill="auto"/>
          </w:tcPr>
          <w:p w14:paraId="1D026548" w14:textId="77777777" w:rsidR="004421F6" w:rsidRDefault="004421F6">
            <w:pPr>
              <w:rPr>
                <w:rFonts w:ascii="宋体"/>
              </w:rPr>
            </w:pPr>
          </w:p>
        </w:tc>
      </w:tr>
      <w:tr w:rsidR="004421F6" w14:paraId="1D026554"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54A" w14:textId="77777777" w:rsidR="004421F6" w:rsidRDefault="00F15622">
            <w:pPr>
              <w:textAlignment w:val="bottom"/>
            </w:pPr>
            <w:r>
              <w:rPr>
                <w:rFonts w:ascii="Arial" w:eastAsia="宋体" w:hAnsi="Arial" w:cs="Arial"/>
                <w:b/>
                <w:bCs/>
                <w:color w:val="000000"/>
                <w:sz w:val="17"/>
                <w:szCs w:val="17"/>
              </w:rPr>
              <w:t>EARNINGS BEFORE INTEREST AND TAXES</w:t>
            </w:r>
          </w:p>
        </w:tc>
        <w:tc>
          <w:tcPr>
            <w:tcW w:w="0" w:type="auto"/>
            <w:gridSpan w:val="3"/>
            <w:tcBorders>
              <w:top w:val="single" w:sz="8" w:space="0" w:color="E87722"/>
            </w:tcBorders>
            <w:shd w:val="clear" w:color="auto" w:fill="FFF1E7"/>
            <w:tcMar>
              <w:left w:w="20" w:type="dxa"/>
              <w:right w:w="20" w:type="dxa"/>
            </w:tcMar>
            <w:vAlign w:val="bottom"/>
          </w:tcPr>
          <w:p w14:paraId="1D02654B"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54C"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54D" w14:textId="77777777" w:rsidR="004421F6" w:rsidRDefault="004421F6">
            <w:pPr>
              <w:rPr>
                <w:rFonts w:ascii="宋体"/>
              </w:rPr>
            </w:pPr>
          </w:p>
        </w:tc>
        <w:tc>
          <w:tcPr>
            <w:tcW w:w="0" w:type="auto"/>
            <w:shd w:val="clear" w:color="auto" w:fill="auto"/>
          </w:tcPr>
          <w:p w14:paraId="1D02654E" w14:textId="77777777" w:rsidR="004421F6" w:rsidRDefault="004421F6">
            <w:pPr>
              <w:rPr>
                <w:rFonts w:ascii="宋体"/>
              </w:rPr>
            </w:pPr>
          </w:p>
        </w:tc>
        <w:tc>
          <w:tcPr>
            <w:tcW w:w="0" w:type="auto"/>
            <w:shd w:val="clear" w:color="auto" w:fill="auto"/>
          </w:tcPr>
          <w:p w14:paraId="1D02654F" w14:textId="77777777" w:rsidR="004421F6" w:rsidRDefault="004421F6">
            <w:pPr>
              <w:rPr>
                <w:rFonts w:ascii="宋体"/>
              </w:rPr>
            </w:pPr>
          </w:p>
        </w:tc>
        <w:tc>
          <w:tcPr>
            <w:tcW w:w="0" w:type="auto"/>
            <w:shd w:val="clear" w:color="auto" w:fill="auto"/>
          </w:tcPr>
          <w:p w14:paraId="1D026550" w14:textId="77777777" w:rsidR="004421F6" w:rsidRDefault="004421F6">
            <w:pPr>
              <w:rPr>
                <w:rFonts w:ascii="宋体"/>
              </w:rPr>
            </w:pPr>
          </w:p>
        </w:tc>
        <w:tc>
          <w:tcPr>
            <w:tcW w:w="0" w:type="auto"/>
            <w:shd w:val="clear" w:color="auto" w:fill="auto"/>
          </w:tcPr>
          <w:p w14:paraId="1D026551" w14:textId="77777777" w:rsidR="004421F6" w:rsidRDefault="004421F6">
            <w:pPr>
              <w:rPr>
                <w:rFonts w:ascii="宋体"/>
              </w:rPr>
            </w:pPr>
          </w:p>
        </w:tc>
        <w:tc>
          <w:tcPr>
            <w:tcW w:w="0" w:type="auto"/>
            <w:shd w:val="clear" w:color="auto" w:fill="auto"/>
          </w:tcPr>
          <w:p w14:paraId="1D026552" w14:textId="77777777" w:rsidR="004421F6" w:rsidRDefault="004421F6">
            <w:pPr>
              <w:rPr>
                <w:rFonts w:ascii="宋体"/>
              </w:rPr>
            </w:pPr>
          </w:p>
        </w:tc>
        <w:tc>
          <w:tcPr>
            <w:tcW w:w="0" w:type="auto"/>
            <w:shd w:val="clear" w:color="auto" w:fill="auto"/>
          </w:tcPr>
          <w:p w14:paraId="1D026553" w14:textId="77777777" w:rsidR="004421F6" w:rsidRDefault="004421F6">
            <w:pPr>
              <w:rPr>
                <w:rFonts w:ascii="宋体"/>
              </w:rPr>
            </w:pPr>
          </w:p>
        </w:tc>
      </w:tr>
      <w:tr w:rsidR="004421F6" w14:paraId="1D026563"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555" w14:textId="77777777" w:rsidR="004421F6" w:rsidRDefault="00F15622">
            <w:pPr>
              <w:textAlignment w:val="bottom"/>
            </w:pPr>
            <w:r>
              <w:rPr>
                <w:rFonts w:ascii="Arial" w:eastAsia="宋体" w:hAnsi="Arial" w:cs="Arial"/>
                <w:color w:val="000000"/>
                <w:sz w:val="17"/>
                <w:szCs w:val="17"/>
              </w:rPr>
              <w:t>North America</w:t>
            </w:r>
          </w:p>
        </w:tc>
        <w:tc>
          <w:tcPr>
            <w:tcW w:w="0" w:type="auto"/>
            <w:tcBorders>
              <w:top w:val="single" w:sz="8" w:space="0" w:color="808080"/>
            </w:tcBorders>
            <w:shd w:val="clear" w:color="auto" w:fill="FFF1E7"/>
            <w:tcMar>
              <w:top w:w="40" w:type="dxa"/>
              <w:left w:w="20" w:type="dxa"/>
              <w:bottom w:w="40" w:type="dxa"/>
            </w:tcMar>
            <w:vAlign w:val="bottom"/>
          </w:tcPr>
          <w:p w14:paraId="1D026556"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557" w14:textId="77777777" w:rsidR="004421F6" w:rsidRDefault="00F15622">
            <w:pPr>
              <w:jc w:val="right"/>
              <w:textAlignment w:val="bottom"/>
            </w:pPr>
            <w:r>
              <w:rPr>
                <w:rFonts w:ascii="Arial" w:eastAsia="宋体" w:hAnsi="Arial" w:cs="Arial"/>
                <w:color w:val="000000"/>
                <w:sz w:val="17"/>
                <w:szCs w:val="17"/>
              </w:rPr>
              <w:t>1,302 </w:t>
            </w:r>
          </w:p>
        </w:tc>
        <w:tc>
          <w:tcPr>
            <w:tcW w:w="0" w:type="auto"/>
            <w:tcBorders>
              <w:top w:val="single" w:sz="8" w:space="0" w:color="808080"/>
            </w:tcBorders>
            <w:shd w:val="clear" w:color="auto" w:fill="FFF1E7"/>
            <w:tcMar>
              <w:top w:w="40" w:type="dxa"/>
              <w:bottom w:w="40" w:type="dxa"/>
              <w:right w:w="20" w:type="dxa"/>
            </w:tcMar>
            <w:vAlign w:val="bottom"/>
          </w:tcPr>
          <w:p w14:paraId="1D026558"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559" w14:textId="77777777" w:rsidR="004421F6" w:rsidRDefault="004421F6">
            <w:pPr>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55A"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55B" w14:textId="77777777" w:rsidR="004421F6" w:rsidRDefault="00F15622">
            <w:pPr>
              <w:jc w:val="right"/>
              <w:textAlignment w:val="bottom"/>
            </w:pPr>
            <w:r>
              <w:rPr>
                <w:rFonts w:ascii="Arial" w:eastAsia="宋体" w:hAnsi="Arial" w:cs="Arial"/>
                <w:color w:val="000000"/>
                <w:sz w:val="17"/>
                <w:szCs w:val="17"/>
              </w:rPr>
              <w:t>1,100 </w:t>
            </w:r>
          </w:p>
        </w:tc>
        <w:tc>
          <w:tcPr>
            <w:tcW w:w="0" w:type="auto"/>
            <w:tcBorders>
              <w:top w:val="single" w:sz="8" w:space="0" w:color="808080"/>
            </w:tcBorders>
            <w:shd w:val="clear" w:color="auto" w:fill="auto"/>
            <w:tcMar>
              <w:top w:w="40" w:type="dxa"/>
              <w:bottom w:w="40" w:type="dxa"/>
              <w:right w:w="20" w:type="dxa"/>
            </w:tcMar>
            <w:vAlign w:val="bottom"/>
          </w:tcPr>
          <w:p w14:paraId="1D02655C" w14:textId="77777777" w:rsidR="004421F6" w:rsidRDefault="004421F6">
            <w:pPr>
              <w:jc w:val="right"/>
              <w:rPr>
                <w:rFonts w:ascii="宋体"/>
              </w:rPr>
            </w:pPr>
          </w:p>
        </w:tc>
        <w:tc>
          <w:tcPr>
            <w:tcW w:w="0" w:type="auto"/>
            <w:shd w:val="clear" w:color="auto" w:fill="auto"/>
          </w:tcPr>
          <w:p w14:paraId="1D02655D" w14:textId="77777777" w:rsidR="004421F6" w:rsidRDefault="004421F6">
            <w:pPr>
              <w:rPr>
                <w:rFonts w:ascii="宋体"/>
              </w:rPr>
            </w:pPr>
          </w:p>
        </w:tc>
        <w:tc>
          <w:tcPr>
            <w:tcW w:w="0" w:type="auto"/>
            <w:shd w:val="clear" w:color="auto" w:fill="auto"/>
          </w:tcPr>
          <w:p w14:paraId="1D02655E" w14:textId="77777777" w:rsidR="004421F6" w:rsidRDefault="004421F6">
            <w:pPr>
              <w:rPr>
                <w:rFonts w:ascii="宋体"/>
              </w:rPr>
            </w:pPr>
          </w:p>
        </w:tc>
        <w:tc>
          <w:tcPr>
            <w:tcW w:w="0" w:type="auto"/>
            <w:shd w:val="clear" w:color="auto" w:fill="auto"/>
          </w:tcPr>
          <w:p w14:paraId="1D02655F" w14:textId="77777777" w:rsidR="004421F6" w:rsidRDefault="004421F6">
            <w:pPr>
              <w:rPr>
                <w:rFonts w:ascii="宋体"/>
              </w:rPr>
            </w:pPr>
          </w:p>
        </w:tc>
        <w:tc>
          <w:tcPr>
            <w:tcW w:w="0" w:type="auto"/>
            <w:shd w:val="clear" w:color="auto" w:fill="auto"/>
          </w:tcPr>
          <w:p w14:paraId="1D026560" w14:textId="77777777" w:rsidR="004421F6" w:rsidRDefault="004421F6">
            <w:pPr>
              <w:rPr>
                <w:rFonts w:ascii="宋体"/>
              </w:rPr>
            </w:pPr>
          </w:p>
        </w:tc>
        <w:tc>
          <w:tcPr>
            <w:tcW w:w="0" w:type="auto"/>
            <w:shd w:val="clear" w:color="auto" w:fill="auto"/>
          </w:tcPr>
          <w:p w14:paraId="1D026561" w14:textId="77777777" w:rsidR="004421F6" w:rsidRDefault="004421F6">
            <w:pPr>
              <w:rPr>
                <w:rFonts w:ascii="宋体"/>
              </w:rPr>
            </w:pPr>
          </w:p>
        </w:tc>
        <w:tc>
          <w:tcPr>
            <w:tcW w:w="0" w:type="auto"/>
            <w:shd w:val="clear" w:color="auto" w:fill="auto"/>
          </w:tcPr>
          <w:p w14:paraId="1D026562" w14:textId="77777777" w:rsidR="004421F6" w:rsidRDefault="004421F6">
            <w:pPr>
              <w:rPr>
                <w:rFonts w:ascii="宋体"/>
              </w:rPr>
            </w:pPr>
          </w:p>
        </w:tc>
      </w:tr>
      <w:tr w:rsidR="004421F6" w14:paraId="1D026570"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564" w14:textId="77777777" w:rsidR="004421F6" w:rsidRDefault="00F15622">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565" w14:textId="77777777" w:rsidR="004421F6" w:rsidRDefault="00F15622">
            <w:pPr>
              <w:jc w:val="right"/>
              <w:textAlignment w:val="bottom"/>
            </w:pPr>
            <w:r>
              <w:rPr>
                <w:rFonts w:ascii="Arial" w:eastAsia="宋体" w:hAnsi="Arial" w:cs="Arial"/>
                <w:color w:val="000000"/>
                <w:sz w:val="17"/>
                <w:szCs w:val="17"/>
              </w:rPr>
              <w:t>692 </w:t>
            </w:r>
          </w:p>
        </w:tc>
        <w:tc>
          <w:tcPr>
            <w:tcW w:w="0" w:type="auto"/>
            <w:tcBorders>
              <w:top w:val="single" w:sz="8" w:space="0" w:color="808080"/>
            </w:tcBorders>
            <w:shd w:val="clear" w:color="auto" w:fill="FFF1E7"/>
            <w:tcMar>
              <w:top w:w="40" w:type="dxa"/>
              <w:bottom w:w="40" w:type="dxa"/>
              <w:right w:w="20" w:type="dxa"/>
            </w:tcMar>
            <w:vAlign w:val="bottom"/>
          </w:tcPr>
          <w:p w14:paraId="1D026566"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567"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568" w14:textId="77777777" w:rsidR="004421F6" w:rsidRDefault="00F15622">
            <w:pPr>
              <w:jc w:val="right"/>
              <w:textAlignment w:val="bottom"/>
            </w:pPr>
            <w:r>
              <w:rPr>
                <w:rFonts w:ascii="Arial" w:eastAsia="宋体" w:hAnsi="Arial" w:cs="Arial"/>
                <w:color w:val="000000"/>
                <w:sz w:val="17"/>
                <w:szCs w:val="17"/>
              </w:rPr>
              <w:t>609 </w:t>
            </w:r>
          </w:p>
        </w:tc>
        <w:tc>
          <w:tcPr>
            <w:tcW w:w="0" w:type="auto"/>
            <w:tcBorders>
              <w:top w:val="single" w:sz="8" w:space="0" w:color="808080"/>
            </w:tcBorders>
            <w:shd w:val="clear" w:color="auto" w:fill="auto"/>
            <w:tcMar>
              <w:top w:w="40" w:type="dxa"/>
              <w:bottom w:w="40" w:type="dxa"/>
              <w:right w:w="20" w:type="dxa"/>
            </w:tcMar>
            <w:vAlign w:val="bottom"/>
          </w:tcPr>
          <w:p w14:paraId="1D026569" w14:textId="77777777" w:rsidR="004421F6" w:rsidRDefault="004421F6">
            <w:pPr>
              <w:jc w:val="right"/>
              <w:rPr>
                <w:rFonts w:ascii="宋体"/>
              </w:rPr>
            </w:pPr>
          </w:p>
        </w:tc>
        <w:tc>
          <w:tcPr>
            <w:tcW w:w="0" w:type="auto"/>
            <w:shd w:val="clear" w:color="auto" w:fill="auto"/>
          </w:tcPr>
          <w:p w14:paraId="1D02656A" w14:textId="77777777" w:rsidR="004421F6" w:rsidRDefault="004421F6">
            <w:pPr>
              <w:rPr>
                <w:rFonts w:ascii="宋体"/>
              </w:rPr>
            </w:pPr>
          </w:p>
        </w:tc>
        <w:tc>
          <w:tcPr>
            <w:tcW w:w="0" w:type="auto"/>
            <w:shd w:val="clear" w:color="auto" w:fill="auto"/>
          </w:tcPr>
          <w:p w14:paraId="1D02656B" w14:textId="77777777" w:rsidR="004421F6" w:rsidRDefault="004421F6">
            <w:pPr>
              <w:rPr>
                <w:rFonts w:ascii="宋体"/>
              </w:rPr>
            </w:pPr>
          </w:p>
        </w:tc>
        <w:tc>
          <w:tcPr>
            <w:tcW w:w="0" w:type="auto"/>
            <w:shd w:val="clear" w:color="auto" w:fill="auto"/>
          </w:tcPr>
          <w:p w14:paraId="1D02656C" w14:textId="77777777" w:rsidR="004421F6" w:rsidRDefault="004421F6">
            <w:pPr>
              <w:rPr>
                <w:rFonts w:ascii="宋体"/>
              </w:rPr>
            </w:pPr>
          </w:p>
        </w:tc>
        <w:tc>
          <w:tcPr>
            <w:tcW w:w="0" w:type="auto"/>
            <w:shd w:val="clear" w:color="auto" w:fill="auto"/>
          </w:tcPr>
          <w:p w14:paraId="1D02656D" w14:textId="77777777" w:rsidR="004421F6" w:rsidRDefault="004421F6">
            <w:pPr>
              <w:rPr>
                <w:rFonts w:ascii="宋体"/>
              </w:rPr>
            </w:pPr>
          </w:p>
        </w:tc>
        <w:tc>
          <w:tcPr>
            <w:tcW w:w="0" w:type="auto"/>
            <w:shd w:val="clear" w:color="auto" w:fill="auto"/>
          </w:tcPr>
          <w:p w14:paraId="1D02656E" w14:textId="77777777" w:rsidR="004421F6" w:rsidRDefault="004421F6">
            <w:pPr>
              <w:rPr>
                <w:rFonts w:ascii="宋体"/>
              </w:rPr>
            </w:pPr>
          </w:p>
        </w:tc>
        <w:tc>
          <w:tcPr>
            <w:tcW w:w="0" w:type="auto"/>
            <w:shd w:val="clear" w:color="auto" w:fill="auto"/>
          </w:tcPr>
          <w:p w14:paraId="1D02656F" w14:textId="77777777" w:rsidR="004421F6" w:rsidRDefault="004421F6">
            <w:pPr>
              <w:rPr>
                <w:rFonts w:ascii="宋体"/>
              </w:rPr>
            </w:pPr>
          </w:p>
        </w:tc>
      </w:tr>
      <w:tr w:rsidR="004421F6" w14:paraId="1D02657D"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571" w14:textId="77777777" w:rsidR="004421F6" w:rsidRDefault="00F15622">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572" w14:textId="77777777" w:rsidR="004421F6" w:rsidRDefault="00F15622">
            <w:pPr>
              <w:jc w:val="right"/>
              <w:textAlignment w:val="bottom"/>
            </w:pPr>
            <w:r>
              <w:rPr>
                <w:rFonts w:ascii="Arial" w:eastAsia="宋体" w:hAnsi="Arial" w:cs="Arial"/>
                <w:color w:val="000000"/>
                <w:sz w:val="17"/>
                <w:szCs w:val="17"/>
              </w:rPr>
              <w:t>688 </w:t>
            </w:r>
          </w:p>
        </w:tc>
        <w:tc>
          <w:tcPr>
            <w:tcW w:w="0" w:type="auto"/>
            <w:tcBorders>
              <w:top w:val="single" w:sz="8" w:space="0" w:color="808080"/>
            </w:tcBorders>
            <w:shd w:val="clear" w:color="auto" w:fill="FFF1E7"/>
            <w:tcMar>
              <w:top w:w="40" w:type="dxa"/>
              <w:bottom w:w="40" w:type="dxa"/>
              <w:right w:w="20" w:type="dxa"/>
            </w:tcMar>
            <w:vAlign w:val="bottom"/>
          </w:tcPr>
          <w:p w14:paraId="1D026573"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574"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575" w14:textId="77777777" w:rsidR="004421F6" w:rsidRDefault="00F15622">
            <w:pPr>
              <w:jc w:val="right"/>
              <w:textAlignment w:val="bottom"/>
            </w:pPr>
            <w:r>
              <w:rPr>
                <w:rFonts w:ascii="Arial" w:eastAsia="宋体" w:hAnsi="Arial" w:cs="Arial"/>
                <w:color w:val="000000"/>
                <w:sz w:val="17"/>
                <w:szCs w:val="17"/>
              </w:rPr>
              <w:t>669 </w:t>
            </w:r>
          </w:p>
        </w:tc>
        <w:tc>
          <w:tcPr>
            <w:tcW w:w="0" w:type="auto"/>
            <w:tcBorders>
              <w:top w:val="single" w:sz="8" w:space="0" w:color="808080"/>
            </w:tcBorders>
            <w:shd w:val="clear" w:color="auto" w:fill="auto"/>
            <w:tcMar>
              <w:top w:w="40" w:type="dxa"/>
              <w:bottom w:w="40" w:type="dxa"/>
              <w:right w:w="20" w:type="dxa"/>
            </w:tcMar>
            <w:vAlign w:val="bottom"/>
          </w:tcPr>
          <w:p w14:paraId="1D026576" w14:textId="77777777" w:rsidR="004421F6" w:rsidRDefault="004421F6">
            <w:pPr>
              <w:jc w:val="right"/>
              <w:rPr>
                <w:rFonts w:ascii="宋体"/>
              </w:rPr>
            </w:pPr>
          </w:p>
        </w:tc>
        <w:tc>
          <w:tcPr>
            <w:tcW w:w="0" w:type="auto"/>
            <w:shd w:val="clear" w:color="auto" w:fill="auto"/>
          </w:tcPr>
          <w:p w14:paraId="1D026577" w14:textId="77777777" w:rsidR="004421F6" w:rsidRDefault="004421F6">
            <w:pPr>
              <w:rPr>
                <w:rFonts w:ascii="宋体"/>
              </w:rPr>
            </w:pPr>
          </w:p>
        </w:tc>
        <w:tc>
          <w:tcPr>
            <w:tcW w:w="0" w:type="auto"/>
            <w:shd w:val="clear" w:color="auto" w:fill="auto"/>
          </w:tcPr>
          <w:p w14:paraId="1D026578" w14:textId="77777777" w:rsidR="004421F6" w:rsidRDefault="004421F6">
            <w:pPr>
              <w:rPr>
                <w:rFonts w:ascii="宋体"/>
              </w:rPr>
            </w:pPr>
          </w:p>
        </w:tc>
        <w:tc>
          <w:tcPr>
            <w:tcW w:w="0" w:type="auto"/>
            <w:shd w:val="clear" w:color="auto" w:fill="auto"/>
          </w:tcPr>
          <w:p w14:paraId="1D026579" w14:textId="77777777" w:rsidR="004421F6" w:rsidRDefault="004421F6">
            <w:pPr>
              <w:rPr>
                <w:rFonts w:ascii="宋体"/>
              </w:rPr>
            </w:pPr>
          </w:p>
        </w:tc>
        <w:tc>
          <w:tcPr>
            <w:tcW w:w="0" w:type="auto"/>
            <w:shd w:val="clear" w:color="auto" w:fill="auto"/>
          </w:tcPr>
          <w:p w14:paraId="1D02657A" w14:textId="77777777" w:rsidR="004421F6" w:rsidRDefault="004421F6">
            <w:pPr>
              <w:rPr>
                <w:rFonts w:ascii="宋体"/>
              </w:rPr>
            </w:pPr>
          </w:p>
        </w:tc>
        <w:tc>
          <w:tcPr>
            <w:tcW w:w="0" w:type="auto"/>
            <w:shd w:val="clear" w:color="auto" w:fill="auto"/>
          </w:tcPr>
          <w:p w14:paraId="1D02657B" w14:textId="77777777" w:rsidR="004421F6" w:rsidRDefault="004421F6">
            <w:pPr>
              <w:rPr>
                <w:rFonts w:ascii="宋体"/>
              </w:rPr>
            </w:pPr>
          </w:p>
        </w:tc>
        <w:tc>
          <w:tcPr>
            <w:tcW w:w="0" w:type="auto"/>
            <w:shd w:val="clear" w:color="auto" w:fill="auto"/>
          </w:tcPr>
          <w:p w14:paraId="1D02657C" w14:textId="77777777" w:rsidR="004421F6" w:rsidRDefault="004421F6">
            <w:pPr>
              <w:rPr>
                <w:rFonts w:ascii="宋体"/>
              </w:rPr>
            </w:pPr>
          </w:p>
        </w:tc>
      </w:tr>
      <w:tr w:rsidR="004421F6" w14:paraId="1D02658A"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57E" w14:textId="77777777" w:rsidR="004421F6" w:rsidRDefault="00F15622">
            <w:pPr>
              <w:textAlignment w:val="bottom"/>
            </w:pPr>
            <w:r>
              <w:rPr>
                <w:rFonts w:ascii="Arial" w:eastAsia="宋体" w:hAnsi="Arial" w:cs="Arial"/>
                <w:color w:val="000000"/>
                <w:sz w:val="17"/>
                <w:szCs w:val="17"/>
              </w:rPr>
              <w:t>Asia Pacific &amp; Latin America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57F" w14:textId="77777777" w:rsidR="004421F6" w:rsidRDefault="00F15622">
            <w:pPr>
              <w:jc w:val="right"/>
              <w:textAlignment w:val="bottom"/>
            </w:pPr>
            <w:r>
              <w:rPr>
                <w:rFonts w:ascii="Arial" w:eastAsia="宋体" w:hAnsi="Arial" w:cs="Arial"/>
                <w:color w:val="000000"/>
                <w:sz w:val="17"/>
                <w:szCs w:val="17"/>
              </w:rPr>
              <w:t>280 </w:t>
            </w:r>
          </w:p>
        </w:tc>
        <w:tc>
          <w:tcPr>
            <w:tcW w:w="0" w:type="auto"/>
            <w:tcBorders>
              <w:top w:val="single" w:sz="8" w:space="0" w:color="808080"/>
            </w:tcBorders>
            <w:shd w:val="clear" w:color="auto" w:fill="FFF1E7"/>
            <w:tcMar>
              <w:top w:w="40" w:type="dxa"/>
              <w:bottom w:w="40" w:type="dxa"/>
              <w:right w:w="20" w:type="dxa"/>
            </w:tcMar>
            <w:vAlign w:val="bottom"/>
          </w:tcPr>
          <w:p w14:paraId="1D026580"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581"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582" w14:textId="77777777" w:rsidR="004421F6" w:rsidRDefault="00F15622">
            <w:pPr>
              <w:jc w:val="right"/>
              <w:textAlignment w:val="bottom"/>
            </w:pPr>
            <w:r>
              <w:rPr>
                <w:rFonts w:ascii="Arial" w:eastAsia="宋体" w:hAnsi="Arial" w:cs="Arial"/>
                <w:color w:val="000000"/>
                <w:sz w:val="17"/>
                <w:szCs w:val="17"/>
              </w:rPr>
              <w:t>341 </w:t>
            </w:r>
          </w:p>
        </w:tc>
        <w:tc>
          <w:tcPr>
            <w:tcW w:w="0" w:type="auto"/>
            <w:tcBorders>
              <w:top w:val="single" w:sz="8" w:space="0" w:color="808080"/>
            </w:tcBorders>
            <w:shd w:val="clear" w:color="auto" w:fill="auto"/>
            <w:tcMar>
              <w:top w:w="40" w:type="dxa"/>
              <w:bottom w:w="40" w:type="dxa"/>
              <w:right w:w="20" w:type="dxa"/>
            </w:tcMar>
            <w:vAlign w:val="bottom"/>
          </w:tcPr>
          <w:p w14:paraId="1D026583" w14:textId="77777777" w:rsidR="004421F6" w:rsidRDefault="004421F6">
            <w:pPr>
              <w:jc w:val="right"/>
              <w:rPr>
                <w:rFonts w:ascii="宋体"/>
              </w:rPr>
            </w:pPr>
          </w:p>
        </w:tc>
        <w:tc>
          <w:tcPr>
            <w:tcW w:w="0" w:type="auto"/>
            <w:shd w:val="clear" w:color="auto" w:fill="auto"/>
          </w:tcPr>
          <w:p w14:paraId="1D026584" w14:textId="77777777" w:rsidR="004421F6" w:rsidRDefault="004421F6">
            <w:pPr>
              <w:rPr>
                <w:rFonts w:ascii="宋体"/>
              </w:rPr>
            </w:pPr>
          </w:p>
        </w:tc>
        <w:tc>
          <w:tcPr>
            <w:tcW w:w="0" w:type="auto"/>
            <w:shd w:val="clear" w:color="auto" w:fill="auto"/>
          </w:tcPr>
          <w:p w14:paraId="1D026585" w14:textId="77777777" w:rsidR="004421F6" w:rsidRDefault="004421F6">
            <w:pPr>
              <w:rPr>
                <w:rFonts w:ascii="宋体"/>
              </w:rPr>
            </w:pPr>
          </w:p>
        </w:tc>
        <w:tc>
          <w:tcPr>
            <w:tcW w:w="0" w:type="auto"/>
            <w:shd w:val="clear" w:color="auto" w:fill="auto"/>
          </w:tcPr>
          <w:p w14:paraId="1D026586" w14:textId="77777777" w:rsidR="004421F6" w:rsidRDefault="004421F6">
            <w:pPr>
              <w:rPr>
                <w:rFonts w:ascii="宋体"/>
              </w:rPr>
            </w:pPr>
          </w:p>
        </w:tc>
        <w:tc>
          <w:tcPr>
            <w:tcW w:w="0" w:type="auto"/>
            <w:shd w:val="clear" w:color="auto" w:fill="auto"/>
          </w:tcPr>
          <w:p w14:paraId="1D026587" w14:textId="77777777" w:rsidR="004421F6" w:rsidRDefault="004421F6">
            <w:pPr>
              <w:rPr>
                <w:rFonts w:ascii="宋体"/>
              </w:rPr>
            </w:pPr>
          </w:p>
        </w:tc>
        <w:tc>
          <w:tcPr>
            <w:tcW w:w="0" w:type="auto"/>
            <w:shd w:val="clear" w:color="auto" w:fill="auto"/>
          </w:tcPr>
          <w:p w14:paraId="1D026588" w14:textId="77777777" w:rsidR="004421F6" w:rsidRDefault="004421F6">
            <w:pPr>
              <w:rPr>
                <w:rFonts w:ascii="宋体"/>
              </w:rPr>
            </w:pPr>
          </w:p>
        </w:tc>
        <w:tc>
          <w:tcPr>
            <w:tcW w:w="0" w:type="auto"/>
            <w:shd w:val="clear" w:color="auto" w:fill="auto"/>
          </w:tcPr>
          <w:p w14:paraId="1D026589" w14:textId="77777777" w:rsidR="004421F6" w:rsidRDefault="004421F6">
            <w:pPr>
              <w:rPr>
                <w:rFonts w:ascii="宋体"/>
              </w:rPr>
            </w:pPr>
          </w:p>
        </w:tc>
      </w:tr>
      <w:tr w:rsidR="004421F6" w14:paraId="1D026597"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58B" w14:textId="77777777" w:rsidR="004421F6" w:rsidRDefault="00F15622">
            <w:pPr>
              <w:textAlignment w:val="bottom"/>
            </w:pPr>
            <w:r>
              <w:rPr>
                <w:rFonts w:ascii="Arial" w:eastAsia="宋体" w:hAnsi="Arial" w:cs="Arial"/>
                <w:color w:val="000000"/>
                <w:sz w:val="17"/>
                <w:szCs w:val="17"/>
              </w:rPr>
              <w:t>Global Brand 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58C" w14:textId="77777777" w:rsidR="004421F6" w:rsidRDefault="00F15622">
            <w:pPr>
              <w:jc w:val="right"/>
              <w:textAlignment w:val="bottom"/>
            </w:pPr>
            <w:r>
              <w:rPr>
                <w:rFonts w:ascii="Arial" w:eastAsia="宋体" w:hAnsi="Arial" w:cs="Arial"/>
                <w:color w:val="000000"/>
                <w:sz w:val="17"/>
                <w:szCs w:val="17"/>
              </w:rPr>
              <w:t>(853)</w:t>
            </w:r>
          </w:p>
        </w:tc>
        <w:tc>
          <w:tcPr>
            <w:tcW w:w="0" w:type="auto"/>
            <w:tcBorders>
              <w:top w:val="single" w:sz="8" w:space="0" w:color="808080"/>
            </w:tcBorders>
            <w:shd w:val="clear" w:color="auto" w:fill="FFF1E7"/>
            <w:tcMar>
              <w:top w:w="40" w:type="dxa"/>
              <w:bottom w:w="40" w:type="dxa"/>
              <w:right w:w="20" w:type="dxa"/>
            </w:tcMar>
            <w:vAlign w:val="bottom"/>
          </w:tcPr>
          <w:p w14:paraId="1D02658D"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58E"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58F" w14:textId="77777777" w:rsidR="004421F6" w:rsidRDefault="00F15622">
            <w:pPr>
              <w:jc w:val="right"/>
              <w:textAlignment w:val="bottom"/>
            </w:pPr>
            <w:r>
              <w:rPr>
                <w:rFonts w:ascii="Arial" w:eastAsia="宋体" w:hAnsi="Arial" w:cs="Arial"/>
                <w:color w:val="000000"/>
                <w:sz w:val="17"/>
                <w:szCs w:val="17"/>
              </w:rPr>
              <w:t>(857)</w:t>
            </w:r>
          </w:p>
        </w:tc>
        <w:tc>
          <w:tcPr>
            <w:tcW w:w="0" w:type="auto"/>
            <w:tcBorders>
              <w:top w:val="single" w:sz="8" w:space="0" w:color="808080"/>
            </w:tcBorders>
            <w:shd w:val="clear" w:color="auto" w:fill="auto"/>
            <w:tcMar>
              <w:top w:w="40" w:type="dxa"/>
              <w:bottom w:w="40" w:type="dxa"/>
              <w:right w:w="20" w:type="dxa"/>
            </w:tcMar>
            <w:vAlign w:val="bottom"/>
          </w:tcPr>
          <w:p w14:paraId="1D026590" w14:textId="77777777" w:rsidR="004421F6" w:rsidRDefault="004421F6">
            <w:pPr>
              <w:jc w:val="right"/>
              <w:rPr>
                <w:rFonts w:ascii="宋体"/>
              </w:rPr>
            </w:pPr>
          </w:p>
        </w:tc>
        <w:tc>
          <w:tcPr>
            <w:tcW w:w="0" w:type="auto"/>
            <w:shd w:val="clear" w:color="auto" w:fill="auto"/>
          </w:tcPr>
          <w:p w14:paraId="1D026591" w14:textId="77777777" w:rsidR="004421F6" w:rsidRDefault="004421F6">
            <w:pPr>
              <w:rPr>
                <w:rFonts w:ascii="宋体"/>
              </w:rPr>
            </w:pPr>
          </w:p>
        </w:tc>
        <w:tc>
          <w:tcPr>
            <w:tcW w:w="0" w:type="auto"/>
            <w:shd w:val="clear" w:color="auto" w:fill="auto"/>
          </w:tcPr>
          <w:p w14:paraId="1D026592" w14:textId="77777777" w:rsidR="004421F6" w:rsidRDefault="004421F6">
            <w:pPr>
              <w:rPr>
                <w:rFonts w:ascii="宋体"/>
              </w:rPr>
            </w:pPr>
          </w:p>
        </w:tc>
        <w:tc>
          <w:tcPr>
            <w:tcW w:w="0" w:type="auto"/>
            <w:shd w:val="clear" w:color="auto" w:fill="auto"/>
          </w:tcPr>
          <w:p w14:paraId="1D026593" w14:textId="77777777" w:rsidR="004421F6" w:rsidRDefault="004421F6">
            <w:pPr>
              <w:rPr>
                <w:rFonts w:ascii="宋体"/>
              </w:rPr>
            </w:pPr>
          </w:p>
        </w:tc>
        <w:tc>
          <w:tcPr>
            <w:tcW w:w="0" w:type="auto"/>
            <w:shd w:val="clear" w:color="auto" w:fill="auto"/>
          </w:tcPr>
          <w:p w14:paraId="1D026594" w14:textId="77777777" w:rsidR="004421F6" w:rsidRDefault="004421F6">
            <w:pPr>
              <w:rPr>
                <w:rFonts w:ascii="宋体"/>
              </w:rPr>
            </w:pPr>
          </w:p>
        </w:tc>
        <w:tc>
          <w:tcPr>
            <w:tcW w:w="0" w:type="auto"/>
            <w:shd w:val="clear" w:color="auto" w:fill="auto"/>
          </w:tcPr>
          <w:p w14:paraId="1D026595" w14:textId="77777777" w:rsidR="004421F6" w:rsidRDefault="004421F6">
            <w:pPr>
              <w:rPr>
                <w:rFonts w:ascii="宋体"/>
              </w:rPr>
            </w:pPr>
          </w:p>
        </w:tc>
        <w:tc>
          <w:tcPr>
            <w:tcW w:w="0" w:type="auto"/>
            <w:shd w:val="clear" w:color="auto" w:fill="auto"/>
          </w:tcPr>
          <w:p w14:paraId="1D026596" w14:textId="77777777" w:rsidR="004421F6" w:rsidRDefault="004421F6">
            <w:pPr>
              <w:rPr>
                <w:rFonts w:ascii="宋体"/>
              </w:rPr>
            </w:pPr>
          </w:p>
        </w:tc>
      </w:tr>
      <w:tr w:rsidR="004421F6" w14:paraId="1D0265A4"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598" w14:textId="77777777" w:rsidR="004421F6" w:rsidRDefault="00F15622">
            <w:pPr>
              <w:textAlignment w:val="bottom"/>
            </w:pPr>
            <w:r>
              <w:rPr>
                <w:rFonts w:ascii="Arial" w:eastAsia="宋体" w:hAnsi="Arial" w:cs="Arial"/>
                <w:color w:val="000000"/>
                <w:sz w:val="17"/>
                <w:szCs w:val="17"/>
              </w:rPr>
              <w:t>Converse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599" w14:textId="77777777" w:rsidR="004421F6" w:rsidRDefault="00F15622">
            <w:pPr>
              <w:jc w:val="right"/>
              <w:textAlignment w:val="bottom"/>
            </w:pPr>
            <w:r>
              <w:rPr>
                <w:rFonts w:ascii="Arial" w:eastAsia="宋体" w:hAnsi="Arial" w:cs="Arial"/>
                <w:color w:val="000000"/>
                <w:sz w:val="17"/>
                <w:szCs w:val="17"/>
              </w:rPr>
              <w:t>168 </w:t>
            </w:r>
          </w:p>
        </w:tc>
        <w:tc>
          <w:tcPr>
            <w:tcW w:w="0" w:type="auto"/>
            <w:tcBorders>
              <w:top w:val="single" w:sz="8" w:space="0" w:color="808080"/>
            </w:tcBorders>
            <w:shd w:val="clear" w:color="auto" w:fill="FFF1E7"/>
            <w:tcMar>
              <w:top w:w="40" w:type="dxa"/>
              <w:bottom w:w="40" w:type="dxa"/>
              <w:right w:w="20" w:type="dxa"/>
            </w:tcMar>
            <w:vAlign w:val="bottom"/>
          </w:tcPr>
          <w:p w14:paraId="1D02659A"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59B"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59C" w14:textId="77777777" w:rsidR="004421F6" w:rsidRDefault="00F15622">
            <w:pPr>
              <w:jc w:val="right"/>
              <w:textAlignment w:val="bottom"/>
            </w:pPr>
            <w:r>
              <w:rPr>
                <w:rFonts w:ascii="Arial" w:eastAsia="宋体" w:hAnsi="Arial" w:cs="Arial"/>
                <w:color w:val="000000"/>
                <w:sz w:val="17"/>
                <w:szCs w:val="17"/>
              </w:rPr>
              <w:t>138 </w:t>
            </w:r>
          </w:p>
        </w:tc>
        <w:tc>
          <w:tcPr>
            <w:tcW w:w="0" w:type="auto"/>
            <w:tcBorders>
              <w:top w:val="single" w:sz="8" w:space="0" w:color="808080"/>
            </w:tcBorders>
            <w:shd w:val="clear" w:color="auto" w:fill="auto"/>
            <w:tcMar>
              <w:top w:w="40" w:type="dxa"/>
              <w:bottom w:w="40" w:type="dxa"/>
              <w:right w:w="20" w:type="dxa"/>
            </w:tcMar>
            <w:vAlign w:val="bottom"/>
          </w:tcPr>
          <w:p w14:paraId="1D02659D" w14:textId="77777777" w:rsidR="004421F6" w:rsidRDefault="004421F6">
            <w:pPr>
              <w:jc w:val="right"/>
              <w:rPr>
                <w:rFonts w:ascii="宋体"/>
              </w:rPr>
            </w:pPr>
          </w:p>
        </w:tc>
        <w:tc>
          <w:tcPr>
            <w:tcW w:w="0" w:type="auto"/>
            <w:shd w:val="clear" w:color="auto" w:fill="auto"/>
          </w:tcPr>
          <w:p w14:paraId="1D02659E" w14:textId="77777777" w:rsidR="004421F6" w:rsidRDefault="004421F6">
            <w:pPr>
              <w:rPr>
                <w:rFonts w:ascii="宋体"/>
              </w:rPr>
            </w:pPr>
          </w:p>
        </w:tc>
        <w:tc>
          <w:tcPr>
            <w:tcW w:w="0" w:type="auto"/>
            <w:shd w:val="clear" w:color="auto" w:fill="auto"/>
          </w:tcPr>
          <w:p w14:paraId="1D02659F" w14:textId="77777777" w:rsidR="004421F6" w:rsidRDefault="004421F6">
            <w:pPr>
              <w:rPr>
                <w:rFonts w:ascii="宋体"/>
              </w:rPr>
            </w:pPr>
          </w:p>
        </w:tc>
        <w:tc>
          <w:tcPr>
            <w:tcW w:w="0" w:type="auto"/>
            <w:shd w:val="clear" w:color="auto" w:fill="auto"/>
          </w:tcPr>
          <w:p w14:paraId="1D0265A0" w14:textId="77777777" w:rsidR="004421F6" w:rsidRDefault="004421F6">
            <w:pPr>
              <w:rPr>
                <w:rFonts w:ascii="宋体"/>
              </w:rPr>
            </w:pPr>
          </w:p>
        </w:tc>
        <w:tc>
          <w:tcPr>
            <w:tcW w:w="0" w:type="auto"/>
            <w:shd w:val="clear" w:color="auto" w:fill="auto"/>
          </w:tcPr>
          <w:p w14:paraId="1D0265A1" w14:textId="77777777" w:rsidR="004421F6" w:rsidRDefault="004421F6">
            <w:pPr>
              <w:rPr>
                <w:rFonts w:ascii="宋体"/>
              </w:rPr>
            </w:pPr>
          </w:p>
        </w:tc>
        <w:tc>
          <w:tcPr>
            <w:tcW w:w="0" w:type="auto"/>
            <w:shd w:val="clear" w:color="auto" w:fill="auto"/>
          </w:tcPr>
          <w:p w14:paraId="1D0265A2" w14:textId="77777777" w:rsidR="004421F6" w:rsidRDefault="004421F6">
            <w:pPr>
              <w:rPr>
                <w:rFonts w:ascii="宋体"/>
              </w:rPr>
            </w:pPr>
          </w:p>
        </w:tc>
        <w:tc>
          <w:tcPr>
            <w:tcW w:w="0" w:type="auto"/>
            <w:shd w:val="clear" w:color="auto" w:fill="auto"/>
          </w:tcPr>
          <w:p w14:paraId="1D0265A3" w14:textId="77777777" w:rsidR="004421F6" w:rsidRDefault="004421F6">
            <w:pPr>
              <w:rPr>
                <w:rFonts w:ascii="宋体"/>
              </w:rPr>
            </w:pPr>
          </w:p>
        </w:tc>
      </w:tr>
      <w:tr w:rsidR="004421F6" w14:paraId="1D0265B1"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5A5" w14:textId="77777777" w:rsidR="004421F6" w:rsidRDefault="00F15622">
            <w:pPr>
              <w:textAlignment w:val="bottom"/>
            </w:pPr>
            <w:r>
              <w:rPr>
                <w:rFonts w:ascii="Arial" w:eastAsia="宋体" w:hAnsi="Arial" w:cs="Arial"/>
                <w:color w:val="000000"/>
                <w:sz w:val="17"/>
                <w:szCs w:val="17"/>
              </w:rPr>
              <w:t>Corporate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5A6" w14:textId="77777777" w:rsidR="004421F6" w:rsidRDefault="00F15622">
            <w:pPr>
              <w:jc w:val="right"/>
              <w:textAlignment w:val="bottom"/>
            </w:pPr>
            <w:r>
              <w:rPr>
                <w:rFonts w:ascii="Arial" w:eastAsia="宋体" w:hAnsi="Arial" w:cs="Arial"/>
                <w:color w:val="000000"/>
                <w:sz w:val="17"/>
                <w:szCs w:val="17"/>
              </w:rPr>
              <w:t>(497)</w:t>
            </w:r>
          </w:p>
        </w:tc>
        <w:tc>
          <w:tcPr>
            <w:tcW w:w="0" w:type="auto"/>
            <w:tcBorders>
              <w:top w:val="single" w:sz="8" w:space="0" w:color="808080"/>
            </w:tcBorders>
            <w:shd w:val="clear" w:color="auto" w:fill="FFF1E7"/>
            <w:tcMar>
              <w:top w:w="40" w:type="dxa"/>
              <w:bottom w:w="40" w:type="dxa"/>
              <w:right w:w="20" w:type="dxa"/>
            </w:tcMar>
            <w:vAlign w:val="bottom"/>
          </w:tcPr>
          <w:p w14:paraId="1D0265A7"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5A8"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5A9" w14:textId="77777777" w:rsidR="004421F6" w:rsidRDefault="00F15622">
            <w:pPr>
              <w:jc w:val="right"/>
              <w:textAlignment w:val="bottom"/>
            </w:pPr>
            <w:r>
              <w:rPr>
                <w:rFonts w:ascii="Arial" w:eastAsia="宋体" w:hAnsi="Arial" w:cs="Arial"/>
                <w:color w:val="000000"/>
                <w:sz w:val="17"/>
                <w:szCs w:val="17"/>
              </w:rPr>
              <w:t>(424)</w:t>
            </w:r>
          </w:p>
        </w:tc>
        <w:tc>
          <w:tcPr>
            <w:tcW w:w="0" w:type="auto"/>
            <w:tcBorders>
              <w:top w:val="single" w:sz="8" w:space="0" w:color="808080"/>
            </w:tcBorders>
            <w:shd w:val="clear" w:color="auto" w:fill="auto"/>
            <w:tcMar>
              <w:top w:w="40" w:type="dxa"/>
              <w:bottom w:w="40" w:type="dxa"/>
              <w:right w:w="20" w:type="dxa"/>
            </w:tcMar>
            <w:vAlign w:val="bottom"/>
          </w:tcPr>
          <w:p w14:paraId="1D0265AA" w14:textId="77777777" w:rsidR="004421F6" w:rsidRDefault="004421F6">
            <w:pPr>
              <w:jc w:val="right"/>
              <w:rPr>
                <w:rFonts w:ascii="宋体"/>
              </w:rPr>
            </w:pPr>
          </w:p>
        </w:tc>
        <w:tc>
          <w:tcPr>
            <w:tcW w:w="0" w:type="auto"/>
            <w:shd w:val="clear" w:color="auto" w:fill="auto"/>
          </w:tcPr>
          <w:p w14:paraId="1D0265AB" w14:textId="77777777" w:rsidR="004421F6" w:rsidRDefault="004421F6">
            <w:pPr>
              <w:rPr>
                <w:rFonts w:ascii="宋体"/>
              </w:rPr>
            </w:pPr>
          </w:p>
        </w:tc>
        <w:tc>
          <w:tcPr>
            <w:tcW w:w="0" w:type="auto"/>
            <w:shd w:val="clear" w:color="auto" w:fill="auto"/>
          </w:tcPr>
          <w:p w14:paraId="1D0265AC" w14:textId="77777777" w:rsidR="004421F6" w:rsidRDefault="004421F6">
            <w:pPr>
              <w:rPr>
                <w:rFonts w:ascii="宋体"/>
              </w:rPr>
            </w:pPr>
          </w:p>
        </w:tc>
        <w:tc>
          <w:tcPr>
            <w:tcW w:w="0" w:type="auto"/>
            <w:shd w:val="clear" w:color="auto" w:fill="auto"/>
          </w:tcPr>
          <w:p w14:paraId="1D0265AD" w14:textId="77777777" w:rsidR="004421F6" w:rsidRDefault="004421F6">
            <w:pPr>
              <w:rPr>
                <w:rFonts w:ascii="宋体"/>
              </w:rPr>
            </w:pPr>
          </w:p>
        </w:tc>
        <w:tc>
          <w:tcPr>
            <w:tcW w:w="0" w:type="auto"/>
            <w:shd w:val="clear" w:color="auto" w:fill="auto"/>
          </w:tcPr>
          <w:p w14:paraId="1D0265AE" w14:textId="77777777" w:rsidR="004421F6" w:rsidRDefault="004421F6">
            <w:pPr>
              <w:rPr>
                <w:rFonts w:ascii="宋体"/>
              </w:rPr>
            </w:pPr>
          </w:p>
        </w:tc>
        <w:tc>
          <w:tcPr>
            <w:tcW w:w="0" w:type="auto"/>
            <w:shd w:val="clear" w:color="auto" w:fill="auto"/>
          </w:tcPr>
          <w:p w14:paraId="1D0265AF" w14:textId="77777777" w:rsidR="004421F6" w:rsidRDefault="004421F6">
            <w:pPr>
              <w:rPr>
                <w:rFonts w:ascii="宋体"/>
              </w:rPr>
            </w:pPr>
          </w:p>
        </w:tc>
        <w:tc>
          <w:tcPr>
            <w:tcW w:w="0" w:type="auto"/>
            <w:shd w:val="clear" w:color="auto" w:fill="auto"/>
          </w:tcPr>
          <w:p w14:paraId="1D0265B0" w14:textId="77777777" w:rsidR="004421F6" w:rsidRDefault="004421F6">
            <w:pPr>
              <w:rPr>
                <w:rFonts w:ascii="宋体"/>
              </w:rPr>
            </w:pPr>
          </w:p>
        </w:tc>
      </w:tr>
      <w:tr w:rsidR="004421F6" w14:paraId="1D0265BE"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5B2" w14:textId="77777777" w:rsidR="004421F6" w:rsidRDefault="00F15622">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5B3" w14:textId="77777777" w:rsidR="004421F6" w:rsidRDefault="00F15622">
            <w:pPr>
              <w:jc w:val="right"/>
              <w:textAlignment w:val="bottom"/>
            </w:pPr>
            <w:r>
              <w:rPr>
                <w:rFonts w:ascii="Arial" w:eastAsia="宋体" w:hAnsi="Arial" w:cs="Arial"/>
                <w:color w:val="000000"/>
                <w:sz w:val="17"/>
                <w:szCs w:val="17"/>
              </w:rPr>
              <w:t>65 </w:t>
            </w:r>
          </w:p>
        </w:tc>
        <w:tc>
          <w:tcPr>
            <w:tcW w:w="0" w:type="auto"/>
            <w:tcBorders>
              <w:top w:val="single" w:sz="8" w:space="0" w:color="808080"/>
            </w:tcBorders>
            <w:shd w:val="clear" w:color="auto" w:fill="FFF1E7"/>
            <w:tcMar>
              <w:top w:w="40" w:type="dxa"/>
              <w:bottom w:w="40" w:type="dxa"/>
              <w:right w:w="20" w:type="dxa"/>
            </w:tcMar>
            <w:vAlign w:val="bottom"/>
          </w:tcPr>
          <w:p w14:paraId="1D0265B4"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5B5"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5B6" w14:textId="77777777" w:rsidR="004421F6" w:rsidRDefault="00F15622">
            <w:pPr>
              <w:jc w:val="right"/>
              <w:textAlignment w:val="bottom"/>
            </w:pPr>
            <w:r>
              <w:rPr>
                <w:rFonts w:ascii="Arial" w:eastAsia="宋体" w:hAnsi="Arial" w:cs="Arial"/>
                <w:color w:val="000000"/>
                <w:sz w:val="17"/>
                <w:szCs w:val="17"/>
              </w:rPr>
              <w:t>15 </w:t>
            </w:r>
          </w:p>
        </w:tc>
        <w:tc>
          <w:tcPr>
            <w:tcW w:w="0" w:type="auto"/>
            <w:tcBorders>
              <w:top w:val="single" w:sz="8" w:space="0" w:color="808080"/>
            </w:tcBorders>
            <w:shd w:val="clear" w:color="auto" w:fill="auto"/>
            <w:tcMar>
              <w:top w:w="40" w:type="dxa"/>
              <w:bottom w:w="40" w:type="dxa"/>
              <w:right w:w="20" w:type="dxa"/>
            </w:tcMar>
            <w:vAlign w:val="bottom"/>
          </w:tcPr>
          <w:p w14:paraId="1D0265B7" w14:textId="77777777" w:rsidR="004421F6" w:rsidRDefault="004421F6">
            <w:pPr>
              <w:jc w:val="right"/>
              <w:rPr>
                <w:rFonts w:ascii="宋体"/>
              </w:rPr>
            </w:pPr>
          </w:p>
        </w:tc>
        <w:tc>
          <w:tcPr>
            <w:tcW w:w="0" w:type="auto"/>
            <w:shd w:val="clear" w:color="auto" w:fill="auto"/>
          </w:tcPr>
          <w:p w14:paraId="1D0265B8" w14:textId="77777777" w:rsidR="004421F6" w:rsidRDefault="004421F6">
            <w:pPr>
              <w:rPr>
                <w:rFonts w:ascii="宋体"/>
              </w:rPr>
            </w:pPr>
          </w:p>
        </w:tc>
        <w:tc>
          <w:tcPr>
            <w:tcW w:w="0" w:type="auto"/>
            <w:shd w:val="clear" w:color="auto" w:fill="auto"/>
          </w:tcPr>
          <w:p w14:paraId="1D0265B9" w14:textId="77777777" w:rsidR="004421F6" w:rsidRDefault="004421F6">
            <w:pPr>
              <w:rPr>
                <w:rFonts w:ascii="宋体"/>
              </w:rPr>
            </w:pPr>
          </w:p>
        </w:tc>
        <w:tc>
          <w:tcPr>
            <w:tcW w:w="0" w:type="auto"/>
            <w:shd w:val="clear" w:color="auto" w:fill="auto"/>
          </w:tcPr>
          <w:p w14:paraId="1D0265BA" w14:textId="77777777" w:rsidR="004421F6" w:rsidRDefault="004421F6">
            <w:pPr>
              <w:rPr>
                <w:rFonts w:ascii="宋体"/>
              </w:rPr>
            </w:pPr>
          </w:p>
        </w:tc>
        <w:tc>
          <w:tcPr>
            <w:tcW w:w="0" w:type="auto"/>
            <w:shd w:val="clear" w:color="auto" w:fill="auto"/>
          </w:tcPr>
          <w:p w14:paraId="1D0265BB" w14:textId="77777777" w:rsidR="004421F6" w:rsidRDefault="004421F6">
            <w:pPr>
              <w:rPr>
                <w:rFonts w:ascii="宋体"/>
              </w:rPr>
            </w:pPr>
          </w:p>
        </w:tc>
        <w:tc>
          <w:tcPr>
            <w:tcW w:w="0" w:type="auto"/>
            <w:shd w:val="clear" w:color="auto" w:fill="auto"/>
          </w:tcPr>
          <w:p w14:paraId="1D0265BC" w14:textId="77777777" w:rsidR="004421F6" w:rsidRDefault="004421F6">
            <w:pPr>
              <w:rPr>
                <w:rFonts w:ascii="宋体"/>
              </w:rPr>
            </w:pPr>
          </w:p>
        </w:tc>
        <w:tc>
          <w:tcPr>
            <w:tcW w:w="0" w:type="auto"/>
            <w:shd w:val="clear" w:color="auto" w:fill="auto"/>
          </w:tcPr>
          <w:p w14:paraId="1D0265BD" w14:textId="77777777" w:rsidR="004421F6" w:rsidRDefault="004421F6">
            <w:pPr>
              <w:rPr>
                <w:rFonts w:ascii="宋体"/>
              </w:rPr>
            </w:pPr>
          </w:p>
        </w:tc>
      </w:tr>
      <w:tr w:rsidR="004421F6" w14:paraId="1D0265CD"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65BF" w14:textId="77777777" w:rsidR="004421F6" w:rsidRDefault="00F15622">
            <w:pPr>
              <w:textAlignment w:val="bottom"/>
            </w:pPr>
            <w:r>
              <w:rPr>
                <w:rFonts w:ascii="Arial" w:eastAsia="宋体" w:hAnsi="Arial" w:cs="Arial"/>
                <w:b/>
                <w:bCs/>
                <w:color w:val="000000"/>
                <w:sz w:val="17"/>
                <w:szCs w:val="17"/>
              </w:rPr>
              <w:t>TOTAL NIKE, INC. INCOME BEFORE INCOME TAXES</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5C0"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5C1" w14:textId="77777777" w:rsidR="004421F6" w:rsidRDefault="00F15622">
            <w:pPr>
              <w:jc w:val="right"/>
              <w:textAlignment w:val="bottom"/>
            </w:pPr>
            <w:r>
              <w:rPr>
                <w:rFonts w:ascii="Arial" w:eastAsia="宋体" w:hAnsi="Arial" w:cs="Arial"/>
                <w:b/>
                <w:bCs/>
                <w:color w:val="000000"/>
                <w:sz w:val="17"/>
                <w:szCs w:val="17"/>
              </w:rPr>
              <w:t>1,715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5C2" w14:textId="77777777" w:rsidR="004421F6" w:rsidRDefault="004421F6">
            <w:pPr>
              <w:jc w:val="right"/>
              <w:rPr>
                <w:rFonts w:ascii="宋体"/>
              </w:rPr>
            </w:pPr>
          </w:p>
        </w:tc>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65C3" w14:textId="77777777" w:rsidR="004421F6" w:rsidRDefault="004421F6">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5C4"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5C5" w14:textId="77777777" w:rsidR="004421F6" w:rsidRDefault="00F15622">
            <w:pPr>
              <w:jc w:val="right"/>
              <w:textAlignment w:val="bottom"/>
            </w:pPr>
            <w:r>
              <w:rPr>
                <w:rFonts w:ascii="Arial" w:eastAsia="宋体" w:hAnsi="Arial" w:cs="Arial"/>
                <w:b/>
                <w:bCs/>
                <w:color w:val="000000"/>
                <w:sz w:val="17"/>
                <w:szCs w:val="17"/>
              </w:rPr>
              <w:t>1,561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5C6" w14:textId="77777777" w:rsidR="004421F6" w:rsidRDefault="004421F6">
            <w:pPr>
              <w:jc w:val="right"/>
              <w:rPr>
                <w:rFonts w:ascii="宋体"/>
              </w:rPr>
            </w:pPr>
          </w:p>
        </w:tc>
        <w:tc>
          <w:tcPr>
            <w:tcW w:w="0" w:type="auto"/>
            <w:shd w:val="clear" w:color="auto" w:fill="auto"/>
          </w:tcPr>
          <w:p w14:paraId="1D0265C7" w14:textId="77777777" w:rsidR="004421F6" w:rsidRDefault="004421F6">
            <w:pPr>
              <w:rPr>
                <w:rFonts w:ascii="宋体"/>
              </w:rPr>
            </w:pPr>
          </w:p>
        </w:tc>
        <w:tc>
          <w:tcPr>
            <w:tcW w:w="0" w:type="auto"/>
            <w:shd w:val="clear" w:color="auto" w:fill="auto"/>
          </w:tcPr>
          <w:p w14:paraId="1D0265C8" w14:textId="77777777" w:rsidR="004421F6" w:rsidRDefault="004421F6">
            <w:pPr>
              <w:rPr>
                <w:rFonts w:ascii="宋体"/>
              </w:rPr>
            </w:pPr>
          </w:p>
        </w:tc>
        <w:tc>
          <w:tcPr>
            <w:tcW w:w="0" w:type="auto"/>
            <w:shd w:val="clear" w:color="auto" w:fill="auto"/>
          </w:tcPr>
          <w:p w14:paraId="1D0265C9" w14:textId="77777777" w:rsidR="004421F6" w:rsidRDefault="004421F6">
            <w:pPr>
              <w:rPr>
                <w:rFonts w:ascii="宋体"/>
              </w:rPr>
            </w:pPr>
          </w:p>
        </w:tc>
        <w:tc>
          <w:tcPr>
            <w:tcW w:w="0" w:type="auto"/>
            <w:shd w:val="clear" w:color="auto" w:fill="auto"/>
          </w:tcPr>
          <w:p w14:paraId="1D0265CA" w14:textId="77777777" w:rsidR="004421F6" w:rsidRDefault="004421F6">
            <w:pPr>
              <w:rPr>
                <w:rFonts w:ascii="宋体"/>
              </w:rPr>
            </w:pPr>
          </w:p>
        </w:tc>
        <w:tc>
          <w:tcPr>
            <w:tcW w:w="0" w:type="auto"/>
            <w:shd w:val="clear" w:color="auto" w:fill="auto"/>
          </w:tcPr>
          <w:p w14:paraId="1D0265CB" w14:textId="77777777" w:rsidR="004421F6" w:rsidRDefault="004421F6">
            <w:pPr>
              <w:rPr>
                <w:rFonts w:ascii="宋体"/>
              </w:rPr>
            </w:pPr>
          </w:p>
        </w:tc>
        <w:tc>
          <w:tcPr>
            <w:tcW w:w="0" w:type="auto"/>
            <w:shd w:val="clear" w:color="auto" w:fill="auto"/>
          </w:tcPr>
          <w:p w14:paraId="1D0265CC" w14:textId="77777777" w:rsidR="004421F6" w:rsidRDefault="004421F6">
            <w:pPr>
              <w:rPr>
                <w:rFonts w:ascii="宋体"/>
              </w:rPr>
            </w:pPr>
          </w:p>
        </w:tc>
      </w:tr>
    </w:tbl>
    <w:p w14:paraId="1D0265CE" w14:textId="77777777" w:rsidR="004421F6" w:rsidRDefault="004421F6">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376"/>
        <w:gridCol w:w="37"/>
        <w:gridCol w:w="130"/>
        <w:gridCol w:w="1236"/>
        <w:gridCol w:w="41"/>
        <w:gridCol w:w="36"/>
        <w:gridCol w:w="36"/>
        <w:gridCol w:w="36"/>
        <w:gridCol w:w="130"/>
        <w:gridCol w:w="1199"/>
        <w:gridCol w:w="41"/>
      </w:tblGrid>
      <w:tr w:rsidR="004421F6" w14:paraId="1D0265DB" w14:textId="77777777">
        <w:trPr>
          <w:jc w:val="center"/>
        </w:trPr>
        <w:tc>
          <w:tcPr>
            <w:tcW w:w="50" w:type="pct"/>
            <w:shd w:val="clear" w:color="auto" w:fill="auto"/>
          </w:tcPr>
          <w:p w14:paraId="1D0265CF" w14:textId="77777777" w:rsidR="004421F6" w:rsidRDefault="004421F6">
            <w:pPr>
              <w:rPr>
                <w:rFonts w:ascii="宋体"/>
              </w:rPr>
            </w:pPr>
          </w:p>
        </w:tc>
        <w:tc>
          <w:tcPr>
            <w:tcW w:w="3255" w:type="pct"/>
            <w:shd w:val="clear" w:color="auto" w:fill="auto"/>
          </w:tcPr>
          <w:p w14:paraId="1D0265D0" w14:textId="77777777" w:rsidR="004421F6" w:rsidRDefault="004421F6">
            <w:pPr>
              <w:rPr>
                <w:rFonts w:ascii="宋体"/>
              </w:rPr>
            </w:pPr>
          </w:p>
        </w:tc>
        <w:tc>
          <w:tcPr>
            <w:tcW w:w="5" w:type="pct"/>
            <w:shd w:val="clear" w:color="auto" w:fill="auto"/>
          </w:tcPr>
          <w:p w14:paraId="1D0265D1" w14:textId="77777777" w:rsidR="004421F6" w:rsidRDefault="004421F6">
            <w:pPr>
              <w:rPr>
                <w:rFonts w:ascii="宋体"/>
              </w:rPr>
            </w:pPr>
          </w:p>
        </w:tc>
        <w:tc>
          <w:tcPr>
            <w:tcW w:w="50" w:type="pct"/>
            <w:shd w:val="clear" w:color="auto" w:fill="auto"/>
          </w:tcPr>
          <w:p w14:paraId="1D0265D2" w14:textId="77777777" w:rsidR="004421F6" w:rsidRDefault="004421F6">
            <w:pPr>
              <w:rPr>
                <w:rFonts w:ascii="宋体"/>
              </w:rPr>
            </w:pPr>
          </w:p>
        </w:tc>
        <w:tc>
          <w:tcPr>
            <w:tcW w:w="770" w:type="pct"/>
            <w:shd w:val="clear" w:color="auto" w:fill="auto"/>
          </w:tcPr>
          <w:p w14:paraId="1D0265D3" w14:textId="77777777" w:rsidR="004421F6" w:rsidRDefault="004421F6">
            <w:pPr>
              <w:rPr>
                <w:rFonts w:ascii="宋体"/>
              </w:rPr>
            </w:pPr>
          </w:p>
        </w:tc>
        <w:tc>
          <w:tcPr>
            <w:tcW w:w="5" w:type="pct"/>
            <w:shd w:val="clear" w:color="auto" w:fill="auto"/>
          </w:tcPr>
          <w:p w14:paraId="1D0265D4" w14:textId="77777777" w:rsidR="004421F6" w:rsidRDefault="004421F6">
            <w:pPr>
              <w:rPr>
                <w:rFonts w:ascii="宋体"/>
              </w:rPr>
            </w:pPr>
          </w:p>
        </w:tc>
        <w:tc>
          <w:tcPr>
            <w:tcW w:w="5" w:type="pct"/>
            <w:shd w:val="clear" w:color="auto" w:fill="auto"/>
          </w:tcPr>
          <w:p w14:paraId="1D0265D5" w14:textId="77777777" w:rsidR="004421F6" w:rsidRDefault="004421F6">
            <w:pPr>
              <w:rPr>
                <w:rFonts w:ascii="宋体"/>
              </w:rPr>
            </w:pPr>
          </w:p>
        </w:tc>
        <w:tc>
          <w:tcPr>
            <w:tcW w:w="28" w:type="pct"/>
            <w:shd w:val="clear" w:color="auto" w:fill="auto"/>
          </w:tcPr>
          <w:p w14:paraId="1D0265D6" w14:textId="77777777" w:rsidR="004421F6" w:rsidRDefault="004421F6">
            <w:pPr>
              <w:rPr>
                <w:rFonts w:ascii="宋体"/>
              </w:rPr>
            </w:pPr>
          </w:p>
        </w:tc>
        <w:tc>
          <w:tcPr>
            <w:tcW w:w="5" w:type="pct"/>
            <w:shd w:val="clear" w:color="auto" w:fill="auto"/>
          </w:tcPr>
          <w:p w14:paraId="1D0265D7" w14:textId="77777777" w:rsidR="004421F6" w:rsidRDefault="004421F6">
            <w:pPr>
              <w:rPr>
                <w:rFonts w:ascii="宋体"/>
              </w:rPr>
            </w:pPr>
          </w:p>
        </w:tc>
        <w:tc>
          <w:tcPr>
            <w:tcW w:w="50" w:type="pct"/>
            <w:shd w:val="clear" w:color="auto" w:fill="auto"/>
          </w:tcPr>
          <w:p w14:paraId="1D0265D8" w14:textId="77777777" w:rsidR="004421F6" w:rsidRDefault="004421F6">
            <w:pPr>
              <w:rPr>
                <w:rFonts w:ascii="宋体"/>
              </w:rPr>
            </w:pPr>
          </w:p>
        </w:tc>
        <w:tc>
          <w:tcPr>
            <w:tcW w:w="770" w:type="pct"/>
            <w:shd w:val="clear" w:color="auto" w:fill="auto"/>
          </w:tcPr>
          <w:p w14:paraId="1D0265D9" w14:textId="77777777" w:rsidR="004421F6" w:rsidRDefault="004421F6">
            <w:pPr>
              <w:rPr>
                <w:rFonts w:ascii="宋体"/>
              </w:rPr>
            </w:pPr>
          </w:p>
        </w:tc>
        <w:tc>
          <w:tcPr>
            <w:tcW w:w="5" w:type="pct"/>
            <w:shd w:val="clear" w:color="auto" w:fill="auto"/>
          </w:tcPr>
          <w:p w14:paraId="1D0265DA" w14:textId="77777777" w:rsidR="004421F6" w:rsidRDefault="004421F6">
            <w:pPr>
              <w:rPr>
                <w:rFonts w:ascii="宋体"/>
              </w:rPr>
            </w:pPr>
          </w:p>
        </w:tc>
      </w:tr>
      <w:tr w:rsidR="004421F6" w14:paraId="1D0265E0" w14:textId="77777777">
        <w:trPr>
          <w:jc w:val="center"/>
        </w:trPr>
        <w:tc>
          <w:tcPr>
            <w:tcW w:w="0" w:type="auto"/>
            <w:gridSpan w:val="3"/>
            <w:shd w:val="clear" w:color="auto" w:fill="auto"/>
            <w:tcMar>
              <w:left w:w="20" w:type="dxa"/>
              <w:right w:w="20" w:type="dxa"/>
            </w:tcMar>
            <w:vAlign w:val="bottom"/>
          </w:tcPr>
          <w:p w14:paraId="1D0265DC" w14:textId="77777777" w:rsidR="004421F6" w:rsidRDefault="004421F6">
            <w:pPr>
              <w:rPr>
                <w:rFonts w:ascii="宋体"/>
              </w:rPr>
            </w:pPr>
          </w:p>
        </w:tc>
        <w:tc>
          <w:tcPr>
            <w:tcW w:w="0" w:type="auto"/>
            <w:gridSpan w:val="3"/>
            <w:shd w:val="clear" w:color="auto" w:fill="auto"/>
            <w:tcMar>
              <w:top w:w="40" w:type="dxa"/>
              <w:left w:w="20" w:type="dxa"/>
              <w:bottom w:w="40" w:type="dxa"/>
              <w:right w:w="20" w:type="dxa"/>
            </w:tcMar>
            <w:vAlign w:val="bottom"/>
          </w:tcPr>
          <w:p w14:paraId="1D0265DD" w14:textId="77777777" w:rsidR="004421F6" w:rsidRDefault="00F15622">
            <w:pPr>
              <w:jc w:val="center"/>
              <w:textAlignment w:val="bottom"/>
            </w:pPr>
            <w:r>
              <w:rPr>
                <w:rFonts w:ascii="sans-serif" w:eastAsia="sans-serif" w:hAnsi="sans-serif" w:cs="sans-serif"/>
                <w:b/>
                <w:bCs/>
                <w:color w:val="000000"/>
                <w:sz w:val="17"/>
                <w:szCs w:val="17"/>
              </w:rPr>
              <w:t>AUGUST 31,</w:t>
            </w:r>
          </w:p>
        </w:tc>
        <w:tc>
          <w:tcPr>
            <w:tcW w:w="0" w:type="auto"/>
            <w:gridSpan w:val="3"/>
            <w:shd w:val="clear" w:color="auto" w:fill="auto"/>
            <w:tcMar>
              <w:left w:w="20" w:type="dxa"/>
              <w:right w:w="20" w:type="dxa"/>
            </w:tcMar>
            <w:vAlign w:val="bottom"/>
          </w:tcPr>
          <w:p w14:paraId="1D0265DE" w14:textId="77777777" w:rsidR="004421F6" w:rsidRDefault="004421F6">
            <w:pPr>
              <w:rPr>
                <w:rFonts w:ascii="宋体"/>
              </w:rPr>
            </w:pPr>
          </w:p>
        </w:tc>
        <w:tc>
          <w:tcPr>
            <w:tcW w:w="0" w:type="auto"/>
            <w:gridSpan w:val="3"/>
            <w:shd w:val="clear" w:color="auto" w:fill="auto"/>
            <w:tcMar>
              <w:top w:w="40" w:type="dxa"/>
              <w:left w:w="20" w:type="dxa"/>
              <w:bottom w:w="40" w:type="dxa"/>
              <w:right w:w="20" w:type="dxa"/>
            </w:tcMar>
            <w:vAlign w:val="bottom"/>
          </w:tcPr>
          <w:p w14:paraId="1D0265DF" w14:textId="77777777" w:rsidR="004421F6" w:rsidRDefault="00F15622">
            <w:pPr>
              <w:jc w:val="center"/>
              <w:textAlignment w:val="bottom"/>
            </w:pPr>
            <w:r>
              <w:rPr>
                <w:rFonts w:ascii="sans-serif" w:eastAsia="sans-serif" w:hAnsi="sans-serif" w:cs="sans-serif"/>
                <w:b/>
                <w:bCs/>
                <w:color w:val="000000"/>
                <w:sz w:val="17"/>
                <w:szCs w:val="17"/>
              </w:rPr>
              <w:t>MAY 31,</w:t>
            </w:r>
          </w:p>
        </w:tc>
      </w:tr>
      <w:tr w:rsidR="004421F6" w14:paraId="1D0265E5" w14:textId="77777777">
        <w:trPr>
          <w:jc w:val="center"/>
        </w:trPr>
        <w:tc>
          <w:tcPr>
            <w:tcW w:w="0" w:type="auto"/>
            <w:gridSpan w:val="3"/>
            <w:shd w:val="clear" w:color="auto" w:fill="auto"/>
            <w:tcMar>
              <w:top w:w="40" w:type="dxa"/>
              <w:left w:w="20" w:type="dxa"/>
              <w:bottom w:w="40" w:type="dxa"/>
              <w:right w:w="20" w:type="dxa"/>
            </w:tcMar>
            <w:vAlign w:val="bottom"/>
          </w:tcPr>
          <w:p w14:paraId="1D0265E1"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5E2"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left w:w="20" w:type="dxa"/>
              <w:right w:w="20" w:type="dxa"/>
            </w:tcMar>
            <w:vAlign w:val="bottom"/>
          </w:tcPr>
          <w:p w14:paraId="1D0265E3" w14:textId="77777777" w:rsidR="004421F6" w:rsidRDefault="004421F6">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5E4" w14:textId="77777777" w:rsidR="004421F6" w:rsidRDefault="00F15622">
            <w:pPr>
              <w:jc w:val="center"/>
              <w:textAlignment w:val="bottom"/>
            </w:pPr>
            <w:r>
              <w:rPr>
                <w:rFonts w:ascii="sans-serif" w:eastAsia="sans-serif" w:hAnsi="sans-serif" w:cs="sans-serif"/>
                <w:b/>
                <w:bCs/>
                <w:color w:val="000000"/>
                <w:sz w:val="17"/>
                <w:szCs w:val="17"/>
              </w:rPr>
              <w:t>2020</w:t>
            </w:r>
          </w:p>
        </w:tc>
      </w:tr>
      <w:tr w:rsidR="004421F6" w14:paraId="1D0265EA"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5E6" w14:textId="77777777" w:rsidR="004421F6" w:rsidRDefault="00F15622">
            <w:pPr>
              <w:textAlignment w:val="bottom"/>
            </w:pPr>
            <w:r>
              <w:rPr>
                <w:rFonts w:ascii="Arial" w:eastAsia="宋体" w:hAnsi="Arial" w:cs="Arial"/>
                <w:b/>
                <w:bCs/>
                <w:color w:val="000000"/>
                <w:sz w:val="17"/>
                <w:szCs w:val="17"/>
              </w:rPr>
              <w:t>ACCOUNTS RECEIVABLE, NET</w:t>
            </w:r>
          </w:p>
        </w:tc>
        <w:tc>
          <w:tcPr>
            <w:tcW w:w="0" w:type="auto"/>
            <w:gridSpan w:val="3"/>
            <w:tcBorders>
              <w:top w:val="single" w:sz="8" w:space="0" w:color="E87722"/>
            </w:tcBorders>
            <w:shd w:val="clear" w:color="auto" w:fill="FFF1E7"/>
            <w:tcMar>
              <w:left w:w="20" w:type="dxa"/>
              <w:right w:w="20" w:type="dxa"/>
            </w:tcMar>
            <w:vAlign w:val="bottom"/>
          </w:tcPr>
          <w:p w14:paraId="1D0265E7"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5E8"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5E9" w14:textId="77777777" w:rsidR="004421F6" w:rsidRDefault="004421F6">
            <w:pPr>
              <w:rPr>
                <w:rFonts w:ascii="宋体"/>
              </w:rPr>
            </w:pPr>
          </w:p>
        </w:tc>
      </w:tr>
      <w:tr w:rsidR="004421F6" w14:paraId="1D0265F3"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5EB" w14:textId="77777777" w:rsidR="004421F6" w:rsidRDefault="00F15622">
            <w:pPr>
              <w:textAlignment w:val="bottom"/>
            </w:pPr>
            <w:r>
              <w:rPr>
                <w:rFonts w:ascii="Arial" w:eastAsia="宋体" w:hAnsi="Arial" w:cs="Arial"/>
                <w:color w:val="000000"/>
                <w:sz w:val="17"/>
                <w:szCs w:val="17"/>
              </w:rPr>
              <w:t>North America</w:t>
            </w:r>
          </w:p>
        </w:tc>
        <w:tc>
          <w:tcPr>
            <w:tcW w:w="0" w:type="auto"/>
            <w:tcBorders>
              <w:top w:val="single" w:sz="8" w:space="0" w:color="808080"/>
            </w:tcBorders>
            <w:shd w:val="clear" w:color="auto" w:fill="FFF1E7"/>
            <w:tcMar>
              <w:top w:w="40" w:type="dxa"/>
              <w:left w:w="20" w:type="dxa"/>
              <w:bottom w:w="40" w:type="dxa"/>
            </w:tcMar>
            <w:vAlign w:val="bottom"/>
          </w:tcPr>
          <w:p w14:paraId="1D0265EC"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5ED" w14:textId="77777777" w:rsidR="004421F6" w:rsidRDefault="00F15622">
            <w:pPr>
              <w:jc w:val="right"/>
              <w:textAlignment w:val="bottom"/>
            </w:pPr>
            <w:r>
              <w:rPr>
                <w:rFonts w:ascii="Arial" w:eastAsia="宋体" w:hAnsi="Arial" w:cs="Arial"/>
                <w:color w:val="000000"/>
                <w:sz w:val="17"/>
                <w:szCs w:val="17"/>
              </w:rPr>
              <w:t>1,256 </w:t>
            </w:r>
          </w:p>
        </w:tc>
        <w:tc>
          <w:tcPr>
            <w:tcW w:w="0" w:type="auto"/>
            <w:tcBorders>
              <w:top w:val="single" w:sz="8" w:space="0" w:color="808080"/>
            </w:tcBorders>
            <w:shd w:val="clear" w:color="auto" w:fill="FFF1E7"/>
            <w:tcMar>
              <w:top w:w="40" w:type="dxa"/>
              <w:bottom w:w="40" w:type="dxa"/>
              <w:right w:w="20" w:type="dxa"/>
            </w:tcMar>
            <w:vAlign w:val="bottom"/>
          </w:tcPr>
          <w:p w14:paraId="1D0265EE"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5EF" w14:textId="77777777" w:rsidR="004421F6" w:rsidRDefault="004421F6">
            <w:pPr>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5F0"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5F1" w14:textId="77777777" w:rsidR="004421F6" w:rsidRDefault="00F15622">
            <w:pPr>
              <w:jc w:val="right"/>
              <w:textAlignment w:val="bottom"/>
            </w:pPr>
            <w:r>
              <w:rPr>
                <w:rFonts w:ascii="Arial" w:eastAsia="宋体" w:hAnsi="Arial" w:cs="Arial"/>
                <w:color w:val="000000"/>
                <w:sz w:val="17"/>
                <w:szCs w:val="17"/>
              </w:rPr>
              <w:t>1,020 </w:t>
            </w:r>
          </w:p>
        </w:tc>
        <w:tc>
          <w:tcPr>
            <w:tcW w:w="0" w:type="auto"/>
            <w:tcBorders>
              <w:top w:val="single" w:sz="8" w:space="0" w:color="808080"/>
            </w:tcBorders>
            <w:shd w:val="clear" w:color="auto" w:fill="auto"/>
            <w:tcMar>
              <w:top w:w="40" w:type="dxa"/>
              <w:bottom w:w="40" w:type="dxa"/>
              <w:right w:w="20" w:type="dxa"/>
            </w:tcMar>
            <w:vAlign w:val="bottom"/>
          </w:tcPr>
          <w:p w14:paraId="1D0265F2" w14:textId="77777777" w:rsidR="004421F6" w:rsidRDefault="004421F6">
            <w:pPr>
              <w:jc w:val="right"/>
              <w:rPr>
                <w:rFonts w:ascii="宋体"/>
              </w:rPr>
            </w:pPr>
          </w:p>
        </w:tc>
      </w:tr>
      <w:tr w:rsidR="004421F6" w14:paraId="1D0265FA"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5F4" w14:textId="77777777" w:rsidR="004421F6" w:rsidRDefault="00F15622">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5F5" w14:textId="77777777" w:rsidR="004421F6" w:rsidRDefault="00F15622">
            <w:pPr>
              <w:jc w:val="right"/>
              <w:textAlignment w:val="bottom"/>
            </w:pPr>
            <w:r>
              <w:rPr>
                <w:rFonts w:ascii="Arial" w:eastAsia="宋体" w:hAnsi="Arial" w:cs="Arial"/>
                <w:color w:val="000000"/>
                <w:sz w:val="17"/>
                <w:szCs w:val="17"/>
              </w:rPr>
              <w:t>1,439 </w:t>
            </w:r>
          </w:p>
        </w:tc>
        <w:tc>
          <w:tcPr>
            <w:tcW w:w="0" w:type="auto"/>
            <w:tcBorders>
              <w:top w:val="single" w:sz="8" w:space="0" w:color="808080"/>
            </w:tcBorders>
            <w:shd w:val="clear" w:color="auto" w:fill="FFF1E7"/>
            <w:tcMar>
              <w:top w:w="40" w:type="dxa"/>
              <w:bottom w:w="40" w:type="dxa"/>
              <w:right w:w="20" w:type="dxa"/>
            </w:tcMar>
            <w:vAlign w:val="bottom"/>
          </w:tcPr>
          <w:p w14:paraId="1D0265F6"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5F7"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5F8" w14:textId="77777777" w:rsidR="004421F6" w:rsidRDefault="00F15622">
            <w:pPr>
              <w:jc w:val="right"/>
              <w:textAlignment w:val="bottom"/>
            </w:pPr>
            <w:r>
              <w:rPr>
                <w:rFonts w:ascii="Arial" w:eastAsia="宋体" w:hAnsi="Arial" w:cs="Arial"/>
                <w:color w:val="000000"/>
                <w:sz w:val="17"/>
                <w:szCs w:val="17"/>
              </w:rPr>
              <w:t>712 </w:t>
            </w:r>
          </w:p>
        </w:tc>
        <w:tc>
          <w:tcPr>
            <w:tcW w:w="0" w:type="auto"/>
            <w:tcBorders>
              <w:top w:val="single" w:sz="8" w:space="0" w:color="808080"/>
            </w:tcBorders>
            <w:shd w:val="clear" w:color="auto" w:fill="auto"/>
            <w:tcMar>
              <w:top w:w="40" w:type="dxa"/>
              <w:bottom w:w="40" w:type="dxa"/>
              <w:right w:w="20" w:type="dxa"/>
            </w:tcMar>
            <w:vAlign w:val="bottom"/>
          </w:tcPr>
          <w:p w14:paraId="1D0265F9" w14:textId="77777777" w:rsidR="004421F6" w:rsidRDefault="004421F6">
            <w:pPr>
              <w:jc w:val="right"/>
              <w:rPr>
                <w:rFonts w:ascii="宋体"/>
              </w:rPr>
            </w:pPr>
          </w:p>
        </w:tc>
      </w:tr>
      <w:tr w:rsidR="004421F6" w14:paraId="1D026601"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5FB" w14:textId="77777777" w:rsidR="004421F6" w:rsidRDefault="00F15622">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5FC" w14:textId="77777777" w:rsidR="004421F6" w:rsidRDefault="00F15622">
            <w:pPr>
              <w:jc w:val="right"/>
              <w:textAlignment w:val="bottom"/>
            </w:pPr>
            <w:r>
              <w:rPr>
                <w:rFonts w:ascii="Arial" w:eastAsia="宋体" w:hAnsi="Arial" w:cs="Arial"/>
                <w:color w:val="000000"/>
                <w:sz w:val="17"/>
                <w:szCs w:val="17"/>
              </w:rPr>
              <w:t>271 </w:t>
            </w:r>
          </w:p>
        </w:tc>
        <w:tc>
          <w:tcPr>
            <w:tcW w:w="0" w:type="auto"/>
            <w:tcBorders>
              <w:top w:val="single" w:sz="8" w:space="0" w:color="808080"/>
            </w:tcBorders>
            <w:shd w:val="clear" w:color="auto" w:fill="FFF1E7"/>
            <w:tcMar>
              <w:top w:w="40" w:type="dxa"/>
              <w:bottom w:w="40" w:type="dxa"/>
              <w:right w:w="20" w:type="dxa"/>
            </w:tcMar>
            <w:vAlign w:val="bottom"/>
          </w:tcPr>
          <w:p w14:paraId="1D0265FD"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5FE"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5FF" w14:textId="77777777" w:rsidR="004421F6" w:rsidRDefault="00F15622">
            <w:pPr>
              <w:jc w:val="right"/>
              <w:textAlignment w:val="bottom"/>
            </w:pPr>
            <w:r>
              <w:rPr>
                <w:rFonts w:ascii="Arial" w:eastAsia="宋体" w:hAnsi="Arial" w:cs="Arial"/>
                <w:color w:val="000000"/>
                <w:sz w:val="17"/>
                <w:szCs w:val="17"/>
              </w:rPr>
              <w:t>321 </w:t>
            </w:r>
          </w:p>
        </w:tc>
        <w:tc>
          <w:tcPr>
            <w:tcW w:w="0" w:type="auto"/>
            <w:tcBorders>
              <w:top w:val="single" w:sz="8" w:space="0" w:color="808080"/>
            </w:tcBorders>
            <w:shd w:val="clear" w:color="auto" w:fill="auto"/>
            <w:tcMar>
              <w:top w:w="40" w:type="dxa"/>
              <w:bottom w:w="40" w:type="dxa"/>
              <w:right w:w="20" w:type="dxa"/>
            </w:tcMar>
            <w:vAlign w:val="bottom"/>
          </w:tcPr>
          <w:p w14:paraId="1D026600" w14:textId="77777777" w:rsidR="004421F6" w:rsidRDefault="004421F6">
            <w:pPr>
              <w:jc w:val="right"/>
              <w:rPr>
                <w:rFonts w:ascii="宋体"/>
              </w:rPr>
            </w:pPr>
          </w:p>
        </w:tc>
      </w:tr>
      <w:tr w:rsidR="004421F6" w14:paraId="1D026608"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602" w14:textId="77777777" w:rsidR="004421F6" w:rsidRDefault="00F15622">
            <w:pPr>
              <w:textAlignment w:val="bottom"/>
            </w:pPr>
            <w:r>
              <w:rPr>
                <w:rFonts w:ascii="Arial" w:eastAsia="宋体" w:hAnsi="Arial" w:cs="Arial"/>
                <w:color w:val="000000"/>
                <w:sz w:val="17"/>
                <w:szCs w:val="17"/>
              </w:rPr>
              <w:t>Asia Pacific &amp; Latin America</w:t>
            </w:r>
            <w:r>
              <w:rPr>
                <w:rFonts w:ascii="Arial" w:eastAsia="宋体" w:hAnsi="Arial" w:cs="Arial"/>
                <w:color w:val="000000"/>
                <w:sz w:val="9"/>
                <w:szCs w:val="9"/>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603" w14:textId="77777777" w:rsidR="004421F6" w:rsidRDefault="00F15622">
            <w:pPr>
              <w:jc w:val="right"/>
              <w:textAlignment w:val="bottom"/>
            </w:pPr>
            <w:r>
              <w:rPr>
                <w:rFonts w:ascii="Arial" w:eastAsia="宋体" w:hAnsi="Arial" w:cs="Arial"/>
                <w:color w:val="000000"/>
                <w:sz w:val="17"/>
                <w:szCs w:val="17"/>
              </w:rPr>
              <w:t>504 </w:t>
            </w:r>
          </w:p>
        </w:tc>
        <w:tc>
          <w:tcPr>
            <w:tcW w:w="0" w:type="auto"/>
            <w:tcBorders>
              <w:top w:val="single" w:sz="8" w:space="0" w:color="808080"/>
            </w:tcBorders>
            <w:shd w:val="clear" w:color="auto" w:fill="FFF1E7"/>
            <w:tcMar>
              <w:top w:w="40" w:type="dxa"/>
              <w:bottom w:w="40" w:type="dxa"/>
              <w:right w:w="20" w:type="dxa"/>
            </w:tcMar>
            <w:vAlign w:val="bottom"/>
          </w:tcPr>
          <w:p w14:paraId="1D026604"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05"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606" w14:textId="77777777" w:rsidR="004421F6" w:rsidRDefault="00F15622">
            <w:pPr>
              <w:jc w:val="right"/>
              <w:textAlignment w:val="bottom"/>
            </w:pPr>
            <w:r>
              <w:rPr>
                <w:rFonts w:ascii="Arial" w:eastAsia="宋体" w:hAnsi="Arial" w:cs="Arial"/>
                <w:color w:val="000000"/>
                <w:sz w:val="17"/>
                <w:szCs w:val="17"/>
              </w:rPr>
              <w:t>425 </w:t>
            </w:r>
          </w:p>
        </w:tc>
        <w:tc>
          <w:tcPr>
            <w:tcW w:w="0" w:type="auto"/>
            <w:tcBorders>
              <w:top w:val="single" w:sz="8" w:space="0" w:color="808080"/>
            </w:tcBorders>
            <w:shd w:val="clear" w:color="auto" w:fill="auto"/>
            <w:tcMar>
              <w:top w:w="40" w:type="dxa"/>
              <w:bottom w:w="40" w:type="dxa"/>
              <w:right w:w="20" w:type="dxa"/>
            </w:tcMar>
            <w:vAlign w:val="bottom"/>
          </w:tcPr>
          <w:p w14:paraId="1D026607" w14:textId="77777777" w:rsidR="004421F6" w:rsidRDefault="004421F6">
            <w:pPr>
              <w:jc w:val="right"/>
              <w:rPr>
                <w:rFonts w:ascii="宋体"/>
              </w:rPr>
            </w:pPr>
          </w:p>
        </w:tc>
      </w:tr>
      <w:tr w:rsidR="004421F6" w14:paraId="1D02660F"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609" w14:textId="77777777" w:rsidR="004421F6" w:rsidRDefault="00F15622">
            <w:pPr>
              <w:textAlignment w:val="bottom"/>
            </w:pPr>
            <w:r>
              <w:rPr>
                <w:rFonts w:ascii="Arial" w:eastAsia="宋体" w:hAnsi="Arial" w:cs="Arial"/>
                <w:color w:val="000000"/>
                <w:sz w:val="17"/>
                <w:szCs w:val="17"/>
              </w:rPr>
              <w:t xml:space="preserve">Global Brand </w:t>
            </w:r>
            <w:r>
              <w:rPr>
                <w:rFonts w:ascii="Arial" w:eastAsia="宋体" w:hAnsi="Arial" w:cs="Arial"/>
                <w:color w:val="000000"/>
                <w:sz w:val="17"/>
                <w:szCs w:val="17"/>
              </w:rPr>
              <w:t>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60A" w14:textId="77777777" w:rsidR="004421F6" w:rsidRDefault="00F15622">
            <w:pPr>
              <w:jc w:val="right"/>
              <w:textAlignment w:val="bottom"/>
            </w:pPr>
            <w:r>
              <w:rPr>
                <w:rFonts w:ascii="Arial" w:eastAsia="宋体" w:hAnsi="Arial" w:cs="Arial"/>
                <w:color w:val="000000"/>
                <w:sz w:val="17"/>
                <w:szCs w:val="17"/>
              </w:rPr>
              <w:t>81 </w:t>
            </w:r>
          </w:p>
        </w:tc>
        <w:tc>
          <w:tcPr>
            <w:tcW w:w="0" w:type="auto"/>
            <w:tcBorders>
              <w:top w:val="single" w:sz="8" w:space="0" w:color="808080"/>
            </w:tcBorders>
            <w:shd w:val="clear" w:color="auto" w:fill="FFF1E7"/>
            <w:tcMar>
              <w:top w:w="40" w:type="dxa"/>
              <w:bottom w:w="40" w:type="dxa"/>
              <w:right w:w="20" w:type="dxa"/>
            </w:tcMar>
            <w:vAlign w:val="bottom"/>
          </w:tcPr>
          <w:p w14:paraId="1D02660B"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0C"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60D" w14:textId="77777777" w:rsidR="004421F6" w:rsidRDefault="00F15622">
            <w:pPr>
              <w:jc w:val="right"/>
              <w:textAlignment w:val="bottom"/>
            </w:pPr>
            <w:r>
              <w:rPr>
                <w:rFonts w:ascii="Arial" w:eastAsia="宋体" w:hAnsi="Arial" w:cs="Arial"/>
                <w:color w:val="000000"/>
                <w:sz w:val="17"/>
                <w:szCs w:val="17"/>
              </w:rPr>
              <w:t>65 </w:t>
            </w:r>
          </w:p>
        </w:tc>
        <w:tc>
          <w:tcPr>
            <w:tcW w:w="0" w:type="auto"/>
            <w:tcBorders>
              <w:top w:val="single" w:sz="8" w:space="0" w:color="808080"/>
            </w:tcBorders>
            <w:shd w:val="clear" w:color="auto" w:fill="auto"/>
            <w:tcMar>
              <w:top w:w="40" w:type="dxa"/>
              <w:bottom w:w="40" w:type="dxa"/>
              <w:right w:w="20" w:type="dxa"/>
            </w:tcMar>
            <w:vAlign w:val="bottom"/>
          </w:tcPr>
          <w:p w14:paraId="1D02660E" w14:textId="77777777" w:rsidR="004421F6" w:rsidRDefault="004421F6">
            <w:pPr>
              <w:jc w:val="right"/>
              <w:rPr>
                <w:rFonts w:ascii="宋体"/>
              </w:rPr>
            </w:pPr>
          </w:p>
        </w:tc>
      </w:tr>
      <w:tr w:rsidR="004421F6" w14:paraId="1D026616"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610" w14:textId="77777777" w:rsidR="004421F6" w:rsidRDefault="00F15622">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6611" w14:textId="77777777" w:rsidR="004421F6" w:rsidRDefault="00F15622">
            <w:pPr>
              <w:jc w:val="right"/>
              <w:textAlignment w:val="bottom"/>
            </w:pPr>
            <w:r>
              <w:rPr>
                <w:rFonts w:ascii="Arial" w:eastAsia="宋体" w:hAnsi="Arial" w:cs="Arial"/>
                <w:color w:val="000000"/>
                <w:sz w:val="17"/>
                <w:szCs w:val="17"/>
              </w:rPr>
              <w:t>3,551 </w:t>
            </w:r>
          </w:p>
        </w:tc>
        <w:tc>
          <w:tcPr>
            <w:tcW w:w="0" w:type="auto"/>
            <w:tcBorders>
              <w:top w:val="single" w:sz="8" w:space="0" w:color="E87722"/>
            </w:tcBorders>
            <w:shd w:val="clear" w:color="auto" w:fill="FFF1E7"/>
            <w:tcMar>
              <w:top w:w="40" w:type="dxa"/>
              <w:bottom w:w="40" w:type="dxa"/>
              <w:right w:w="20" w:type="dxa"/>
            </w:tcMar>
            <w:vAlign w:val="bottom"/>
          </w:tcPr>
          <w:p w14:paraId="1D026612"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613" w14:textId="77777777" w:rsidR="004421F6" w:rsidRDefault="004421F6">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614" w14:textId="77777777" w:rsidR="004421F6" w:rsidRDefault="00F15622">
            <w:pPr>
              <w:jc w:val="right"/>
              <w:textAlignment w:val="bottom"/>
            </w:pPr>
            <w:r>
              <w:rPr>
                <w:rFonts w:ascii="Arial" w:eastAsia="宋体" w:hAnsi="Arial" w:cs="Arial"/>
                <w:color w:val="000000"/>
                <w:sz w:val="17"/>
                <w:szCs w:val="17"/>
              </w:rPr>
              <w:t>2,543 </w:t>
            </w:r>
          </w:p>
        </w:tc>
        <w:tc>
          <w:tcPr>
            <w:tcW w:w="0" w:type="auto"/>
            <w:tcBorders>
              <w:top w:val="single" w:sz="8" w:space="0" w:color="E87722"/>
            </w:tcBorders>
            <w:shd w:val="clear" w:color="auto" w:fill="auto"/>
            <w:tcMar>
              <w:top w:w="40" w:type="dxa"/>
              <w:bottom w:w="40" w:type="dxa"/>
              <w:right w:w="20" w:type="dxa"/>
            </w:tcMar>
            <w:vAlign w:val="bottom"/>
          </w:tcPr>
          <w:p w14:paraId="1D026615" w14:textId="77777777" w:rsidR="004421F6" w:rsidRDefault="004421F6">
            <w:pPr>
              <w:jc w:val="right"/>
              <w:rPr>
                <w:rFonts w:ascii="宋体"/>
              </w:rPr>
            </w:pPr>
          </w:p>
        </w:tc>
      </w:tr>
      <w:tr w:rsidR="004421F6" w14:paraId="1D02661D"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617" w14:textId="77777777" w:rsidR="004421F6" w:rsidRDefault="00F15622">
            <w:pPr>
              <w:textAlignment w:val="bottom"/>
            </w:pPr>
            <w:r>
              <w:rPr>
                <w:rFonts w:ascii="Arial" w:eastAsia="宋体" w:hAnsi="Arial" w:cs="Arial"/>
                <w:color w:val="000000"/>
                <w:sz w:val="17"/>
                <w:szCs w:val="17"/>
              </w:rPr>
              <w:t>Converse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618" w14:textId="77777777" w:rsidR="004421F6" w:rsidRDefault="00F15622">
            <w:pPr>
              <w:jc w:val="right"/>
              <w:textAlignment w:val="bottom"/>
            </w:pPr>
            <w:r>
              <w:rPr>
                <w:rFonts w:ascii="Arial" w:eastAsia="宋体" w:hAnsi="Arial" w:cs="Arial"/>
                <w:color w:val="000000"/>
                <w:sz w:val="17"/>
                <w:szCs w:val="17"/>
              </w:rPr>
              <w:t>213 </w:t>
            </w:r>
          </w:p>
        </w:tc>
        <w:tc>
          <w:tcPr>
            <w:tcW w:w="0" w:type="auto"/>
            <w:tcBorders>
              <w:top w:val="single" w:sz="8" w:space="0" w:color="808080"/>
            </w:tcBorders>
            <w:shd w:val="clear" w:color="auto" w:fill="FFF1E7"/>
            <w:tcMar>
              <w:top w:w="40" w:type="dxa"/>
              <w:bottom w:w="40" w:type="dxa"/>
              <w:right w:w="20" w:type="dxa"/>
            </w:tcMar>
            <w:vAlign w:val="bottom"/>
          </w:tcPr>
          <w:p w14:paraId="1D026619"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1A"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61B" w14:textId="77777777" w:rsidR="004421F6" w:rsidRDefault="00F15622">
            <w:pPr>
              <w:jc w:val="right"/>
              <w:textAlignment w:val="bottom"/>
            </w:pPr>
            <w:r>
              <w:rPr>
                <w:rFonts w:ascii="Arial" w:eastAsia="宋体" w:hAnsi="Arial" w:cs="Arial"/>
                <w:color w:val="000000"/>
                <w:sz w:val="17"/>
                <w:szCs w:val="17"/>
              </w:rPr>
              <w:t>149 </w:t>
            </w:r>
          </w:p>
        </w:tc>
        <w:tc>
          <w:tcPr>
            <w:tcW w:w="0" w:type="auto"/>
            <w:tcBorders>
              <w:top w:val="single" w:sz="8" w:space="0" w:color="808080"/>
            </w:tcBorders>
            <w:shd w:val="clear" w:color="auto" w:fill="auto"/>
            <w:tcMar>
              <w:top w:w="40" w:type="dxa"/>
              <w:bottom w:w="40" w:type="dxa"/>
              <w:right w:w="20" w:type="dxa"/>
            </w:tcMar>
            <w:vAlign w:val="bottom"/>
          </w:tcPr>
          <w:p w14:paraId="1D02661C" w14:textId="77777777" w:rsidR="004421F6" w:rsidRDefault="004421F6">
            <w:pPr>
              <w:jc w:val="right"/>
              <w:rPr>
                <w:rFonts w:ascii="宋体"/>
              </w:rPr>
            </w:pPr>
          </w:p>
        </w:tc>
      </w:tr>
      <w:tr w:rsidR="004421F6" w14:paraId="1D026624"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61E" w14:textId="77777777" w:rsidR="004421F6" w:rsidRDefault="00F15622">
            <w:pPr>
              <w:textAlignment w:val="bottom"/>
            </w:pPr>
            <w:r>
              <w:rPr>
                <w:rFonts w:ascii="Arial" w:eastAsia="宋体" w:hAnsi="Arial" w:cs="Arial"/>
                <w:color w:val="000000"/>
                <w:sz w:val="17"/>
                <w:szCs w:val="17"/>
              </w:rPr>
              <w:t>Corporate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61F" w14:textId="77777777" w:rsidR="004421F6" w:rsidRDefault="00F15622">
            <w:pPr>
              <w:jc w:val="right"/>
              <w:textAlignment w:val="bottom"/>
            </w:pPr>
            <w:r>
              <w:rPr>
                <w:rFonts w:ascii="Arial" w:eastAsia="宋体" w:hAnsi="Arial" w:cs="Arial"/>
                <w:color w:val="000000"/>
                <w:sz w:val="17"/>
                <w:szCs w:val="17"/>
              </w:rPr>
              <w:t>49 </w:t>
            </w:r>
          </w:p>
        </w:tc>
        <w:tc>
          <w:tcPr>
            <w:tcW w:w="0" w:type="auto"/>
            <w:tcBorders>
              <w:top w:val="single" w:sz="8" w:space="0" w:color="808080"/>
            </w:tcBorders>
            <w:shd w:val="clear" w:color="auto" w:fill="FFF1E7"/>
            <w:tcMar>
              <w:top w:w="40" w:type="dxa"/>
              <w:bottom w:w="40" w:type="dxa"/>
              <w:right w:w="20" w:type="dxa"/>
            </w:tcMar>
            <w:vAlign w:val="bottom"/>
          </w:tcPr>
          <w:p w14:paraId="1D026620"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21"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622" w14:textId="77777777" w:rsidR="004421F6" w:rsidRDefault="00F15622">
            <w:pPr>
              <w:jc w:val="right"/>
              <w:textAlignment w:val="bottom"/>
            </w:pPr>
            <w:r>
              <w:rPr>
                <w:rFonts w:ascii="Arial" w:eastAsia="宋体" w:hAnsi="Arial" w:cs="Arial"/>
                <w:color w:val="000000"/>
                <w:sz w:val="17"/>
                <w:szCs w:val="17"/>
              </w:rPr>
              <w:t>57 </w:t>
            </w:r>
          </w:p>
        </w:tc>
        <w:tc>
          <w:tcPr>
            <w:tcW w:w="0" w:type="auto"/>
            <w:tcBorders>
              <w:top w:val="single" w:sz="8" w:space="0" w:color="808080"/>
            </w:tcBorders>
            <w:shd w:val="clear" w:color="auto" w:fill="auto"/>
            <w:tcMar>
              <w:top w:w="40" w:type="dxa"/>
              <w:bottom w:w="40" w:type="dxa"/>
              <w:right w:w="20" w:type="dxa"/>
            </w:tcMar>
            <w:vAlign w:val="bottom"/>
          </w:tcPr>
          <w:p w14:paraId="1D026623" w14:textId="77777777" w:rsidR="004421F6" w:rsidRDefault="004421F6">
            <w:pPr>
              <w:jc w:val="right"/>
              <w:rPr>
                <w:rFonts w:ascii="宋体"/>
              </w:rPr>
            </w:pPr>
          </w:p>
        </w:tc>
      </w:tr>
      <w:tr w:rsidR="004421F6" w14:paraId="1D02662D"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625" w14:textId="77777777" w:rsidR="004421F6" w:rsidRDefault="00F15622">
            <w:pPr>
              <w:textAlignment w:val="bottom"/>
            </w:pPr>
            <w:r>
              <w:rPr>
                <w:rFonts w:ascii="Arial" w:eastAsia="宋体" w:hAnsi="Arial" w:cs="Arial"/>
                <w:b/>
                <w:bCs/>
                <w:color w:val="000000"/>
                <w:sz w:val="17"/>
                <w:szCs w:val="17"/>
              </w:rPr>
              <w:t>TOTAL ACCOUNTS RECEIVABLE, NET</w:t>
            </w:r>
          </w:p>
        </w:tc>
        <w:tc>
          <w:tcPr>
            <w:tcW w:w="0" w:type="auto"/>
            <w:tcBorders>
              <w:top w:val="single" w:sz="8" w:space="0" w:color="E87722"/>
            </w:tcBorders>
            <w:shd w:val="clear" w:color="auto" w:fill="FFF1E7"/>
            <w:tcMar>
              <w:top w:w="40" w:type="dxa"/>
              <w:left w:w="20" w:type="dxa"/>
              <w:bottom w:w="40" w:type="dxa"/>
            </w:tcMar>
            <w:vAlign w:val="bottom"/>
          </w:tcPr>
          <w:p w14:paraId="1D026626"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627" w14:textId="77777777" w:rsidR="004421F6" w:rsidRDefault="00F15622">
            <w:pPr>
              <w:jc w:val="right"/>
              <w:textAlignment w:val="bottom"/>
            </w:pPr>
            <w:r>
              <w:rPr>
                <w:rFonts w:ascii="Arial" w:eastAsia="宋体" w:hAnsi="Arial" w:cs="Arial"/>
                <w:b/>
                <w:bCs/>
                <w:color w:val="000000"/>
                <w:sz w:val="17"/>
                <w:szCs w:val="17"/>
              </w:rPr>
              <w:t>3,813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628"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629" w14:textId="77777777" w:rsidR="004421F6" w:rsidRDefault="004421F6">
            <w:pPr>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62A"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62B" w14:textId="77777777" w:rsidR="004421F6" w:rsidRDefault="00F15622">
            <w:pPr>
              <w:jc w:val="right"/>
              <w:textAlignment w:val="bottom"/>
            </w:pPr>
            <w:r>
              <w:rPr>
                <w:rFonts w:ascii="Arial" w:eastAsia="宋体" w:hAnsi="Arial" w:cs="Arial"/>
                <w:b/>
                <w:bCs/>
                <w:color w:val="000000"/>
                <w:sz w:val="17"/>
                <w:szCs w:val="17"/>
              </w:rPr>
              <w:t>2,749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62C" w14:textId="77777777" w:rsidR="004421F6" w:rsidRDefault="004421F6">
            <w:pPr>
              <w:jc w:val="right"/>
              <w:rPr>
                <w:rFonts w:ascii="宋体"/>
              </w:rPr>
            </w:pPr>
          </w:p>
        </w:tc>
      </w:tr>
      <w:tr w:rsidR="004421F6" w14:paraId="1D026632"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62E" w14:textId="77777777" w:rsidR="004421F6" w:rsidRDefault="00F15622">
            <w:pPr>
              <w:textAlignment w:val="bottom"/>
            </w:pPr>
            <w:r>
              <w:rPr>
                <w:rFonts w:ascii="Arial" w:eastAsia="宋体" w:hAnsi="Arial" w:cs="Arial"/>
                <w:b/>
                <w:bCs/>
                <w:color w:val="000000"/>
                <w:sz w:val="17"/>
                <w:szCs w:val="17"/>
              </w:rPr>
              <w:t>INVENTORIES</w:t>
            </w:r>
          </w:p>
        </w:tc>
        <w:tc>
          <w:tcPr>
            <w:tcW w:w="0" w:type="auto"/>
            <w:gridSpan w:val="3"/>
            <w:tcBorders>
              <w:top w:val="single" w:sz="8" w:space="0" w:color="E87722"/>
            </w:tcBorders>
            <w:shd w:val="clear" w:color="auto" w:fill="FFF1E7"/>
            <w:tcMar>
              <w:left w:w="20" w:type="dxa"/>
              <w:right w:w="20" w:type="dxa"/>
            </w:tcMar>
            <w:vAlign w:val="bottom"/>
          </w:tcPr>
          <w:p w14:paraId="1D02662F"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630"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631" w14:textId="77777777" w:rsidR="004421F6" w:rsidRDefault="004421F6">
            <w:pPr>
              <w:rPr>
                <w:rFonts w:ascii="宋体"/>
              </w:rPr>
            </w:pPr>
          </w:p>
        </w:tc>
      </w:tr>
      <w:tr w:rsidR="004421F6" w14:paraId="1D02663B"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633" w14:textId="77777777" w:rsidR="004421F6" w:rsidRDefault="00F15622">
            <w:pPr>
              <w:textAlignment w:val="bottom"/>
            </w:pPr>
            <w:r>
              <w:rPr>
                <w:rFonts w:ascii="Arial" w:eastAsia="宋体" w:hAnsi="Arial" w:cs="Arial"/>
                <w:color w:val="000000"/>
                <w:sz w:val="17"/>
                <w:szCs w:val="17"/>
              </w:rPr>
              <w:t>North America</w:t>
            </w:r>
          </w:p>
        </w:tc>
        <w:tc>
          <w:tcPr>
            <w:tcW w:w="0" w:type="auto"/>
            <w:tcBorders>
              <w:top w:val="single" w:sz="8" w:space="0" w:color="808080"/>
            </w:tcBorders>
            <w:shd w:val="clear" w:color="auto" w:fill="FFF1E7"/>
            <w:tcMar>
              <w:top w:w="40" w:type="dxa"/>
              <w:left w:w="20" w:type="dxa"/>
              <w:bottom w:w="40" w:type="dxa"/>
            </w:tcMar>
            <w:vAlign w:val="bottom"/>
          </w:tcPr>
          <w:p w14:paraId="1D026634"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635" w14:textId="77777777" w:rsidR="004421F6" w:rsidRDefault="00F15622">
            <w:pPr>
              <w:jc w:val="right"/>
              <w:textAlignment w:val="bottom"/>
            </w:pPr>
            <w:r>
              <w:rPr>
                <w:rFonts w:ascii="Arial" w:eastAsia="宋体" w:hAnsi="Arial" w:cs="Arial"/>
                <w:color w:val="000000"/>
                <w:sz w:val="17"/>
                <w:szCs w:val="17"/>
              </w:rPr>
              <w:t>2,541 </w:t>
            </w:r>
          </w:p>
        </w:tc>
        <w:tc>
          <w:tcPr>
            <w:tcW w:w="0" w:type="auto"/>
            <w:tcBorders>
              <w:top w:val="single" w:sz="8" w:space="0" w:color="808080"/>
            </w:tcBorders>
            <w:shd w:val="clear" w:color="auto" w:fill="FFF1E7"/>
            <w:tcMar>
              <w:top w:w="40" w:type="dxa"/>
              <w:bottom w:w="40" w:type="dxa"/>
              <w:right w:w="20" w:type="dxa"/>
            </w:tcMar>
            <w:vAlign w:val="bottom"/>
          </w:tcPr>
          <w:p w14:paraId="1D026636"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37" w14:textId="77777777" w:rsidR="004421F6" w:rsidRDefault="004421F6">
            <w:pPr>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638"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639" w14:textId="77777777" w:rsidR="004421F6" w:rsidRDefault="00F15622">
            <w:pPr>
              <w:jc w:val="right"/>
              <w:textAlignment w:val="bottom"/>
            </w:pPr>
            <w:r>
              <w:rPr>
                <w:rFonts w:ascii="Arial" w:eastAsia="宋体" w:hAnsi="Arial" w:cs="Arial"/>
                <w:color w:val="000000"/>
                <w:sz w:val="17"/>
                <w:szCs w:val="17"/>
              </w:rPr>
              <w:t>3,077 </w:t>
            </w:r>
          </w:p>
        </w:tc>
        <w:tc>
          <w:tcPr>
            <w:tcW w:w="0" w:type="auto"/>
            <w:tcBorders>
              <w:top w:val="single" w:sz="8" w:space="0" w:color="808080"/>
            </w:tcBorders>
            <w:shd w:val="clear" w:color="auto" w:fill="auto"/>
            <w:tcMar>
              <w:top w:w="40" w:type="dxa"/>
              <w:bottom w:w="40" w:type="dxa"/>
              <w:right w:w="20" w:type="dxa"/>
            </w:tcMar>
            <w:vAlign w:val="bottom"/>
          </w:tcPr>
          <w:p w14:paraId="1D02663A" w14:textId="77777777" w:rsidR="004421F6" w:rsidRDefault="004421F6">
            <w:pPr>
              <w:jc w:val="right"/>
              <w:rPr>
                <w:rFonts w:ascii="宋体"/>
              </w:rPr>
            </w:pPr>
          </w:p>
        </w:tc>
      </w:tr>
      <w:tr w:rsidR="004421F6" w14:paraId="1D026642"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63C" w14:textId="77777777" w:rsidR="004421F6" w:rsidRDefault="00F15622">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63D" w14:textId="77777777" w:rsidR="004421F6" w:rsidRDefault="00F15622">
            <w:pPr>
              <w:jc w:val="right"/>
              <w:textAlignment w:val="bottom"/>
            </w:pPr>
            <w:r>
              <w:rPr>
                <w:rFonts w:ascii="Arial" w:eastAsia="宋体" w:hAnsi="Arial" w:cs="Arial"/>
                <w:color w:val="000000"/>
                <w:sz w:val="17"/>
                <w:szCs w:val="17"/>
              </w:rPr>
              <w:t>1,891 </w:t>
            </w:r>
          </w:p>
        </w:tc>
        <w:tc>
          <w:tcPr>
            <w:tcW w:w="0" w:type="auto"/>
            <w:tcBorders>
              <w:top w:val="single" w:sz="8" w:space="0" w:color="808080"/>
            </w:tcBorders>
            <w:shd w:val="clear" w:color="auto" w:fill="FFF1E7"/>
            <w:tcMar>
              <w:top w:w="40" w:type="dxa"/>
              <w:bottom w:w="40" w:type="dxa"/>
              <w:right w:w="20" w:type="dxa"/>
            </w:tcMar>
            <w:vAlign w:val="bottom"/>
          </w:tcPr>
          <w:p w14:paraId="1D02663E"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3F"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640" w14:textId="77777777" w:rsidR="004421F6" w:rsidRDefault="00F15622">
            <w:pPr>
              <w:jc w:val="right"/>
              <w:textAlignment w:val="bottom"/>
            </w:pPr>
            <w:r>
              <w:rPr>
                <w:rFonts w:ascii="Arial" w:eastAsia="宋体" w:hAnsi="Arial" w:cs="Arial"/>
                <w:color w:val="000000"/>
                <w:sz w:val="17"/>
                <w:szCs w:val="17"/>
              </w:rPr>
              <w:t>2,070 </w:t>
            </w:r>
          </w:p>
        </w:tc>
        <w:tc>
          <w:tcPr>
            <w:tcW w:w="0" w:type="auto"/>
            <w:tcBorders>
              <w:top w:val="single" w:sz="8" w:space="0" w:color="808080"/>
            </w:tcBorders>
            <w:shd w:val="clear" w:color="auto" w:fill="auto"/>
            <w:tcMar>
              <w:top w:w="40" w:type="dxa"/>
              <w:bottom w:w="40" w:type="dxa"/>
              <w:right w:w="20" w:type="dxa"/>
            </w:tcMar>
            <w:vAlign w:val="bottom"/>
          </w:tcPr>
          <w:p w14:paraId="1D026641" w14:textId="77777777" w:rsidR="004421F6" w:rsidRDefault="004421F6">
            <w:pPr>
              <w:jc w:val="right"/>
              <w:rPr>
                <w:rFonts w:ascii="宋体"/>
              </w:rPr>
            </w:pPr>
          </w:p>
        </w:tc>
      </w:tr>
      <w:tr w:rsidR="004421F6" w14:paraId="1D026649"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643" w14:textId="77777777" w:rsidR="004421F6" w:rsidRDefault="00F15622">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644" w14:textId="77777777" w:rsidR="004421F6" w:rsidRDefault="00F15622">
            <w:pPr>
              <w:jc w:val="right"/>
              <w:textAlignment w:val="bottom"/>
            </w:pPr>
            <w:r>
              <w:rPr>
                <w:rFonts w:ascii="Arial" w:eastAsia="宋体" w:hAnsi="Arial" w:cs="Arial"/>
                <w:color w:val="000000"/>
                <w:sz w:val="17"/>
                <w:szCs w:val="17"/>
              </w:rPr>
              <w:t>1,113 </w:t>
            </w:r>
          </w:p>
        </w:tc>
        <w:tc>
          <w:tcPr>
            <w:tcW w:w="0" w:type="auto"/>
            <w:tcBorders>
              <w:top w:val="single" w:sz="8" w:space="0" w:color="808080"/>
            </w:tcBorders>
            <w:shd w:val="clear" w:color="auto" w:fill="FFF1E7"/>
            <w:tcMar>
              <w:top w:w="40" w:type="dxa"/>
              <w:bottom w:w="40" w:type="dxa"/>
              <w:right w:w="20" w:type="dxa"/>
            </w:tcMar>
            <w:vAlign w:val="bottom"/>
          </w:tcPr>
          <w:p w14:paraId="1D026645"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46"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647" w14:textId="77777777" w:rsidR="004421F6" w:rsidRDefault="00F15622">
            <w:pPr>
              <w:jc w:val="right"/>
              <w:textAlignment w:val="bottom"/>
            </w:pPr>
            <w:r>
              <w:rPr>
                <w:rFonts w:ascii="Arial" w:eastAsia="宋体" w:hAnsi="Arial" w:cs="Arial"/>
                <w:color w:val="000000"/>
                <w:sz w:val="17"/>
                <w:szCs w:val="17"/>
              </w:rPr>
              <w:t>882 </w:t>
            </w:r>
          </w:p>
        </w:tc>
        <w:tc>
          <w:tcPr>
            <w:tcW w:w="0" w:type="auto"/>
            <w:tcBorders>
              <w:top w:val="single" w:sz="8" w:space="0" w:color="808080"/>
            </w:tcBorders>
            <w:shd w:val="clear" w:color="auto" w:fill="auto"/>
            <w:tcMar>
              <w:top w:w="40" w:type="dxa"/>
              <w:bottom w:w="40" w:type="dxa"/>
              <w:right w:w="20" w:type="dxa"/>
            </w:tcMar>
            <w:vAlign w:val="bottom"/>
          </w:tcPr>
          <w:p w14:paraId="1D026648" w14:textId="77777777" w:rsidR="004421F6" w:rsidRDefault="004421F6">
            <w:pPr>
              <w:jc w:val="right"/>
              <w:rPr>
                <w:rFonts w:ascii="宋体"/>
              </w:rPr>
            </w:pPr>
          </w:p>
        </w:tc>
      </w:tr>
      <w:tr w:rsidR="004421F6" w14:paraId="1D026650"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64A" w14:textId="77777777" w:rsidR="004421F6" w:rsidRDefault="00F15622">
            <w:pPr>
              <w:textAlignment w:val="bottom"/>
            </w:pPr>
            <w:r>
              <w:rPr>
                <w:rFonts w:ascii="Arial" w:eastAsia="宋体" w:hAnsi="Arial" w:cs="Arial"/>
                <w:color w:val="000000"/>
                <w:sz w:val="17"/>
                <w:szCs w:val="17"/>
              </w:rPr>
              <w:t>Asia Pacific &amp; Latin America</w:t>
            </w:r>
            <w:r>
              <w:rPr>
                <w:rFonts w:ascii="Arial" w:eastAsia="宋体" w:hAnsi="Arial" w:cs="Arial"/>
                <w:color w:val="000000"/>
                <w:sz w:val="9"/>
                <w:szCs w:val="9"/>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64B" w14:textId="77777777" w:rsidR="004421F6" w:rsidRDefault="00F15622">
            <w:pPr>
              <w:jc w:val="right"/>
              <w:textAlignment w:val="bottom"/>
            </w:pPr>
            <w:r>
              <w:rPr>
                <w:rFonts w:ascii="Arial" w:eastAsia="宋体" w:hAnsi="Arial" w:cs="Arial"/>
                <w:color w:val="000000"/>
                <w:sz w:val="17"/>
                <w:szCs w:val="17"/>
              </w:rPr>
              <w:t>753 </w:t>
            </w:r>
          </w:p>
        </w:tc>
        <w:tc>
          <w:tcPr>
            <w:tcW w:w="0" w:type="auto"/>
            <w:tcBorders>
              <w:top w:val="single" w:sz="8" w:space="0" w:color="808080"/>
            </w:tcBorders>
            <w:shd w:val="clear" w:color="auto" w:fill="FFF1E7"/>
            <w:tcMar>
              <w:top w:w="40" w:type="dxa"/>
              <w:bottom w:w="40" w:type="dxa"/>
              <w:right w:w="20" w:type="dxa"/>
            </w:tcMar>
            <w:vAlign w:val="bottom"/>
          </w:tcPr>
          <w:p w14:paraId="1D02664C"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4D"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64E" w14:textId="77777777" w:rsidR="004421F6" w:rsidRDefault="00F15622">
            <w:pPr>
              <w:jc w:val="right"/>
              <w:textAlignment w:val="bottom"/>
            </w:pPr>
            <w:r>
              <w:rPr>
                <w:rFonts w:ascii="Arial" w:eastAsia="宋体" w:hAnsi="Arial" w:cs="Arial"/>
                <w:color w:val="000000"/>
                <w:sz w:val="17"/>
                <w:szCs w:val="17"/>
              </w:rPr>
              <w:t>770 </w:t>
            </w:r>
          </w:p>
        </w:tc>
        <w:tc>
          <w:tcPr>
            <w:tcW w:w="0" w:type="auto"/>
            <w:tcBorders>
              <w:top w:val="single" w:sz="8" w:space="0" w:color="808080"/>
            </w:tcBorders>
            <w:shd w:val="clear" w:color="auto" w:fill="auto"/>
            <w:tcMar>
              <w:top w:w="40" w:type="dxa"/>
              <w:bottom w:w="40" w:type="dxa"/>
              <w:right w:w="20" w:type="dxa"/>
            </w:tcMar>
            <w:vAlign w:val="bottom"/>
          </w:tcPr>
          <w:p w14:paraId="1D02664F" w14:textId="77777777" w:rsidR="004421F6" w:rsidRDefault="004421F6">
            <w:pPr>
              <w:jc w:val="right"/>
              <w:rPr>
                <w:rFonts w:ascii="宋体"/>
              </w:rPr>
            </w:pPr>
          </w:p>
        </w:tc>
      </w:tr>
      <w:tr w:rsidR="004421F6" w14:paraId="1D026657"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651" w14:textId="77777777" w:rsidR="004421F6" w:rsidRDefault="00F15622">
            <w:pPr>
              <w:textAlignment w:val="bottom"/>
            </w:pPr>
            <w:r>
              <w:rPr>
                <w:rFonts w:ascii="Arial" w:eastAsia="宋体" w:hAnsi="Arial" w:cs="Arial"/>
                <w:color w:val="000000"/>
                <w:sz w:val="17"/>
                <w:szCs w:val="17"/>
              </w:rPr>
              <w:t>Global Brand 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652" w14:textId="77777777" w:rsidR="004421F6" w:rsidRDefault="00F15622">
            <w:pPr>
              <w:jc w:val="right"/>
              <w:textAlignment w:val="bottom"/>
            </w:pPr>
            <w:r>
              <w:rPr>
                <w:rFonts w:ascii="Arial" w:eastAsia="宋体" w:hAnsi="Arial" w:cs="Arial"/>
                <w:color w:val="000000"/>
                <w:sz w:val="17"/>
                <w:szCs w:val="17"/>
              </w:rPr>
              <w:t>137 </w:t>
            </w:r>
          </w:p>
        </w:tc>
        <w:tc>
          <w:tcPr>
            <w:tcW w:w="0" w:type="auto"/>
            <w:tcBorders>
              <w:top w:val="single" w:sz="8" w:space="0" w:color="808080"/>
            </w:tcBorders>
            <w:shd w:val="clear" w:color="auto" w:fill="FFF1E7"/>
            <w:tcMar>
              <w:top w:w="40" w:type="dxa"/>
              <w:bottom w:w="40" w:type="dxa"/>
              <w:right w:w="20" w:type="dxa"/>
            </w:tcMar>
            <w:vAlign w:val="bottom"/>
          </w:tcPr>
          <w:p w14:paraId="1D026653"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54"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655" w14:textId="77777777" w:rsidR="004421F6" w:rsidRDefault="00F15622">
            <w:pPr>
              <w:jc w:val="right"/>
              <w:textAlignment w:val="bottom"/>
            </w:pPr>
            <w:r>
              <w:rPr>
                <w:rFonts w:ascii="Arial" w:eastAsia="宋体" w:hAnsi="Arial" w:cs="Arial"/>
                <w:color w:val="000000"/>
                <w:sz w:val="17"/>
                <w:szCs w:val="17"/>
              </w:rPr>
              <w:t>137 </w:t>
            </w:r>
          </w:p>
        </w:tc>
        <w:tc>
          <w:tcPr>
            <w:tcW w:w="0" w:type="auto"/>
            <w:tcBorders>
              <w:top w:val="single" w:sz="8" w:space="0" w:color="808080"/>
            </w:tcBorders>
            <w:shd w:val="clear" w:color="auto" w:fill="auto"/>
            <w:tcMar>
              <w:top w:w="40" w:type="dxa"/>
              <w:bottom w:w="40" w:type="dxa"/>
              <w:right w:w="20" w:type="dxa"/>
            </w:tcMar>
            <w:vAlign w:val="bottom"/>
          </w:tcPr>
          <w:p w14:paraId="1D026656" w14:textId="77777777" w:rsidR="004421F6" w:rsidRDefault="004421F6">
            <w:pPr>
              <w:jc w:val="right"/>
              <w:rPr>
                <w:rFonts w:ascii="宋体"/>
              </w:rPr>
            </w:pPr>
          </w:p>
        </w:tc>
      </w:tr>
      <w:tr w:rsidR="004421F6" w14:paraId="1D02665E"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658" w14:textId="77777777" w:rsidR="004421F6" w:rsidRDefault="00F15622">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6659" w14:textId="77777777" w:rsidR="004421F6" w:rsidRDefault="00F15622">
            <w:pPr>
              <w:jc w:val="right"/>
              <w:textAlignment w:val="bottom"/>
            </w:pPr>
            <w:r>
              <w:rPr>
                <w:rFonts w:ascii="Arial" w:eastAsia="宋体" w:hAnsi="Arial" w:cs="Arial"/>
                <w:color w:val="000000"/>
                <w:sz w:val="17"/>
                <w:szCs w:val="17"/>
              </w:rPr>
              <w:t>6,435 </w:t>
            </w:r>
          </w:p>
        </w:tc>
        <w:tc>
          <w:tcPr>
            <w:tcW w:w="0" w:type="auto"/>
            <w:tcBorders>
              <w:top w:val="single" w:sz="8" w:space="0" w:color="E87722"/>
            </w:tcBorders>
            <w:shd w:val="clear" w:color="auto" w:fill="FFF1E7"/>
            <w:tcMar>
              <w:top w:w="40" w:type="dxa"/>
              <w:bottom w:w="40" w:type="dxa"/>
              <w:right w:w="20" w:type="dxa"/>
            </w:tcMar>
            <w:vAlign w:val="bottom"/>
          </w:tcPr>
          <w:p w14:paraId="1D02665A"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65B" w14:textId="77777777" w:rsidR="004421F6" w:rsidRDefault="004421F6">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65C" w14:textId="77777777" w:rsidR="004421F6" w:rsidRDefault="00F15622">
            <w:pPr>
              <w:jc w:val="right"/>
              <w:textAlignment w:val="bottom"/>
            </w:pPr>
            <w:r>
              <w:rPr>
                <w:rFonts w:ascii="Arial" w:eastAsia="宋体" w:hAnsi="Arial" w:cs="Arial"/>
                <w:color w:val="000000"/>
                <w:sz w:val="17"/>
                <w:szCs w:val="17"/>
              </w:rPr>
              <w:t>6,936 </w:t>
            </w:r>
          </w:p>
        </w:tc>
        <w:tc>
          <w:tcPr>
            <w:tcW w:w="0" w:type="auto"/>
            <w:tcBorders>
              <w:top w:val="single" w:sz="8" w:space="0" w:color="E87722"/>
            </w:tcBorders>
            <w:shd w:val="clear" w:color="auto" w:fill="auto"/>
            <w:tcMar>
              <w:top w:w="40" w:type="dxa"/>
              <w:bottom w:w="40" w:type="dxa"/>
              <w:right w:w="20" w:type="dxa"/>
            </w:tcMar>
            <w:vAlign w:val="bottom"/>
          </w:tcPr>
          <w:p w14:paraId="1D02665D" w14:textId="77777777" w:rsidR="004421F6" w:rsidRDefault="004421F6">
            <w:pPr>
              <w:jc w:val="right"/>
              <w:rPr>
                <w:rFonts w:ascii="宋体"/>
              </w:rPr>
            </w:pPr>
          </w:p>
        </w:tc>
      </w:tr>
      <w:tr w:rsidR="004421F6" w14:paraId="1D026665"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65F" w14:textId="77777777" w:rsidR="004421F6" w:rsidRDefault="00F15622">
            <w:pPr>
              <w:textAlignment w:val="bottom"/>
            </w:pPr>
            <w:r>
              <w:rPr>
                <w:rFonts w:ascii="Arial" w:eastAsia="宋体" w:hAnsi="Arial" w:cs="Arial"/>
                <w:color w:val="000000"/>
                <w:sz w:val="17"/>
                <w:szCs w:val="17"/>
              </w:rPr>
              <w:t>Converse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660" w14:textId="77777777" w:rsidR="004421F6" w:rsidRDefault="00F15622">
            <w:pPr>
              <w:jc w:val="right"/>
              <w:textAlignment w:val="bottom"/>
            </w:pPr>
            <w:r>
              <w:rPr>
                <w:rFonts w:ascii="Arial" w:eastAsia="宋体" w:hAnsi="Arial" w:cs="Arial"/>
                <w:color w:val="000000"/>
                <w:sz w:val="17"/>
                <w:szCs w:val="17"/>
              </w:rPr>
              <w:t>293 </w:t>
            </w:r>
          </w:p>
        </w:tc>
        <w:tc>
          <w:tcPr>
            <w:tcW w:w="0" w:type="auto"/>
            <w:tcBorders>
              <w:top w:val="single" w:sz="8" w:space="0" w:color="808080"/>
            </w:tcBorders>
            <w:shd w:val="clear" w:color="auto" w:fill="FFF1E7"/>
            <w:tcMar>
              <w:top w:w="40" w:type="dxa"/>
              <w:bottom w:w="40" w:type="dxa"/>
              <w:right w:w="20" w:type="dxa"/>
            </w:tcMar>
            <w:vAlign w:val="bottom"/>
          </w:tcPr>
          <w:p w14:paraId="1D026661"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62"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663" w14:textId="77777777" w:rsidR="004421F6" w:rsidRDefault="00F15622">
            <w:pPr>
              <w:jc w:val="right"/>
              <w:textAlignment w:val="bottom"/>
            </w:pPr>
            <w:r>
              <w:rPr>
                <w:rFonts w:ascii="Arial" w:eastAsia="宋体" w:hAnsi="Arial" w:cs="Arial"/>
                <w:color w:val="000000"/>
                <w:sz w:val="17"/>
                <w:szCs w:val="17"/>
              </w:rPr>
              <w:t>341 </w:t>
            </w:r>
          </w:p>
        </w:tc>
        <w:tc>
          <w:tcPr>
            <w:tcW w:w="0" w:type="auto"/>
            <w:tcBorders>
              <w:top w:val="single" w:sz="8" w:space="0" w:color="808080"/>
            </w:tcBorders>
            <w:shd w:val="clear" w:color="auto" w:fill="auto"/>
            <w:tcMar>
              <w:top w:w="40" w:type="dxa"/>
              <w:bottom w:w="40" w:type="dxa"/>
              <w:right w:w="20" w:type="dxa"/>
            </w:tcMar>
            <w:vAlign w:val="bottom"/>
          </w:tcPr>
          <w:p w14:paraId="1D026664" w14:textId="77777777" w:rsidR="004421F6" w:rsidRDefault="004421F6">
            <w:pPr>
              <w:jc w:val="right"/>
              <w:rPr>
                <w:rFonts w:ascii="宋体"/>
              </w:rPr>
            </w:pPr>
          </w:p>
        </w:tc>
      </w:tr>
      <w:tr w:rsidR="004421F6" w14:paraId="1D02666C"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666" w14:textId="77777777" w:rsidR="004421F6" w:rsidRDefault="00F15622">
            <w:pPr>
              <w:textAlignment w:val="bottom"/>
            </w:pPr>
            <w:r>
              <w:rPr>
                <w:rFonts w:ascii="Arial" w:eastAsia="宋体" w:hAnsi="Arial" w:cs="Arial"/>
                <w:color w:val="000000"/>
                <w:sz w:val="17"/>
                <w:szCs w:val="17"/>
              </w:rPr>
              <w:t>Corporate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667" w14:textId="77777777" w:rsidR="004421F6" w:rsidRDefault="00F15622">
            <w:pPr>
              <w:jc w:val="right"/>
              <w:textAlignment w:val="bottom"/>
            </w:pPr>
            <w:r>
              <w:rPr>
                <w:rFonts w:ascii="Arial" w:eastAsia="宋体" w:hAnsi="Arial" w:cs="Arial"/>
                <w:color w:val="000000"/>
                <w:sz w:val="17"/>
                <w:szCs w:val="17"/>
              </w:rPr>
              <w:t>(23)</w:t>
            </w:r>
          </w:p>
        </w:tc>
        <w:tc>
          <w:tcPr>
            <w:tcW w:w="0" w:type="auto"/>
            <w:tcBorders>
              <w:top w:val="single" w:sz="8" w:space="0" w:color="808080"/>
            </w:tcBorders>
            <w:shd w:val="clear" w:color="auto" w:fill="FFF1E7"/>
            <w:tcMar>
              <w:top w:w="40" w:type="dxa"/>
              <w:bottom w:w="40" w:type="dxa"/>
              <w:right w:w="20" w:type="dxa"/>
            </w:tcMar>
            <w:vAlign w:val="bottom"/>
          </w:tcPr>
          <w:p w14:paraId="1D026668"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69"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66A" w14:textId="77777777" w:rsidR="004421F6" w:rsidRDefault="00F15622">
            <w:pPr>
              <w:jc w:val="right"/>
              <w:textAlignment w:val="bottom"/>
            </w:pPr>
            <w:r>
              <w:rPr>
                <w:rFonts w:ascii="Arial" w:eastAsia="宋体" w:hAnsi="Arial" w:cs="Arial"/>
                <w:color w:val="000000"/>
                <w:sz w:val="17"/>
                <w:szCs w:val="17"/>
              </w:rPr>
              <w:t>90 </w:t>
            </w:r>
          </w:p>
        </w:tc>
        <w:tc>
          <w:tcPr>
            <w:tcW w:w="0" w:type="auto"/>
            <w:tcBorders>
              <w:top w:val="single" w:sz="8" w:space="0" w:color="808080"/>
            </w:tcBorders>
            <w:shd w:val="clear" w:color="auto" w:fill="auto"/>
            <w:tcMar>
              <w:top w:w="40" w:type="dxa"/>
              <w:bottom w:w="40" w:type="dxa"/>
              <w:right w:w="20" w:type="dxa"/>
            </w:tcMar>
            <w:vAlign w:val="bottom"/>
          </w:tcPr>
          <w:p w14:paraId="1D02666B" w14:textId="77777777" w:rsidR="004421F6" w:rsidRDefault="004421F6">
            <w:pPr>
              <w:jc w:val="right"/>
              <w:rPr>
                <w:rFonts w:ascii="宋体"/>
              </w:rPr>
            </w:pPr>
          </w:p>
        </w:tc>
      </w:tr>
      <w:tr w:rsidR="004421F6" w14:paraId="1D026675"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666D" w14:textId="77777777" w:rsidR="004421F6" w:rsidRDefault="00F15622">
            <w:pPr>
              <w:textAlignment w:val="bottom"/>
            </w:pPr>
            <w:r>
              <w:rPr>
                <w:rFonts w:ascii="Arial" w:eastAsia="宋体" w:hAnsi="Arial" w:cs="Arial"/>
                <w:b/>
                <w:bCs/>
                <w:color w:val="000000"/>
                <w:sz w:val="17"/>
                <w:szCs w:val="17"/>
              </w:rPr>
              <w:t>TOTAL INVENTORIES</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66E"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66F" w14:textId="77777777" w:rsidR="004421F6" w:rsidRDefault="00F15622">
            <w:pPr>
              <w:jc w:val="right"/>
              <w:textAlignment w:val="bottom"/>
            </w:pPr>
            <w:r>
              <w:rPr>
                <w:rFonts w:ascii="Arial" w:eastAsia="宋体" w:hAnsi="Arial" w:cs="Arial"/>
                <w:b/>
                <w:bCs/>
                <w:color w:val="000000"/>
                <w:sz w:val="17"/>
                <w:szCs w:val="17"/>
              </w:rPr>
              <w:t>6,705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670" w14:textId="77777777" w:rsidR="004421F6" w:rsidRDefault="004421F6">
            <w:pPr>
              <w:jc w:val="right"/>
              <w:rPr>
                <w:rFonts w:ascii="宋体"/>
              </w:rPr>
            </w:pPr>
          </w:p>
        </w:tc>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6671" w14:textId="77777777" w:rsidR="004421F6" w:rsidRDefault="004421F6">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672"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673" w14:textId="77777777" w:rsidR="004421F6" w:rsidRDefault="00F15622">
            <w:pPr>
              <w:jc w:val="right"/>
              <w:textAlignment w:val="bottom"/>
            </w:pPr>
            <w:r>
              <w:rPr>
                <w:rFonts w:ascii="Arial" w:eastAsia="宋体" w:hAnsi="Arial" w:cs="Arial"/>
                <w:b/>
                <w:bCs/>
                <w:color w:val="000000"/>
                <w:sz w:val="17"/>
                <w:szCs w:val="17"/>
              </w:rPr>
              <w:t>7,367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674" w14:textId="77777777" w:rsidR="004421F6" w:rsidRDefault="004421F6">
            <w:pPr>
              <w:jc w:val="right"/>
              <w:rPr>
                <w:rFonts w:ascii="宋体"/>
              </w:rPr>
            </w:pPr>
          </w:p>
        </w:tc>
      </w:tr>
    </w:tbl>
    <w:p w14:paraId="1D026676" w14:textId="77777777" w:rsidR="004421F6" w:rsidRDefault="00F15622">
      <w:pPr>
        <w:spacing w:before="120" w:after="120"/>
        <w:jc w:val="right"/>
      </w:pPr>
      <w:r>
        <w:rPr>
          <w:rFonts w:ascii="Arial" w:eastAsia="宋体" w:hAnsi="Arial" w:cs="Arial"/>
          <w:color w:val="E87722"/>
          <w:sz w:val="17"/>
          <w:szCs w:val="17"/>
        </w:rPr>
        <w:t>19</w:t>
      </w:r>
    </w:p>
    <w:p w14:paraId="1D026677" w14:textId="77777777" w:rsidR="004421F6" w:rsidRDefault="00F15622">
      <w:r>
        <w:pict w14:anchorId="1D02728E">
          <v:rect id="_x0000_i1045" style="width:415.3pt;height:1.5pt" o:hralign="center" o:hrstd="t" o:hr="t" fillcolor="#a0a0a0" stroked="f"/>
        </w:pict>
      </w:r>
    </w:p>
    <w:p w14:paraId="1D026678" w14:textId="77777777" w:rsidR="004421F6" w:rsidRDefault="004421F6"/>
    <w:p w14:paraId="1D026679" w14:textId="77777777" w:rsidR="004421F6" w:rsidRDefault="00F15622">
      <w:hyperlink r:id="rId90" w:anchor="i3e524f2e23844e81ba9d33a05ac3917c_7" w:history="1">
        <w:r>
          <w:rPr>
            <w:rStyle w:val="a5"/>
            <w:rFonts w:ascii="sans-serif" w:eastAsia="sans-serif" w:hAnsi="sans-serif" w:cs="sans-serif"/>
            <w:sz w:val="17"/>
            <w:szCs w:val="17"/>
          </w:rPr>
          <w:t>Table of Contents</w:t>
        </w:r>
      </w:hyperlink>
    </w:p>
    <w:p w14:paraId="1D02667A" w14:textId="77777777" w:rsidR="004421F6" w:rsidRDefault="004421F6"/>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376"/>
        <w:gridCol w:w="37"/>
        <w:gridCol w:w="130"/>
        <w:gridCol w:w="1236"/>
        <w:gridCol w:w="41"/>
        <w:gridCol w:w="36"/>
        <w:gridCol w:w="36"/>
        <w:gridCol w:w="36"/>
        <w:gridCol w:w="130"/>
        <w:gridCol w:w="1199"/>
        <w:gridCol w:w="41"/>
      </w:tblGrid>
      <w:tr w:rsidR="004421F6" w14:paraId="1D026687" w14:textId="77777777">
        <w:trPr>
          <w:jc w:val="center"/>
        </w:trPr>
        <w:tc>
          <w:tcPr>
            <w:tcW w:w="50" w:type="pct"/>
            <w:shd w:val="clear" w:color="auto" w:fill="auto"/>
          </w:tcPr>
          <w:p w14:paraId="1D02667B" w14:textId="77777777" w:rsidR="004421F6" w:rsidRDefault="004421F6">
            <w:pPr>
              <w:rPr>
                <w:rFonts w:ascii="宋体"/>
              </w:rPr>
            </w:pPr>
          </w:p>
        </w:tc>
        <w:tc>
          <w:tcPr>
            <w:tcW w:w="3255" w:type="pct"/>
            <w:shd w:val="clear" w:color="auto" w:fill="auto"/>
          </w:tcPr>
          <w:p w14:paraId="1D02667C" w14:textId="77777777" w:rsidR="004421F6" w:rsidRDefault="004421F6">
            <w:pPr>
              <w:rPr>
                <w:rFonts w:ascii="宋体"/>
              </w:rPr>
            </w:pPr>
          </w:p>
        </w:tc>
        <w:tc>
          <w:tcPr>
            <w:tcW w:w="5" w:type="pct"/>
            <w:shd w:val="clear" w:color="auto" w:fill="auto"/>
          </w:tcPr>
          <w:p w14:paraId="1D02667D" w14:textId="77777777" w:rsidR="004421F6" w:rsidRDefault="004421F6">
            <w:pPr>
              <w:rPr>
                <w:rFonts w:ascii="宋体"/>
              </w:rPr>
            </w:pPr>
          </w:p>
        </w:tc>
        <w:tc>
          <w:tcPr>
            <w:tcW w:w="50" w:type="pct"/>
            <w:shd w:val="clear" w:color="auto" w:fill="auto"/>
          </w:tcPr>
          <w:p w14:paraId="1D02667E" w14:textId="77777777" w:rsidR="004421F6" w:rsidRDefault="004421F6">
            <w:pPr>
              <w:rPr>
                <w:rFonts w:ascii="宋体"/>
              </w:rPr>
            </w:pPr>
          </w:p>
        </w:tc>
        <w:tc>
          <w:tcPr>
            <w:tcW w:w="770" w:type="pct"/>
            <w:shd w:val="clear" w:color="auto" w:fill="auto"/>
          </w:tcPr>
          <w:p w14:paraId="1D02667F" w14:textId="77777777" w:rsidR="004421F6" w:rsidRDefault="004421F6">
            <w:pPr>
              <w:rPr>
                <w:rFonts w:ascii="宋体"/>
              </w:rPr>
            </w:pPr>
          </w:p>
        </w:tc>
        <w:tc>
          <w:tcPr>
            <w:tcW w:w="5" w:type="pct"/>
            <w:shd w:val="clear" w:color="auto" w:fill="auto"/>
          </w:tcPr>
          <w:p w14:paraId="1D026680" w14:textId="77777777" w:rsidR="004421F6" w:rsidRDefault="004421F6">
            <w:pPr>
              <w:rPr>
                <w:rFonts w:ascii="宋体"/>
              </w:rPr>
            </w:pPr>
          </w:p>
        </w:tc>
        <w:tc>
          <w:tcPr>
            <w:tcW w:w="5" w:type="pct"/>
            <w:shd w:val="clear" w:color="auto" w:fill="auto"/>
          </w:tcPr>
          <w:p w14:paraId="1D026681" w14:textId="77777777" w:rsidR="004421F6" w:rsidRDefault="004421F6">
            <w:pPr>
              <w:rPr>
                <w:rFonts w:ascii="宋体"/>
              </w:rPr>
            </w:pPr>
          </w:p>
        </w:tc>
        <w:tc>
          <w:tcPr>
            <w:tcW w:w="28" w:type="pct"/>
            <w:shd w:val="clear" w:color="auto" w:fill="auto"/>
          </w:tcPr>
          <w:p w14:paraId="1D026682" w14:textId="77777777" w:rsidR="004421F6" w:rsidRDefault="004421F6">
            <w:pPr>
              <w:rPr>
                <w:rFonts w:ascii="宋体"/>
              </w:rPr>
            </w:pPr>
          </w:p>
        </w:tc>
        <w:tc>
          <w:tcPr>
            <w:tcW w:w="5" w:type="pct"/>
            <w:shd w:val="clear" w:color="auto" w:fill="auto"/>
          </w:tcPr>
          <w:p w14:paraId="1D026683" w14:textId="77777777" w:rsidR="004421F6" w:rsidRDefault="004421F6">
            <w:pPr>
              <w:rPr>
                <w:rFonts w:ascii="宋体"/>
              </w:rPr>
            </w:pPr>
          </w:p>
        </w:tc>
        <w:tc>
          <w:tcPr>
            <w:tcW w:w="50" w:type="pct"/>
            <w:shd w:val="clear" w:color="auto" w:fill="auto"/>
          </w:tcPr>
          <w:p w14:paraId="1D026684" w14:textId="77777777" w:rsidR="004421F6" w:rsidRDefault="004421F6">
            <w:pPr>
              <w:rPr>
                <w:rFonts w:ascii="宋体"/>
              </w:rPr>
            </w:pPr>
          </w:p>
        </w:tc>
        <w:tc>
          <w:tcPr>
            <w:tcW w:w="770" w:type="pct"/>
            <w:shd w:val="clear" w:color="auto" w:fill="auto"/>
          </w:tcPr>
          <w:p w14:paraId="1D026685" w14:textId="77777777" w:rsidR="004421F6" w:rsidRDefault="004421F6">
            <w:pPr>
              <w:rPr>
                <w:rFonts w:ascii="宋体"/>
              </w:rPr>
            </w:pPr>
          </w:p>
        </w:tc>
        <w:tc>
          <w:tcPr>
            <w:tcW w:w="5" w:type="pct"/>
            <w:shd w:val="clear" w:color="auto" w:fill="auto"/>
          </w:tcPr>
          <w:p w14:paraId="1D026686" w14:textId="77777777" w:rsidR="004421F6" w:rsidRDefault="004421F6">
            <w:pPr>
              <w:rPr>
                <w:rFonts w:ascii="宋体"/>
              </w:rPr>
            </w:pPr>
          </w:p>
        </w:tc>
      </w:tr>
      <w:tr w:rsidR="004421F6" w14:paraId="1D02668C" w14:textId="77777777">
        <w:trPr>
          <w:jc w:val="center"/>
        </w:trPr>
        <w:tc>
          <w:tcPr>
            <w:tcW w:w="0" w:type="auto"/>
            <w:gridSpan w:val="3"/>
            <w:shd w:val="clear" w:color="auto" w:fill="auto"/>
            <w:tcMar>
              <w:left w:w="20" w:type="dxa"/>
              <w:right w:w="20" w:type="dxa"/>
            </w:tcMar>
            <w:vAlign w:val="bottom"/>
          </w:tcPr>
          <w:p w14:paraId="1D026688" w14:textId="77777777" w:rsidR="004421F6" w:rsidRDefault="004421F6">
            <w:pPr>
              <w:rPr>
                <w:rFonts w:ascii="宋体"/>
              </w:rPr>
            </w:pPr>
          </w:p>
        </w:tc>
        <w:tc>
          <w:tcPr>
            <w:tcW w:w="0" w:type="auto"/>
            <w:gridSpan w:val="3"/>
            <w:shd w:val="clear" w:color="auto" w:fill="auto"/>
            <w:tcMar>
              <w:top w:w="40" w:type="dxa"/>
              <w:left w:w="20" w:type="dxa"/>
              <w:bottom w:w="40" w:type="dxa"/>
              <w:right w:w="20" w:type="dxa"/>
            </w:tcMar>
            <w:vAlign w:val="bottom"/>
          </w:tcPr>
          <w:p w14:paraId="1D026689" w14:textId="77777777" w:rsidR="004421F6" w:rsidRDefault="00F15622">
            <w:pPr>
              <w:jc w:val="center"/>
              <w:textAlignment w:val="bottom"/>
            </w:pPr>
            <w:r>
              <w:rPr>
                <w:rFonts w:ascii="sans-serif" w:eastAsia="sans-serif" w:hAnsi="sans-serif" w:cs="sans-serif"/>
                <w:b/>
                <w:bCs/>
                <w:color w:val="000000"/>
                <w:sz w:val="17"/>
                <w:szCs w:val="17"/>
              </w:rPr>
              <w:t>AUGUST 31,</w:t>
            </w:r>
          </w:p>
        </w:tc>
        <w:tc>
          <w:tcPr>
            <w:tcW w:w="0" w:type="auto"/>
            <w:gridSpan w:val="3"/>
            <w:shd w:val="clear" w:color="auto" w:fill="auto"/>
            <w:tcMar>
              <w:left w:w="20" w:type="dxa"/>
              <w:right w:w="20" w:type="dxa"/>
            </w:tcMar>
            <w:vAlign w:val="bottom"/>
          </w:tcPr>
          <w:p w14:paraId="1D02668A" w14:textId="77777777" w:rsidR="004421F6" w:rsidRDefault="004421F6">
            <w:pPr>
              <w:rPr>
                <w:rFonts w:ascii="宋体"/>
              </w:rPr>
            </w:pPr>
          </w:p>
        </w:tc>
        <w:tc>
          <w:tcPr>
            <w:tcW w:w="0" w:type="auto"/>
            <w:gridSpan w:val="3"/>
            <w:shd w:val="clear" w:color="auto" w:fill="auto"/>
            <w:tcMar>
              <w:top w:w="40" w:type="dxa"/>
              <w:left w:w="20" w:type="dxa"/>
              <w:bottom w:w="40" w:type="dxa"/>
              <w:right w:w="20" w:type="dxa"/>
            </w:tcMar>
            <w:vAlign w:val="bottom"/>
          </w:tcPr>
          <w:p w14:paraId="1D02668B" w14:textId="77777777" w:rsidR="004421F6" w:rsidRDefault="00F15622">
            <w:pPr>
              <w:jc w:val="center"/>
              <w:textAlignment w:val="bottom"/>
            </w:pPr>
            <w:r>
              <w:rPr>
                <w:rFonts w:ascii="sans-serif" w:eastAsia="sans-serif" w:hAnsi="sans-serif" w:cs="sans-serif"/>
                <w:b/>
                <w:bCs/>
                <w:color w:val="000000"/>
                <w:sz w:val="17"/>
                <w:szCs w:val="17"/>
              </w:rPr>
              <w:t>MAY 31,</w:t>
            </w:r>
          </w:p>
        </w:tc>
      </w:tr>
      <w:tr w:rsidR="004421F6" w14:paraId="1D026691" w14:textId="77777777">
        <w:trPr>
          <w:jc w:val="center"/>
        </w:trPr>
        <w:tc>
          <w:tcPr>
            <w:tcW w:w="0" w:type="auto"/>
            <w:gridSpan w:val="3"/>
            <w:shd w:val="clear" w:color="auto" w:fill="auto"/>
            <w:tcMar>
              <w:top w:w="40" w:type="dxa"/>
              <w:left w:w="20" w:type="dxa"/>
              <w:bottom w:w="40" w:type="dxa"/>
              <w:right w:w="20" w:type="dxa"/>
            </w:tcMar>
            <w:vAlign w:val="bottom"/>
          </w:tcPr>
          <w:p w14:paraId="1D02668D"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68E"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left w:w="20" w:type="dxa"/>
              <w:right w:w="20" w:type="dxa"/>
            </w:tcMar>
            <w:vAlign w:val="bottom"/>
          </w:tcPr>
          <w:p w14:paraId="1D02668F" w14:textId="77777777" w:rsidR="004421F6" w:rsidRDefault="004421F6">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690" w14:textId="77777777" w:rsidR="004421F6" w:rsidRDefault="00F15622">
            <w:pPr>
              <w:jc w:val="center"/>
              <w:textAlignment w:val="bottom"/>
            </w:pPr>
            <w:r>
              <w:rPr>
                <w:rFonts w:ascii="sans-serif" w:eastAsia="sans-serif" w:hAnsi="sans-serif" w:cs="sans-serif"/>
                <w:b/>
                <w:bCs/>
                <w:color w:val="000000"/>
                <w:sz w:val="17"/>
                <w:szCs w:val="17"/>
              </w:rPr>
              <w:t>2020</w:t>
            </w:r>
          </w:p>
        </w:tc>
      </w:tr>
      <w:tr w:rsidR="004421F6" w14:paraId="1D026696"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692" w14:textId="77777777" w:rsidR="004421F6" w:rsidRDefault="00F15622">
            <w:pPr>
              <w:textAlignment w:val="bottom"/>
            </w:pPr>
            <w:r>
              <w:rPr>
                <w:rFonts w:ascii="Arial" w:eastAsia="宋体" w:hAnsi="Arial" w:cs="Arial"/>
                <w:b/>
                <w:bCs/>
                <w:color w:val="000000"/>
                <w:sz w:val="17"/>
                <w:szCs w:val="17"/>
              </w:rPr>
              <w:t>PROPERTY, PLANT AND EQUIPMENT, NET</w:t>
            </w:r>
          </w:p>
        </w:tc>
        <w:tc>
          <w:tcPr>
            <w:tcW w:w="0" w:type="auto"/>
            <w:gridSpan w:val="3"/>
            <w:tcBorders>
              <w:top w:val="single" w:sz="8" w:space="0" w:color="E87722"/>
            </w:tcBorders>
            <w:shd w:val="clear" w:color="auto" w:fill="FFF1E7"/>
            <w:tcMar>
              <w:left w:w="20" w:type="dxa"/>
              <w:right w:w="20" w:type="dxa"/>
            </w:tcMar>
            <w:vAlign w:val="bottom"/>
          </w:tcPr>
          <w:p w14:paraId="1D026693"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694"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695" w14:textId="77777777" w:rsidR="004421F6" w:rsidRDefault="004421F6">
            <w:pPr>
              <w:rPr>
                <w:rFonts w:ascii="宋体"/>
              </w:rPr>
            </w:pPr>
          </w:p>
        </w:tc>
      </w:tr>
      <w:tr w:rsidR="004421F6" w14:paraId="1D02669F"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697" w14:textId="77777777" w:rsidR="004421F6" w:rsidRDefault="00F15622">
            <w:pPr>
              <w:textAlignment w:val="bottom"/>
            </w:pPr>
            <w:r>
              <w:rPr>
                <w:rFonts w:ascii="Arial" w:eastAsia="宋体" w:hAnsi="Arial" w:cs="Arial"/>
                <w:color w:val="000000"/>
                <w:sz w:val="17"/>
                <w:szCs w:val="17"/>
              </w:rPr>
              <w:t>North America</w:t>
            </w:r>
          </w:p>
        </w:tc>
        <w:tc>
          <w:tcPr>
            <w:tcW w:w="0" w:type="auto"/>
            <w:tcBorders>
              <w:top w:val="single" w:sz="8" w:space="0" w:color="808080"/>
            </w:tcBorders>
            <w:shd w:val="clear" w:color="auto" w:fill="FFF1E7"/>
            <w:tcMar>
              <w:top w:w="40" w:type="dxa"/>
              <w:left w:w="20" w:type="dxa"/>
              <w:bottom w:w="40" w:type="dxa"/>
            </w:tcMar>
            <w:vAlign w:val="bottom"/>
          </w:tcPr>
          <w:p w14:paraId="1D026698"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699" w14:textId="77777777" w:rsidR="004421F6" w:rsidRDefault="00F15622">
            <w:pPr>
              <w:jc w:val="right"/>
              <w:textAlignment w:val="bottom"/>
            </w:pPr>
            <w:r>
              <w:rPr>
                <w:rFonts w:ascii="Arial" w:eastAsia="宋体" w:hAnsi="Arial" w:cs="Arial"/>
                <w:color w:val="000000"/>
                <w:sz w:val="17"/>
                <w:szCs w:val="17"/>
              </w:rPr>
              <w:t>637 </w:t>
            </w:r>
          </w:p>
        </w:tc>
        <w:tc>
          <w:tcPr>
            <w:tcW w:w="0" w:type="auto"/>
            <w:tcBorders>
              <w:top w:val="single" w:sz="8" w:space="0" w:color="808080"/>
            </w:tcBorders>
            <w:shd w:val="clear" w:color="auto" w:fill="FFF1E7"/>
            <w:tcMar>
              <w:top w:w="40" w:type="dxa"/>
              <w:bottom w:w="40" w:type="dxa"/>
              <w:right w:w="20" w:type="dxa"/>
            </w:tcMar>
            <w:vAlign w:val="bottom"/>
          </w:tcPr>
          <w:p w14:paraId="1D02669A"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9B" w14:textId="77777777" w:rsidR="004421F6" w:rsidRDefault="004421F6">
            <w:pPr>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69C"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69D" w14:textId="77777777" w:rsidR="004421F6" w:rsidRDefault="00F15622">
            <w:pPr>
              <w:jc w:val="right"/>
              <w:textAlignment w:val="bottom"/>
            </w:pPr>
            <w:r>
              <w:rPr>
                <w:rFonts w:ascii="Arial" w:eastAsia="宋体" w:hAnsi="Arial" w:cs="Arial"/>
                <w:color w:val="000000"/>
                <w:sz w:val="17"/>
                <w:szCs w:val="17"/>
              </w:rPr>
              <w:t>645 </w:t>
            </w:r>
          </w:p>
        </w:tc>
        <w:tc>
          <w:tcPr>
            <w:tcW w:w="0" w:type="auto"/>
            <w:tcBorders>
              <w:top w:val="single" w:sz="8" w:space="0" w:color="808080"/>
            </w:tcBorders>
            <w:shd w:val="clear" w:color="auto" w:fill="auto"/>
            <w:tcMar>
              <w:top w:w="40" w:type="dxa"/>
              <w:bottom w:w="40" w:type="dxa"/>
              <w:right w:w="20" w:type="dxa"/>
            </w:tcMar>
            <w:vAlign w:val="bottom"/>
          </w:tcPr>
          <w:p w14:paraId="1D02669E" w14:textId="77777777" w:rsidR="004421F6" w:rsidRDefault="004421F6">
            <w:pPr>
              <w:jc w:val="right"/>
              <w:rPr>
                <w:rFonts w:ascii="宋体"/>
              </w:rPr>
            </w:pPr>
          </w:p>
        </w:tc>
      </w:tr>
      <w:tr w:rsidR="004421F6" w14:paraId="1D0266A6"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6A0" w14:textId="77777777" w:rsidR="004421F6" w:rsidRDefault="00F15622">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6A1" w14:textId="77777777" w:rsidR="004421F6" w:rsidRDefault="00F15622">
            <w:pPr>
              <w:jc w:val="right"/>
              <w:textAlignment w:val="bottom"/>
            </w:pPr>
            <w:r>
              <w:rPr>
                <w:rFonts w:ascii="Arial" w:eastAsia="宋体" w:hAnsi="Arial" w:cs="Arial"/>
                <w:color w:val="000000"/>
                <w:sz w:val="17"/>
                <w:szCs w:val="17"/>
              </w:rPr>
              <w:t>938 </w:t>
            </w:r>
          </w:p>
        </w:tc>
        <w:tc>
          <w:tcPr>
            <w:tcW w:w="0" w:type="auto"/>
            <w:tcBorders>
              <w:top w:val="single" w:sz="8" w:space="0" w:color="808080"/>
            </w:tcBorders>
            <w:shd w:val="clear" w:color="auto" w:fill="FFF1E7"/>
            <w:tcMar>
              <w:top w:w="40" w:type="dxa"/>
              <w:bottom w:w="40" w:type="dxa"/>
              <w:right w:w="20" w:type="dxa"/>
            </w:tcMar>
            <w:vAlign w:val="bottom"/>
          </w:tcPr>
          <w:p w14:paraId="1D0266A2"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A3"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6A4" w14:textId="77777777" w:rsidR="004421F6" w:rsidRDefault="00F15622">
            <w:pPr>
              <w:jc w:val="right"/>
              <w:textAlignment w:val="bottom"/>
            </w:pPr>
            <w:r>
              <w:rPr>
                <w:rFonts w:ascii="Arial" w:eastAsia="宋体" w:hAnsi="Arial" w:cs="Arial"/>
                <w:color w:val="000000"/>
                <w:sz w:val="17"/>
                <w:szCs w:val="17"/>
              </w:rPr>
              <w:t>885 </w:t>
            </w:r>
          </w:p>
        </w:tc>
        <w:tc>
          <w:tcPr>
            <w:tcW w:w="0" w:type="auto"/>
            <w:tcBorders>
              <w:top w:val="single" w:sz="8" w:space="0" w:color="808080"/>
            </w:tcBorders>
            <w:shd w:val="clear" w:color="auto" w:fill="auto"/>
            <w:tcMar>
              <w:top w:w="40" w:type="dxa"/>
              <w:bottom w:w="40" w:type="dxa"/>
              <w:right w:w="20" w:type="dxa"/>
            </w:tcMar>
            <w:vAlign w:val="bottom"/>
          </w:tcPr>
          <w:p w14:paraId="1D0266A5" w14:textId="77777777" w:rsidR="004421F6" w:rsidRDefault="004421F6">
            <w:pPr>
              <w:jc w:val="right"/>
              <w:rPr>
                <w:rFonts w:ascii="宋体"/>
              </w:rPr>
            </w:pPr>
          </w:p>
        </w:tc>
      </w:tr>
      <w:tr w:rsidR="004421F6" w14:paraId="1D0266AD"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6A7" w14:textId="77777777" w:rsidR="004421F6" w:rsidRDefault="00F15622">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6A8" w14:textId="77777777" w:rsidR="004421F6" w:rsidRDefault="00F15622">
            <w:pPr>
              <w:jc w:val="right"/>
              <w:textAlignment w:val="bottom"/>
            </w:pPr>
            <w:r>
              <w:rPr>
                <w:rFonts w:ascii="Arial" w:eastAsia="宋体" w:hAnsi="Arial" w:cs="Arial"/>
                <w:color w:val="000000"/>
                <w:sz w:val="17"/>
                <w:szCs w:val="17"/>
              </w:rPr>
              <w:t>224 </w:t>
            </w:r>
          </w:p>
        </w:tc>
        <w:tc>
          <w:tcPr>
            <w:tcW w:w="0" w:type="auto"/>
            <w:tcBorders>
              <w:top w:val="single" w:sz="8" w:space="0" w:color="808080"/>
            </w:tcBorders>
            <w:shd w:val="clear" w:color="auto" w:fill="FFF1E7"/>
            <w:tcMar>
              <w:top w:w="40" w:type="dxa"/>
              <w:bottom w:w="40" w:type="dxa"/>
              <w:right w:w="20" w:type="dxa"/>
            </w:tcMar>
            <w:vAlign w:val="bottom"/>
          </w:tcPr>
          <w:p w14:paraId="1D0266A9"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AA"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6AB" w14:textId="77777777" w:rsidR="004421F6" w:rsidRDefault="00F15622">
            <w:pPr>
              <w:jc w:val="right"/>
              <w:textAlignment w:val="bottom"/>
            </w:pPr>
            <w:r>
              <w:rPr>
                <w:rFonts w:ascii="Arial" w:eastAsia="宋体" w:hAnsi="Arial" w:cs="Arial"/>
                <w:color w:val="000000"/>
                <w:sz w:val="17"/>
                <w:szCs w:val="17"/>
              </w:rPr>
              <w:t>214 </w:t>
            </w:r>
          </w:p>
        </w:tc>
        <w:tc>
          <w:tcPr>
            <w:tcW w:w="0" w:type="auto"/>
            <w:tcBorders>
              <w:top w:val="single" w:sz="8" w:space="0" w:color="808080"/>
            </w:tcBorders>
            <w:shd w:val="clear" w:color="auto" w:fill="auto"/>
            <w:tcMar>
              <w:top w:w="40" w:type="dxa"/>
              <w:bottom w:w="40" w:type="dxa"/>
              <w:right w:w="20" w:type="dxa"/>
            </w:tcMar>
            <w:vAlign w:val="bottom"/>
          </w:tcPr>
          <w:p w14:paraId="1D0266AC" w14:textId="77777777" w:rsidR="004421F6" w:rsidRDefault="004421F6">
            <w:pPr>
              <w:jc w:val="right"/>
              <w:rPr>
                <w:rFonts w:ascii="宋体"/>
              </w:rPr>
            </w:pPr>
          </w:p>
        </w:tc>
      </w:tr>
      <w:tr w:rsidR="004421F6" w14:paraId="1D0266B4"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6AE" w14:textId="77777777" w:rsidR="004421F6" w:rsidRDefault="00F15622">
            <w:pPr>
              <w:textAlignment w:val="bottom"/>
            </w:pPr>
            <w:r>
              <w:rPr>
                <w:rFonts w:ascii="Arial" w:eastAsia="宋体" w:hAnsi="Arial" w:cs="Arial"/>
                <w:color w:val="000000"/>
                <w:sz w:val="17"/>
                <w:szCs w:val="17"/>
              </w:rPr>
              <w:t>Asia Pacific &amp; Latin America</w:t>
            </w:r>
            <w:r>
              <w:rPr>
                <w:rFonts w:ascii="Arial" w:eastAsia="宋体" w:hAnsi="Arial" w:cs="Arial"/>
                <w:color w:val="000000"/>
                <w:sz w:val="9"/>
                <w:szCs w:val="9"/>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6AF" w14:textId="77777777" w:rsidR="004421F6" w:rsidRDefault="00F15622">
            <w:pPr>
              <w:jc w:val="right"/>
              <w:textAlignment w:val="bottom"/>
            </w:pPr>
            <w:r>
              <w:rPr>
                <w:rFonts w:ascii="Arial" w:eastAsia="宋体" w:hAnsi="Arial" w:cs="Arial"/>
                <w:color w:val="000000"/>
                <w:sz w:val="17"/>
                <w:szCs w:val="17"/>
              </w:rPr>
              <w:t>305 </w:t>
            </w:r>
          </w:p>
        </w:tc>
        <w:tc>
          <w:tcPr>
            <w:tcW w:w="0" w:type="auto"/>
            <w:tcBorders>
              <w:top w:val="single" w:sz="8" w:space="0" w:color="808080"/>
            </w:tcBorders>
            <w:shd w:val="clear" w:color="auto" w:fill="FFF1E7"/>
            <w:tcMar>
              <w:top w:w="40" w:type="dxa"/>
              <w:bottom w:w="40" w:type="dxa"/>
              <w:right w:w="20" w:type="dxa"/>
            </w:tcMar>
            <w:vAlign w:val="bottom"/>
          </w:tcPr>
          <w:p w14:paraId="1D0266B0"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B1"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6B2" w14:textId="77777777" w:rsidR="004421F6" w:rsidRDefault="00F15622">
            <w:pPr>
              <w:jc w:val="right"/>
              <w:textAlignment w:val="bottom"/>
            </w:pPr>
            <w:r>
              <w:rPr>
                <w:rFonts w:ascii="Arial" w:eastAsia="宋体" w:hAnsi="Arial" w:cs="Arial"/>
                <w:color w:val="000000"/>
                <w:sz w:val="17"/>
                <w:szCs w:val="17"/>
              </w:rPr>
              <w:t>296 </w:t>
            </w:r>
          </w:p>
        </w:tc>
        <w:tc>
          <w:tcPr>
            <w:tcW w:w="0" w:type="auto"/>
            <w:tcBorders>
              <w:top w:val="single" w:sz="8" w:space="0" w:color="808080"/>
            </w:tcBorders>
            <w:shd w:val="clear" w:color="auto" w:fill="auto"/>
            <w:tcMar>
              <w:top w:w="40" w:type="dxa"/>
              <w:bottom w:w="40" w:type="dxa"/>
              <w:right w:w="20" w:type="dxa"/>
            </w:tcMar>
            <w:vAlign w:val="bottom"/>
          </w:tcPr>
          <w:p w14:paraId="1D0266B3" w14:textId="77777777" w:rsidR="004421F6" w:rsidRDefault="004421F6">
            <w:pPr>
              <w:jc w:val="right"/>
              <w:rPr>
                <w:rFonts w:ascii="宋体"/>
              </w:rPr>
            </w:pPr>
          </w:p>
        </w:tc>
      </w:tr>
      <w:tr w:rsidR="004421F6" w14:paraId="1D0266BB"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6B5" w14:textId="77777777" w:rsidR="004421F6" w:rsidRDefault="00F15622">
            <w:pPr>
              <w:textAlignment w:val="bottom"/>
            </w:pPr>
            <w:r>
              <w:rPr>
                <w:rFonts w:ascii="Arial" w:eastAsia="宋体" w:hAnsi="Arial" w:cs="Arial"/>
                <w:color w:val="000000"/>
                <w:sz w:val="17"/>
                <w:szCs w:val="17"/>
              </w:rPr>
              <w:t>Global Brand 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6B6" w14:textId="77777777" w:rsidR="004421F6" w:rsidRDefault="00F15622">
            <w:pPr>
              <w:jc w:val="right"/>
              <w:textAlignment w:val="bottom"/>
            </w:pPr>
            <w:r>
              <w:rPr>
                <w:rFonts w:ascii="Arial" w:eastAsia="宋体" w:hAnsi="Arial" w:cs="Arial"/>
                <w:color w:val="000000"/>
                <w:sz w:val="17"/>
                <w:szCs w:val="17"/>
              </w:rPr>
              <w:t>867 </w:t>
            </w:r>
          </w:p>
        </w:tc>
        <w:tc>
          <w:tcPr>
            <w:tcW w:w="0" w:type="auto"/>
            <w:tcBorders>
              <w:top w:val="single" w:sz="8" w:space="0" w:color="808080"/>
            </w:tcBorders>
            <w:shd w:val="clear" w:color="auto" w:fill="FFF1E7"/>
            <w:tcMar>
              <w:top w:w="40" w:type="dxa"/>
              <w:bottom w:w="40" w:type="dxa"/>
              <w:right w:w="20" w:type="dxa"/>
            </w:tcMar>
            <w:vAlign w:val="bottom"/>
          </w:tcPr>
          <w:p w14:paraId="1D0266B7"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B8"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6B9" w14:textId="77777777" w:rsidR="004421F6" w:rsidRDefault="00F15622">
            <w:pPr>
              <w:jc w:val="right"/>
              <w:textAlignment w:val="bottom"/>
            </w:pPr>
            <w:r>
              <w:rPr>
                <w:rFonts w:ascii="Arial" w:eastAsia="宋体" w:hAnsi="Arial" w:cs="Arial"/>
                <w:color w:val="000000"/>
                <w:sz w:val="17"/>
                <w:szCs w:val="17"/>
              </w:rPr>
              <w:t>830 </w:t>
            </w:r>
          </w:p>
        </w:tc>
        <w:tc>
          <w:tcPr>
            <w:tcW w:w="0" w:type="auto"/>
            <w:tcBorders>
              <w:top w:val="single" w:sz="8" w:space="0" w:color="808080"/>
            </w:tcBorders>
            <w:shd w:val="clear" w:color="auto" w:fill="auto"/>
            <w:tcMar>
              <w:top w:w="40" w:type="dxa"/>
              <w:bottom w:w="40" w:type="dxa"/>
              <w:right w:w="20" w:type="dxa"/>
            </w:tcMar>
            <w:vAlign w:val="bottom"/>
          </w:tcPr>
          <w:p w14:paraId="1D0266BA" w14:textId="77777777" w:rsidR="004421F6" w:rsidRDefault="004421F6">
            <w:pPr>
              <w:jc w:val="right"/>
              <w:rPr>
                <w:rFonts w:ascii="宋体"/>
              </w:rPr>
            </w:pPr>
          </w:p>
        </w:tc>
      </w:tr>
      <w:tr w:rsidR="004421F6" w14:paraId="1D0266C2"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6BC" w14:textId="77777777" w:rsidR="004421F6" w:rsidRDefault="00F15622">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66BD" w14:textId="77777777" w:rsidR="004421F6" w:rsidRDefault="00F15622">
            <w:pPr>
              <w:jc w:val="right"/>
              <w:textAlignment w:val="bottom"/>
            </w:pPr>
            <w:r>
              <w:rPr>
                <w:rFonts w:ascii="Arial" w:eastAsia="宋体" w:hAnsi="Arial" w:cs="Arial"/>
                <w:color w:val="000000"/>
                <w:sz w:val="17"/>
                <w:szCs w:val="17"/>
              </w:rPr>
              <w:t>2,971 </w:t>
            </w:r>
          </w:p>
        </w:tc>
        <w:tc>
          <w:tcPr>
            <w:tcW w:w="0" w:type="auto"/>
            <w:tcBorders>
              <w:top w:val="single" w:sz="8" w:space="0" w:color="E87722"/>
            </w:tcBorders>
            <w:shd w:val="clear" w:color="auto" w:fill="FFF1E7"/>
            <w:tcMar>
              <w:top w:w="40" w:type="dxa"/>
              <w:bottom w:w="40" w:type="dxa"/>
              <w:right w:w="20" w:type="dxa"/>
            </w:tcMar>
            <w:vAlign w:val="bottom"/>
          </w:tcPr>
          <w:p w14:paraId="1D0266BE" w14:textId="77777777" w:rsidR="004421F6" w:rsidRDefault="004421F6">
            <w:pPr>
              <w:jc w:val="right"/>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6BF" w14:textId="77777777" w:rsidR="004421F6" w:rsidRDefault="004421F6">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6C0" w14:textId="77777777" w:rsidR="004421F6" w:rsidRDefault="00F15622">
            <w:pPr>
              <w:jc w:val="right"/>
              <w:textAlignment w:val="bottom"/>
            </w:pPr>
            <w:r>
              <w:rPr>
                <w:rFonts w:ascii="Arial" w:eastAsia="宋体" w:hAnsi="Arial" w:cs="Arial"/>
                <w:color w:val="000000"/>
                <w:sz w:val="17"/>
                <w:szCs w:val="17"/>
              </w:rPr>
              <w:t>2,870 </w:t>
            </w:r>
          </w:p>
        </w:tc>
        <w:tc>
          <w:tcPr>
            <w:tcW w:w="0" w:type="auto"/>
            <w:tcBorders>
              <w:top w:val="single" w:sz="8" w:space="0" w:color="E87722"/>
            </w:tcBorders>
            <w:shd w:val="clear" w:color="auto" w:fill="auto"/>
            <w:tcMar>
              <w:top w:w="40" w:type="dxa"/>
              <w:bottom w:w="40" w:type="dxa"/>
              <w:right w:w="20" w:type="dxa"/>
            </w:tcMar>
            <w:vAlign w:val="bottom"/>
          </w:tcPr>
          <w:p w14:paraId="1D0266C1" w14:textId="77777777" w:rsidR="004421F6" w:rsidRDefault="004421F6">
            <w:pPr>
              <w:jc w:val="right"/>
              <w:rPr>
                <w:rFonts w:ascii="宋体"/>
              </w:rPr>
            </w:pPr>
          </w:p>
        </w:tc>
      </w:tr>
      <w:tr w:rsidR="004421F6" w14:paraId="1D0266C9"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6C3" w14:textId="77777777" w:rsidR="004421F6" w:rsidRDefault="00F15622">
            <w:pPr>
              <w:textAlignment w:val="bottom"/>
            </w:pPr>
            <w:r>
              <w:rPr>
                <w:rFonts w:ascii="Arial" w:eastAsia="宋体" w:hAnsi="Arial" w:cs="Arial"/>
                <w:color w:val="000000"/>
                <w:sz w:val="17"/>
                <w:szCs w:val="17"/>
              </w:rPr>
              <w:t>Converse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6C4" w14:textId="77777777" w:rsidR="004421F6" w:rsidRDefault="00F15622">
            <w:pPr>
              <w:jc w:val="right"/>
              <w:textAlignment w:val="bottom"/>
            </w:pPr>
            <w:r>
              <w:rPr>
                <w:rFonts w:ascii="Arial" w:eastAsia="宋体" w:hAnsi="Arial" w:cs="Arial"/>
                <w:color w:val="000000"/>
                <w:sz w:val="17"/>
                <w:szCs w:val="17"/>
              </w:rPr>
              <w:t>76 </w:t>
            </w:r>
          </w:p>
        </w:tc>
        <w:tc>
          <w:tcPr>
            <w:tcW w:w="0" w:type="auto"/>
            <w:tcBorders>
              <w:top w:val="single" w:sz="8" w:space="0" w:color="808080"/>
            </w:tcBorders>
            <w:shd w:val="clear" w:color="auto" w:fill="FFF1E7"/>
            <w:tcMar>
              <w:top w:w="40" w:type="dxa"/>
              <w:bottom w:w="40" w:type="dxa"/>
              <w:right w:w="20" w:type="dxa"/>
            </w:tcMar>
            <w:vAlign w:val="bottom"/>
          </w:tcPr>
          <w:p w14:paraId="1D0266C5"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C6"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6C7" w14:textId="77777777" w:rsidR="004421F6" w:rsidRDefault="00F15622">
            <w:pPr>
              <w:jc w:val="right"/>
              <w:textAlignment w:val="bottom"/>
            </w:pPr>
            <w:r>
              <w:rPr>
                <w:rFonts w:ascii="Arial" w:eastAsia="宋体" w:hAnsi="Arial" w:cs="Arial"/>
                <w:color w:val="000000"/>
                <w:sz w:val="17"/>
                <w:szCs w:val="17"/>
              </w:rPr>
              <w:t>80 </w:t>
            </w:r>
          </w:p>
        </w:tc>
        <w:tc>
          <w:tcPr>
            <w:tcW w:w="0" w:type="auto"/>
            <w:tcBorders>
              <w:top w:val="single" w:sz="8" w:space="0" w:color="808080"/>
            </w:tcBorders>
            <w:shd w:val="clear" w:color="auto" w:fill="auto"/>
            <w:tcMar>
              <w:top w:w="40" w:type="dxa"/>
              <w:bottom w:w="40" w:type="dxa"/>
              <w:right w:w="20" w:type="dxa"/>
            </w:tcMar>
            <w:vAlign w:val="bottom"/>
          </w:tcPr>
          <w:p w14:paraId="1D0266C8" w14:textId="77777777" w:rsidR="004421F6" w:rsidRDefault="004421F6">
            <w:pPr>
              <w:jc w:val="right"/>
              <w:rPr>
                <w:rFonts w:ascii="宋体"/>
              </w:rPr>
            </w:pPr>
          </w:p>
        </w:tc>
      </w:tr>
      <w:tr w:rsidR="004421F6" w14:paraId="1D0266D0" w14:textId="77777777">
        <w:trPr>
          <w:jc w:val="center"/>
        </w:trPr>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6CA" w14:textId="77777777" w:rsidR="004421F6" w:rsidRDefault="00F15622">
            <w:pPr>
              <w:textAlignment w:val="bottom"/>
            </w:pPr>
            <w:r>
              <w:rPr>
                <w:rFonts w:ascii="Arial" w:eastAsia="宋体" w:hAnsi="Arial" w:cs="Arial"/>
                <w:color w:val="000000"/>
                <w:sz w:val="17"/>
                <w:szCs w:val="17"/>
              </w:rPr>
              <w:t>Corporate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6CB" w14:textId="77777777" w:rsidR="004421F6" w:rsidRDefault="00F15622">
            <w:pPr>
              <w:jc w:val="right"/>
              <w:textAlignment w:val="bottom"/>
            </w:pPr>
            <w:r>
              <w:rPr>
                <w:rFonts w:ascii="Arial" w:eastAsia="宋体" w:hAnsi="Arial" w:cs="Arial"/>
                <w:color w:val="000000"/>
                <w:sz w:val="17"/>
                <w:szCs w:val="17"/>
              </w:rPr>
              <w:t>1,922 </w:t>
            </w:r>
          </w:p>
        </w:tc>
        <w:tc>
          <w:tcPr>
            <w:tcW w:w="0" w:type="auto"/>
            <w:tcBorders>
              <w:top w:val="single" w:sz="8" w:space="0" w:color="808080"/>
            </w:tcBorders>
            <w:shd w:val="clear" w:color="auto" w:fill="FFF1E7"/>
            <w:tcMar>
              <w:top w:w="40" w:type="dxa"/>
              <w:bottom w:w="40" w:type="dxa"/>
              <w:right w:w="20" w:type="dxa"/>
            </w:tcMar>
            <w:vAlign w:val="bottom"/>
          </w:tcPr>
          <w:p w14:paraId="1D0266CC" w14:textId="77777777" w:rsidR="004421F6" w:rsidRDefault="004421F6">
            <w:pPr>
              <w:jc w:val="right"/>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6CD" w14:textId="77777777" w:rsidR="004421F6" w:rsidRDefault="004421F6">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6CE" w14:textId="77777777" w:rsidR="004421F6" w:rsidRDefault="00F15622">
            <w:pPr>
              <w:jc w:val="right"/>
              <w:textAlignment w:val="bottom"/>
            </w:pPr>
            <w:r>
              <w:rPr>
                <w:rFonts w:ascii="Arial" w:eastAsia="宋体" w:hAnsi="Arial" w:cs="Arial"/>
                <w:color w:val="000000"/>
                <w:sz w:val="17"/>
                <w:szCs w:val="17"/>
              </w:rPr>
              <w:t>1,916 </w:t>
            </w:r>
          </w:p>
        </w:tc>
        <w:tc>
          <w:tcPr>
            <w:tcW w:w="0" w:type="auto"/>
            <w:tcBorders>
              <w:top w:val="single" w:sz="8" w:space="0" w:color="808080"/>
            </w:tcBorders>
            <w:shd w:val="clear" w:color="auto" w:fill="auto"/>
            <w:tcMar>
              <w:top w:w="40" w:type="dxa"/>
              <w:bottom w:w="40" w:type="dxa"/>
              <w:right w:w="20" w:type="dxa"/>
            </w:tcMar>
            <w:vAlign w:val="bottom"/>
          </w:tcPr>
          <w:p w14:paraId="1D0266CF" w14:textId="77777777" w:rsidR="004421F6" w:rsidRDefault="004421F6">
            <w:pPr>
              <w:jc w:val="right"/>
              <w:rPr>
                <w:rFonts w:ascii="宋体"/>
              </w:rPr>
            </w:pPr>
          </w:p>
        </w:tc>
      </w:tr>
      <w:tr w:rsidR="004421F6" w14:paraId="1D0266D9"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66D1" w14:textId="77777777" w:rsidR="004421F6" w:rsidRDefault="00F15622">
            <w:pPr>
              <w:textAlignment w:val="bottom"/>
            </w:pPr>
            <w:r>
              <w:rPr>
                <w:rFonts w:ascii="Arial" w:eastAsia="宋体" w:hAnsi="Arial" w:cs="Arial"/>
                <w:b/>
                <w:bCs/>
                <w:color w:val="000000"/>
                <w:sz w:val="17"/>
                <w:szCs w:val="17"/>
              </w:rPr>
              <w:t>TOTAL PROPERTY, PLANT AND EQUIPMENT, NET</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6D2"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6D3" w14:textId="77777777" w:rsidR="004421F6" w:rsidRDefault="00F15622">
            <w:pPr>
              <w:jc w:val="right"/>
              <w:textAlignment w:val="bottom"/>
            </w:pPr>
            <w:r>
              <w:rPr>
                <w:rFonts w:ascii="Arial" w:eastAsia="宋体" w:hAnsi="Arial" w:cs="Arial"/>
                <w:b/>
                <w:bCs/>
                <w:color w:val="000000"/>
                <w:sz w:val="17"/>
                <w:szCs w:val="17"/>
              </w:rPr>
              <w:t>4,969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6D4" w14:textId="77777777" w:rsidR="004421F6" w:rsidRDefault="004421F6">
            <w:pPr>
              <w:jc w:val="right"/>
              <w:rPr>
                <w:rFonts w:ascii="宋体"/>
              </w:rPr>
            </w:pPr>
          </w:p>
        </w:tc>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66D5" w14:textId="77777777" w:rsidR="004421F6" w:rsidRDefault="004421F6">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6D6"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6D7" w14:textId="77777777" w:rsidR="004421F6" w:rsidRDefault="00F15622">
            <w:pPr>
              <w:jc w:val="right"/>
              <w:textAlignment w:val="bottom"/>
            </w:pPr>
            <w:r>
              <w:rPr>
                <w:rFonts w:ascii="Arial" w:eastAsia="宋体" w:hAnsi="Arial" w:cs="Arial"/>
                <w:b/>
                <w:bCs/>
                <w:color w:val="000000"/>
                <w:sz w:val="17"/>
                <w:szCs w:val="17"/>
              </w:rPr>
              <w:t>4,866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6D8" w14:textId="77777777" w:rsidR="004421F6" w:rsidRDefault="004421F6">
            <w:pPr>
              <w:jc w:val="right"/>
              <w:rPr>
                <w:rFonts w:ascii="宋体"/>
              </w:rPr>
            </w:pPr>
          </w:p>
        </w:tc>
      </w:tr>
    </w:tbl>
    <w:p w14:paraId="1D0266DA" w14:textId="77777777" w:rsidR="004421F6" w:rsidRDefault="00F15622">
      <w:pPr>
        <w:spacing w:before="60" w:after="60"/>
        <w:ind w:hanging="360"/>
      </w:pPr>
      <w:r>
        <w:rPr>
          <w:rFonts w:ascii="Arial" w:eastAsia="宋体" w:hAnsi="Arial" w:cs="Arial"/>
          <w:i/>
          <w:iCs/>
          <w:color w:val="000000"/>
          <w:sz w:val="14"/>
          <w:szCs w:val="14"/>
        </w:rPr>
        <w:t xml:space="preserve">(1)Excludes assets held-for-sale as of August 31, 2020 and May 31, 2020. See Note 13 — Acquisitions and Divestitures for </w:t>
      </w:r>
      <w:r>
        <w:rPr>
          <w:rFonts w:ascii="Arial" w:eastAsia="宋体" w:hAnsi="Arial" w:cs="Arial"/>
          <w:i/>
          <w:iCs/>
          <w:color w:val="000000"/>
          <w:sz w:val="14"/>
          <w:szCs w:val="14"/>
        </w:rPr>
        <w:t>additional information.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4421F6" w14:paraId="1D0266DE" w14:textId="77777777">
        <w:tc>
          <w:tcPr>
            <w:tcW w:w="50" w:type="pct"/>
            <w:shd w:val="clear" w:color="auto" w:fill="auto"/>
          </w:tcPr>
          <w:p w14:paraId="1D0266DB" w14:textId="77777777" w:rsidR="004421F6" w:rsidRDefault="004421F6">
            <w:pPr>
              <w:rPr>
                <w:rFonts w:ascii="宋体"/>
              </w:rPr>
            </w:pPr>
          </w:p>
        </w:tc>
        <w:tc>
          <w:tcPr>
            <w:tcW w:w="4945" w:type="pct"/>
            <w:shd w:val="clear" w:color="auto" w:fill="auto"/>
          </w:tcPr>
          <w:p w14:paraId="1D0266DC" w14:textId="77777777" w:rsidR="004421F6" w:rsidRDefault="004421F6">
            <w:pPr>
              <w:rPr>
                <w:rFonts w:ascii="宋体"/>
              </w:rPr>
            </w:pPr>
          </w:p>
        </w:tc>
        <w:tc>
          <w:tcPr>
            <w:tcW w:w="5" w:type="pct"/>
            <w:shd w:val="clear" w:color="auto" w:fill="auto"/>
          </w:tcPr>
          <w:p w14:paraId="1D0266DD" w14:textId="77777777" w:rsidR="004421F6" w:rsidRDefault="004421F6">
            <w:pPr>
              <w:rPr>
                <w:rFonts w:ascii="宋体"/>
              </w:rPr>
            </w:pPr>
          </w:p>
        </w:tc>
      </w:tr>
      <w:tr w:rsidR="004421F6" w14:paraId="1D0266E0" w14:textId="77777777">
        <w:tc>
          <w:tcPr>
            <w:tcW w:w="0" w:type="auto"/>
            <w:gridSpan w:val="3"/>
            <w:shd w:val="clear" w:color="auto" w:fill="auto"/>
            <w:tcMar>
              <w:top w:w="40" w:type="dxa"/>
              <w:left w:w="20" w:type="dxa"/>
              <w:bottom w:w="40" w:type="dxa"/>
              <w:right w:w="20" w:type="dxa"/>
            </w:tcMar>
            <w:vAlign w:val="bottom"/>
          </w:tcPr>
          <w:p w14:paraId="1D0266DF" w14:textId="77777777" w:rsidR="004421F6" w:rsidRDefault="00F15622">
            <w:pPr>
              <w:textAlignment w:val="bottom"/>
            </w:pPr>
            <w:r>
              <w:rPr>
                <w:rFonts w:ascii="sans-serif" w:eastAsia="sans-serif" w:hAnsi="sans-serif" w:cs="sans-serif"/>
                <w:b/>
                <w:bCs/>
                <w:color w:val="E87722"/>
                <w:sz w:val="36"/>
                <w:szCs w:val="36"/>
              </w:rPr>
              <w:t>NOTE 13 — ACQUISITIONS AND DIVESTITURES</w:t>
            </w:r>
          </w:p>
        </w:tc>
      </w:tr>
    </w:tbl>
    <w:p w14:paraId="1D0266E1" w14:textId="77777777" w:rsidR="004421F6" w:rsidRDefault="00F15622">
      <w:pPr>
        <w:spacing w:before="120" w:after="120"/>
      </w:pPr>
      <w:r>
        <w:rPr>
          <w:rFonts w:ascii="Arial" w:eastAsia="宋体" w:hAnsi="Arial" w:cs="Arial"/>
          <w:color w:val="000000"/>
          <w:sz w:val="17"/>
          <w:szCs w:val="17"/>
        </w:rPr>
        <w:t xml:space="preserve">During the third quarter of fiscal 2020, as a result of the Company's decision to transition its wholesale and direct to consumer operating model in certain countries within its APLA </w:t>
      </w:r>
      <w:r>
        <w:rPr>
          <w:rFonts w:ascii="Arial" w:eastAsia="宋体" w:hAnsi="Arial" w:cs="Arial"/>
          <w:color w:val="000000"/>
          <w:sz w:val="17"/>
          <w:szCs w:val="17"/>
        </w:rPr>
        <w:t>operating segment, the Company signed definitive agreements to sell its NIKE Brand businesses in Brazil, Argentina, Chile and Uruguay to third-party distributors. Specifically, NIKE entered into agreements to sell its operations in Argentina, Chile and Uru</w:t>
      </w:r>
      <w:r>
        <w:rPr>
          <w:rFonts w:ascii="Arial" w:eastAsia="宋体" w:hAnsi="Arial" w:cs="Arial"/>
          <w:color w:val="000000"/>
          <w:sz w:val="17"/>
          <w:szCs w:val="17"/>
        </w:rPr>
        <w:t>guay to Grupo Axo and to sell substantially all of its operations in Brazil to Grupo SBF S.A., through its wholly owned subsidiary. The Company will retain a small operation in Brazil focused on certain sports marketing assets, local manufacturing and Conv</w:t>
      </w:r>
      <w:r>
        <w:rPr>
          <w:rFonts w:ascii="Arial" w:eastAsia="宋体" w:hAnsi="Arial" w:cs="Arial"/>
          <w:color w:val="000000"/>
          <w:sz w:val="17"/>
          <w:szCs w:val="17"/>
        </w:rPr>
        <w:t>erse. These transactions are expected to close prior to January 1, 2021, with Grupo SBF S.A.'s transaction subject to Brazil Antitrust Authority approvals.</w:t>
      </w:r>
    </w:p>
    <w:p w14:paraId="1D0266E2" w14:textId="77777777" w:rsidR="004421F6" w:rsidRDefault="00F15622">
      <w:pPr>
        <w:spacing w:before="120"/>
      </w:pPr>
      <w:r>
        <w:rPr>
          <w:rFonts w:ascii="Arial" w:eastAsia="宋体" w:hAnsi="Arial" w:cs="Arial"/>
          <w:color w:val="000000"/>
          <w:sz w:val="17"/>
          <w:szCs w:val="17"/>
        </w:rPr>
        <w:t xml:space="preserve">As a result of this decision, beginning in the third quarter of fiscal 2020, the related assets and </w:t>
      </w:r>
      <w:r>
        <w:rPr>
          <w:rFonts w:ascii="Arial" w:eastAsia="宋体" w:hAnsi="Arial" w:cs="Arial"/>
          <w:color w:val="000000"/>
          <w:sz w:val="17"/>
          <w:szCs w:val="17"/>
        </w:rPr>
        <w:t>liabilities of these entities were classified as held-for-sale and remain as such on the Unaudited Condensed Consolidated Balance Sheets as of August 31, 2020, which consisted of the following:</w:t>
      </w:r>
    </w:p>
    <w:p w14:paraId="1D0266E3" w14:textId="77777777" w:rsidR="004421F6" w:rsidRDefault="00F15622">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Held-for-sale assets of $545 million, classified within Prepa</w:t>
      </w:r>
      <w:r>
        <w:rPr>
          <w:rFonts w:ascii="Arial" w:eastAsia="宋体" w:hAnsi="Arial" w:cs="Arial"/>
          <w:color w:val="000000"/>
          <w:sz w:val="17"/>
          <w:szCs w:val="17"/>
        </w:rPr>
        <w:t>id expenses and other current assets, primarily consisting of $272 million of Inventories, $174 million of Accounts receivable, net and $54 million of Prepaid expenses and other current assets; and</w:t>
      </w:r>
    </w:p>
    <w:p w14:paraId="1D0266E4" w14:textId="77777777" w:rsidR="004421F6" w:rsidRDefault="00F15622">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Held-for-sale liabilities of $88 million, classified with</w:t>
      </w:r>
      <w:r>
        <w:rPr>
          <w:rFonts w:ascii="Arial" w:eastAsia="宋体" w:hAnsi="Arial" w:cs="Arial"/>
          <w:color w:val="000000"/>
          <w:sz w:val="17"/>
          <w:szCs w:val="17"/>
        </w:rPr>
        <w:t xml:space="preserve">in Accrued liabilities, primarily consisting of $52 million of Accrued liabilities, as well as $26 million of Accounts payable. </w:t>
      </w:r>
    </w:p>
    <w:p w14:paraId="1D0266E5" w14:textId="77777777" w:rsidR="004421F6" w:rsidRDefault="00F15622">
      <w:pPr>
        <w:spacing w:before="60" w:after="60"/>
      </w:pPr>
      <w:r>
        <w:rPr>
          <w:rFonts w:ascii="Arial" w:eastAsia="宋体" w:hAnsi="Arial" w:cs="Arial"/>
          <w:color w:val="000000"/>
          <w:sz w:val="17"/>
          <w:szCs w:val="17"/>
        </w:rPr>
        <w:t xml:space="preserve">As of May 31, 2020, the related assets and liabilities of these entities classified as held-for-sale on the </w:t>
      </w:r>
      <w:r>
        <w:rPr>
          <w:rFonts w:ascii="Arial" w:eastAsia="宋体" w:hAnsi="Arial" w:cs="Arial"/>
          <w:color w:val="000000"/>
          <w:sz w:val="17"/>
          <w:szCs w:val="17"/>
        </w:rPr>
        <w:t>Consolidated Balance Sheets consisted of the following:</w:t>
      </w:r>
    </w:p>
    <w:p w14:paraId="1D0266E6" w14:textId="77777777" w:rsidR="004421F6" w:rsidRDefault="00F15622">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Held-for-sale assets of $506 million, classified within Prepaid expenses and other current assets, primarily consisting of $264 million of Inventories and $138 million of Accounts receivable, net; an</w:t>
      </w:r>
      <w:r>
        <w:rPr>
          <w:rFonts w:ascii="Arial" w:eastAsia="宋体" w:hAnsi="Arial" w:cs="Arial"/>
          <w:color w:val="000000"/>
          <w:sz w:val="17"/>
          <w:szCs w:val="17"/>
        </w:rPr>
        <w:t>d</w:t>
      </w:r>
    </w:p>
    <w:p w14:paraId="1D0266E7" w14:textId="77777777" w:rsidR="004421F6" w:rsidRDefault="00F15622">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 xml:space="preserve">Held-for-sale liabilities of $146 million, classified within Accrued liabilities, primarily consisting of $85 million of Accrued liabilities, as well as $49 million of Accounts payable. </w:t>
      </w:r>
    </w:p>
    <w:p w14:paraId="1D0266E8" w14:textId="77777777" w:rsidR="004421F6" w:rsidRDefault="00F15622">
      <w:r>
        <w:rPr>
          <w:rFonts w:ascii="Arial" w:eastAsia="宋体" w:hAnsi="Arial" w:cs="Arial"/>
          <w:color w:val="000000"/>
          <w:sz w:val="17"/>
          <w:szCs w:val="17"/>
        </w:rPr>
        <w:t>The Company has recognized total expected losses related to the transaction of $438 million within Other (income) expense, net, classified within Corporate, and a corresponding allowance within Accrued liabilities on the Unaudited Condensed Consolidated Ba</w:t>
      </w:r>
      <w:r>
        <w:rPr>
          <w:rFonts w:ascii="Arial" w:eastAsia="宋体" w:hAnsi="Arial" w:cs="Arial"/>
          <w:color w:val="000000"/>
          <w:sz w:val="17"/>
          <w:szCs w:val="17"/>
        </w:rPr>
        <w:t>lance Sheets; $405 million of which was recognized in fiscal 2020, primarily upon meeting the held-for-sale criteria. The expected loss is largely due to the anticipated release of the cumulative foreign currency translation losses recognized by the Argent</w:t>
      </w:r>
      <w:r>
        <w:rPr>
          <w:rFonts w:ascii="Arial" w:eastAsia="宋体" w:hAnsi="Arial" w:cs="Arial"/>
          <w:color w:val="000000"/>
          <w:sz w:val="17"/>
          <w:szCs w:val="17"/>
        </w:rPr>
        <w:t xml:space="preserve">ina, Chile and Uruguay legal entities.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4421F6" w14:paraId="1D0266EC" w14:textId="77777777">
        <w:trPr>
          <w:jc w:val="center"/>
        </w:trPr>
        <w:tc>
          <w:tcPr>
            <w:tcW w:w="50" w:type="pct"/>
            <w:shd w:val="clear" w:color="auto" w:fill="auto"/>
          </w:tcPr>
          <w:p w14:paraId="1D0266E9" w14:textId="77777777" w:rsidR="004421F6" w:rsidRDefault="004421F6">
            <w:pPr>
              <w:rPr>
                <w:rFonts w:ascii="宋体"/>
              </w:rPr>
            </w:pPr>
          </w:p>
        </w:tc>
        <w:tc>
          <w:tcPr>
            <w:tcW w:w="4945" w:type="pct"/>
            <w:shd w:val="clear" w:color="auto" w:fill="auto"/>
          </w:tcPr>
          <w:p w14:paraId="1D0266EA" w14:textId="77777777" w:rsidR="004421F6" w:rsidRDefault="004421F6">
            <w:pPr>
              <w:rPr>
                <w:rFonts w:ascii="宋体"/>
              </w:rPr>
            </w:pPr>
          </w:p>
        </w:tc>
        <w:tc>
          <w:tcPr>
            <w:tcW w:w="5" w:type="pct"/>
            <w:shd w:val="clear" w:color="auto" w:fill="auto"/>
          </w:tcPr>
          <w:p w14:paraId="1D0266EB" w14:textId="77777777" w:rsidR="004421F6" w:rsidRDefault="004421F6">
            <w:pPr>
              <w:rPr>
                <w:rFonts w:ascii="宋体"/>
              </w:rPr>
            </w:pPr>
          </w:p>
        </w:tc>
      </w:tr>
      <w:tr w:rsidR="004421F6" w14:paraId="1D0266EE" w14:textId="77777777">
        <w:trPr>
          <w:jc w:val="center"/>
        </w:trPr>
        <w:tc>
          <w:tcPr>
            <w:tcW w:w="0" w:type="auto"/>
            <w:gridSpan w:val="3"/>
            <w:shd w:val="clear" w:color="auto" w:fill="auto"/>
            <w:tcMar>
              <w:top w:w="40" w:type="dxa"/>
              <w:left w:w="20" w:type="dxa"/>
              <w:bottom w:w="40" w:type="dxa"/>
              <w:right w:w="20" w:type="dxa"/>
            </w:tcMar>
            <w:vAlign w:val="bottom"/>
          </w:tcPr>
          <w:p w14:paraId="1D0266ED" w14:textId="77777777" w:rsidR="004421F6" w:rsidRDefault="00F15622">
            <w:pPr>
              <w:textAlignment w:val="bottom"/>
            </w:pPr>
            <w:r>
              <w:rPr>
                <w:rFonts w:ascii="sans-serif" w:eastAsia="sans-serif" w:hAnsi="sans-serif" w:cs="sans-serif"/>
                <w:b/>
                <w:bCs/>
                <w:color w:val="E87722"/>
                <w:sz w:val="36"/>
                <w:szCs w:val="36"/>
              </w:rPr>
              <w:t>NOTE 14 —RESTRUCTURING</w:t>
            </w:r>
          </w:p>
        </w:tc>
      </w:tr>
    </w:tbl>
    <w:p w14:paraId="1D0266EF" w14:textId="77777777" w:rsidR="004421F6" w:rsidRDefault="00F15622">
      <w:r>
        <w:rPr>
          <w:rFonts w:ascii="Arial" w:eastAsia="宋体" w:hAnsi="Arial" w:cs="Arial"/>
          <w:color w:val="000000"/>
          <w:sz w:val="17"/>
          <w:szCs w:val="17"/>
        </w:rPr>
        <w:t>During the first quarter of fiscal 2021, the Company announced a new digitally empowered phase of its Consumer Direct Offense strategy: Consumer Direct Acceleration. As a result, managemen</w:t>
      </w:r>
      <w:r>
        <w:rPr>
          <w:rFonts w:ascii="Arial" w:eastAsia="宋体" w:hAnsi="Arial" w:cs="Arial"/>
          <w:color w:val="000000"/>
          <w:sz w:val="17"/>
          <w:szCs w:val="17"/>
        </w:rPr>
        <w:t>t announced a series of leadership and operating model changes to streamline and speed up strategic execution for the Company. These changes will result in a net reduction of the Company's global workforce and the Company expects to incur pre-tax charges o</w:t>
      </w:r>
      <w:r>
        <w:rPr>
          <w:rFonts w:ascii="Arial" w:eastAsia="宋体" w:hAnsi="Arial" w:cs="Arial"/>
          <w:color w:val="000000"/>
          <w:sz w:val="17"/>
          <w:szCs w:val="17"/>
        </w:rPr>
        <w:t>f approximately $315 million, the majority of which relate to employee termination costs and, to a lesser extent, stock-based compensation expense. These amounts reflect the continued evaluation and variability of our original estimate of employee terminat</w:t>
      </w:r>
      <w:r>
        <w:rPr>
          <w:rFonts w:ascii="Arial" w:eastAsia="宋体" w:hAnsi="Arial" w:cs="Arial"/>
          <w:color w:val="000000"/>
          <w:sz w:val="17"/>
          <w:szCs w:val="17"/>
        </w:rPr>
        <w:t xml:space="preserve">ion costs and required changes in assumptions used to calculate stock-based compensation expense. The amount of costs recognized during the first quarter of fiscal 2021 were not material as the majority will be recognized during the second quarter and are </w:t>
      </w:r>
      <w:r>
        <w:rPr>
          <w:rFonts w:ascii="Arial" w:eastAsia="宋体" w:hAnsi="Arial" w:cs="Arial"/>
          <w:color w:val="000000"/>
          <w:sz w:val="17"/>
          <w:szCs w:val="17"/>
        </w:rPr>
        <w:t xml:space="preserve">subject to change until all details are finalized. The related cash expenditures will take place throughout fiscal 2021. </w:t>
      </w:r>
    </w:p>
    <w:p w14:paraId="1D0266F0" w14:textId="77777777" w:rsidR="004421F6" w:rsidRDefault="00F15622">
      <w:pPr>
        <w:spacing w:before="120" w:after="120"/>
      </w:pPr>
      <w:r>
        <w:rPr>
          <w:rFonts w:ascii="Arial" w:eastAsia="宋体" w:hAnsi="Arial" w:cs="Arial"/>
          <w:color w:val="E87722"/>
          <w:sz w:val="17"/>
          <w:szCs w:val="17"/>
        </w:rPr>
        <w:t>20</w:t>
      </w:r>
      <w:r>
        <w:rPr>
          <w:rFonts w:ascii="sans-serif" w:eastAsia="sans-serif" w:hAnsi="sans-serif" w:cs="sans-serif"/>
          <w:color w:val="000000"/>
          <w:sz w:val="17"/>
          <w:szCs w:val="17"/>
        </w:rPr>
        <w:t xml:space="preserve"> </w:t>
      </w:r>
    </w:p>
    <w:p w14:paraId="1D0266F1" w14:textId="77777777" w:rsidR="004421F6" w:rsidRDefault="00F15622">
      <w:r>
        <w:pict w14:anchorId="1D02728F">
          <v:rect id="_x0000_i1046" style="width:415.3pt;height:1.5pt" o:hralign="center" o:hrstd="t" o:hr="t" fillcolor="#a0a0a0" stroked="f"/>
        </w:pict>
      </w:r>
    </w:p>
    <w:p w14:paraId="1D0266F2" w14:textId="77777777" w:rsidR="004421F6" w:rsidRDefault="004421F6"/>
    <w:p w14:paraId="1D0266F3" w14:textId="77777777" w:rsidR="004421F6" w:rsidRDefault="00F15622">
      <w:hyperlink r:id="rId91" w:anchor="i3e524f2e23844e81ba9d33a05ac3917c_7" w:history="1">
        <w:r>
          <w:rPr>
            <w:rStyle w:val="a5"/>
            <w:rFonts w:ascii="sans-serif" w:eastAsia="sans-serif" w:hAnsi="sans-serif" w:cs="sans-serif"/>
            <w:sz w:val="17"/>
            <w:szCs w:val="17"/>
          </w:rPr>
          <w:t>Table of Contents</w:t>
        </w:r>
      </w:hyperlink>
    </w:p>
    <w:p w14:paraId="1D0266F4" w14:textId="77777777" w:rsidR="004421F6" w:rsidRDefault="004421F6"/>
    <w:p w14:paraId="1D0266F5" w14:textId="77777777" w:rsidR="004421F6" w:rsidRDefault="00F15622">
      <w:pPr>
        <w:spacing w:before="360" w:after="180"/>
      </w:pPr>
      <w:r>
        <w:rPr>
          <w:rFonts w:ascii="sans-serif" w:eastAsia="sans-serif" w:hAnsi="sans-serif" w:cs="sans-serif"/>
          <w:color w:val="000000"/>
          <w:sz w:val="44"/>
          <w:szCs w:val="44"/>
        </w:rPr>
        <w:t>ITEM 2. MANAGEMENT'S DISCUSSION AND ANALYSIS OF FINANCIAL CONDITION AND RESULTS OF OP</w:t>
      </w:r>
      <w:r>
        <w:rPr>
          <w:rFonts w:ascii="sans-serif" w:eastAsia="sans-serif" w:hAnsi="sans-serif" w:cs="sans-serif"/>
          <w:color w:val="000000"/>
          <w:sz w:val="44"/>
          <w:szCs w:val="44"/>
        </w:rPr>
        <w:t>ERATIONS</w:t>
      </w:r>
    </w:p>
    <w:p w14:paraId="1D0266F6" w14:textId="77777777" w:rsidR="004421F6" w:rsidRDefault="00F15622">
      <w:pPr>
        <w:spacing w:before="240" w:after="120"/>
      </w:pPr>
      <w:r>
        <w:rPr>
          <w:rFonts w:ascii="sans-serif" w:eastAsia="sans-serif" w:hAnsi="sans-serif" w:cs="sans-serif"/>
          <w:b/>
          <w:bCs/>
          <w:color w:val="000000"/>
          <w:sz w:val="28"/>
          <w:szCs w:val="28"/>
        </w:rPr>
        <w:t>OVERVIEW</w:t>
      </w:r>
    </w:p>
    <w:p w14:paraId="1D0266F7" w14:textId="77777777" w:rsidR="004421F6" w:rsidRDefault="00F15622">
      <w:pPr>
        <w:spacing w:before="120" w:after="120"/>
      </w:pPr>
      <w:r>
        <w:rPr>
          <w:rFonts w:ascii="Arial" w:eastAsia="宋体" w:hAnsi="Arial" w:cs="Arial"/>
          <w:color w:val="000000"/>
          <w:sz w:val="17"/>
          <w:szCs w:val="17"/>
        </w:rPr>
        <w:t xml:space="preserve">NIKE designs, develops, markets and sells athletic footwear, apparel, equipment, accessories and services worldwide. We are the largest seller of athletic footwear and apparel in the world. We sell our products through NIKE-owned retail stores and through </w:t>
      </w:r>
      <w:r>
        <w:rPr>
          <w:rFonts w:ascii="Arial" w:eastAsia="宋体" w:hAnsi="Arial" w:cs="Arial"/>
          <w:color w:val="000000"/>
          <w:sz w:val="17"/>
          <w:szCs w:val="17"/>
        </w:rPr>
        <w:t>digital platforms (which we refer to collectively as our “NIKE Direct” operations), to retail accounts and to a mix of independent distributors, licensees and sales representatives in virtually all countries around the world. Our goal is to deliver value t</w:t>
      </w:r>
      <w:r>
        <w:rPr>
          <w:rFonts w:ascii="Arial" w:eastAsia="宋体" w:hAnsi="Arial" w:cs="Arial"/>
          <w:color w:val="000000"/>
          <w:sz w:val="17"/>
          <w:szCs w:val="17"/>
        </w:rPr>
        <w:t>o our shareholders by building a profitable global portfolio of branded footwear, apparel, equipment and accessories businesses. Our strategy is to achieve long-term revenue growth by creating innovative, “must-have” products, building deep personal consum</w:t>
      </w:r>
      <w:r>
        <w:rPr>
          <w:rFonts w:ascii="Arial" w:eastAsia="宋体" w:hAnsi="Arial" w:cs="Arial"/>
          <w:color w:val="000000"/>
          <w:sz w:val="17"/>
          <w:szCs w:val="17"/>
        </w:rPr>
        <w:t xml:space="preserve">er connections with our brands and delivering compelling consumer experiences through digital platforms and at retail. </w:t>
      </w:r>
    </w:p>
    <w:p w14:paraId="1D0266F8" w14:textId="77777777" w:rsidR="004421F6" w:rsidRDefault="00F15622">
      <w:pPr>
        <w:spacing w:before="120" w:after="120"/>
      </w:pPr>
      <w:r>
        <w:rPr>
          <w:rFonts w:ascii="Arial" w:eastAsia="宋体" w:hAnsi="Arial" w:cs="Arial"/>
          <w:color w:val="212529"/>
          <w:sz w:val="17"/>
          <w:szCs w:val="17"/>
        </w:rPr>
        <w:t>Since fiscal 2018, through the Consumer Direct Offense and our Triple Double strategy, we have focused on doubling the impact of innovat</w:t>
      </w:r>
      <w:r>
        <w:rPr>
          <w:rFonts w:ascii="Arial" w:eastAsia="宋体" w:hAnsi="Arial" w:cs="Arial"/>
          <w:color w:val="212529"/>
          <w:sz w:val="17"/>
          <w:szCs w:val="17"/>
        </w:rPr>
        <w:t>ion, increasing our speed and agility to market and growing our direct connections with consumers. In June 2020, we announced a new digitally empowered phase of the Consumer Direct Offense strategy: Consumer Direct Acceleration. This strategic acceleration</w:t>
      </w:r>
      <w:r>
        <w:rPr>
          <w:rFonts w:ascii="Arial" w:eastAsia="宋体" w:hAnsi="Arial" w:cs="Arial"/>
          <w:color w:val="212529"/>
          <w:sz w:val="17"/>
          <w:szCs w:val="17"/>
        </w:rPr>
        <w:t xml:space="preserve"> will focus on three specific areas. First, creating the marketplace of the future through more premium, consistent and seamless consumer experiences that more closely align with what consumers want and need. This strategy will lead with NIKE Digital and o</w:t>
      </w:r>
      <w:r>
        <w:rPr>
          <w:rFonts w:ascii="Arial" w:eastAsia="宋体" w:hAnsi="Arial" w:cs="Arial"/>
          <w:color w:val="212529"/>
          <w:sz w:val="17"/>
          <w:szCs w:val="17"/>
        </w:rPr>
        <w:t>ur own stores, as well as through select strategic partners who share our marketplace vision. Second, we will align our product creation and category organizations around a new consumer construct focused on Men’s, Women's and Kids'. This approach allows us</w:t>
      </w:r>
      <w:r>
        <w:rPr>
          <w:rFonts w:ascii="Arial" w:eastAsia="宋体" w:hAnsi="Arial" w:cs="Arial"/>
          <w:color w:val="212529"/>
          <w:sz w:val="17"/>
          <w:szCs w:val="17"/>
        </w:rPr>
        <w:t xml:space="preserve"> to create product that better meets individual consumer needs, including more specialization of our category approach, while re-aligning and simplifying our offense to accelerate our largest growth opportunities. In particular, we’ll be reinvesting in our</w:t>
      </w:r>
      <w:r>
        <w:rPr>
          <w:rFonts w:ascii="Arial" w:eastAsia="宋体" w:hAnsi="Arial" w:cs="Arial"/>
          <w:color w:val="212529"/>
          <w:sz w:val="17"/>
          <w:szCs w:val="17"/>
        </w:rPr>
        <w:t xml:space="preserve"> Women's and Kids' businesses and will also simplify our operating model across the remainder of the Company to optimize effectiveness. Third, we will unify investments in data and analytics, demand sensing, insight gathering, inventory management and othe</w:t>
      </w:r>
      <w:r>
        <w:rPr>
          <w:rFonts w:ascii="Arial" w:eastAsia="宋体" w:hAnsi="Arial" w:cs="Arial"/>
          <w:color w:val="212529"/>
          <w:sz w:val="17"/>
          <w:szCs w:val="17"/>
        </w:rPr>
        <w:t xml:space="preserve">r areas against an end-to-end technology foundation to accelerate our digital transformation. We believe this unified approach will accelerate growth and unlock more efficiency for our business, while driving speed and responsiveness as we serve consumers </w:t>
      </w:r>
      <w:r>
        <w:rPr>
          <w:rFonts w:ascii="Arial" w:eastAsia="宋体" w:hAnsi="Arial" w:cs="Arial"/>
          <w:color w:val="212529"/>
          <w:sz w:val="17"/>
          <w:szCs w:val="17"/>
        </w:rPr>
        <w:t>globally.</w:t>
      </w:r>
    </w:p>
    <w:p w14:paraId="1D0266F9" w14:textId="77777777" w:rsidR="004421F6" w:rsidRDefault="00F15622">
      <w:r>
        <w:rPr>
          <w:rFonts w:ascii="Arial" w:eastAsia="宋体" w:hAnsi="Arial" w:cs="Arial"/>
          <w:color w:val="212529"/>
          <w:sz w:val="17"/>
          <w:szCs w:val="17"/>
        </w:rPr>
        <w:t xml:space="preserve">As a result of our strategic acceleration, management announced on July 22, 2020, a series of leadership and operating model changes to streamline and speed up our execution. </w:t>
      </w:r>
      <w:r>
        <w:rPr>
          <w:rFonts w:ascii="Arial" w:eastAsia="宋体" w:hAnsi="Arial" w:cs="Arial"/>
          <w:color w:val="000000"/>
          <w:sz w:val="17"/>
          <w:szCs w:val="17"/>
        </w:rPr>
        <w:t>These changes will result in a net reduction of our global workforce an</w:t>
      </w:r>
      <w:r>
        <w:rPr>
          <w:rFonts w:ascii="Arial" w:eastAsia="宋体" w:hAnsi="Arial" w:cs="Arial"/>
          <w:color w:val="000000"/>
          <w:sz w:val="17"/>
          <w:szCs w:val="17"/>
        </w:rPr>
        <w:t xml:space="preserve">d we expect to incur pre-tax charges of approximately $315 million, the majority of which relate to employee termination costs and, to a lesser extent, stock-based compensation expense. These amounts reflect the continued evaluation and variability of our </w:t>
      </w:r>
      <w:r>
        <w:rPr>
          <w:rFonts w:ascii="Arial" w:eastAsia="宋体" w:hAnsi="Arial" w:cs="Arial"/>
          <w:color w:val="000000"/>
          <w:sz w:val="17"/>
          <w:szCs w:val="17"/>
        </w:rPr>
        <w:t>original estimate of employee termination costs and required changes in assumptions used to calculate stock-based compensation expense. The amount of costs recognized during the first quarter of fiscal 2021 were not material as the majority will be recogni</w:t>
      </w:r>
      <w:r>
        <w:rPr>
          <w:rFonts w:ascii="Arial" w:eastAsia="宋体" w:hAnsi="Arial" w:cs="Arial"/>
          <w:color w:val="000000"/>
          <w:sz w:val="17"/>
          <w:szCs w:val="17"/>
        </w:rPr>
        <w:t>zed during the second quarter and are subject to change until all details are finalized. The related cash expenditures will take place throughout fiscal 2021.</w:t>
      </w:r>
      <w:r>
        <w:rPr>
          <w:rFonts w:ascii="Arial" w:eastAsia="宋体" w:hAnsi="Arial" w:cs="Arial"/>
          <w:color w:val="212529"/>
          <w:sz w:val="17"/>
          <w:szCs w:val="17"/>
        </w:rPr>
        <w:t xml:space="preserve"> We expect future annual wage-related savings, as a result of these actions, will be reinvested to</w:t>
      </w:r>
      <w:r>
        <w:rPr>
          <w:rFonts w:ascii="Arial" w:eastAsia="宋体" w:hAnsi="Arial" w:cs="Arial"/>
          <w:color w:val="212529"/>
          <w:sz w:val="17"/>
          <w:szCs w:val="17"/>
        </w:rPr>
        <w:t xml:space="preserve"> execute against this next phase of our strategy.</w:t>
      </w:r>
    </w:p>
    <w:p w14:paraId="1D0266FA" w14:textId="77777777" w:rsidR="004421F6" w:rsidRDefault="00F15622">
      <w:pPr>
        <w:spacing w:before="120"/>
      </w:pPr>
      <w:r>
        <w:rPr>
          <w:rFonts w:ascii="sans-serif" w:eastAsia="sans-serif" w:hAnsi="sans-serif" w:cs="sans-serif"/>
          <w:b/>
          <w:bCs/>
          <w:color w:val="808080"/>
          <w:sz w:val="22"/>
          <w:szCs w:val="22"/>
        </w:rPr>
        <w:t>COVID-19 UPDATE</w:t>
      </w:r>
    </w:p>
    <w:p w14:paraId="1D0266FB" w14:textId="77777777" w:rsidR="004421F6" w:rsidRDefault="00F15622">
      <w:pPr>
        <w:spacing w:before="120" w:after="120"/>
      </w:pPr>
      <w:r>
        <w:rPr>
          <w:rFonts w:ascii="Arial" w:eastAsia="宋体" w:hAnsi="Arial" w:cs="Arial"/>
          <w:color w:val="212529"/>
          <w:sz w:val="17"/>
          <w:szCs w:val="17"/>
        </w:rPr>
        <w:t>The COVID-19 pandemic continues to impact our business results and operations globally causing us to transform the way we operate in order to better serve our consumers. Since the onset of t</w:t>
      </w:r>
      <w:r>
        <w:rPr>
          <w:rFonts w:ascii="Arial" w:eastAsia="宋体" w:hAnsi="Arial" w:cs="Arial"/>
          <w:color w:val="212529"/>
          <w:sz w:val="17"/>
          <w:szCs w:val="17"/>
        </w:rPr>
        <w:t>he pandemic, we have focused on recalibrating supply and demand, increasing digital distribution capacity, securing liquidity and prudently managing spend, all while ensuring the health and safety of our employees and consumers. As a result, Revenues decli</w:t>
      </w:r>
      <w:r>
        <w:rPr>
          <w:rFonts w:ascii="Arial" w:eastAsia="宋体" w:hAnsi="Arial" w:cs="Arial"/>
          <w:color w:val="212529"/>
          <w:sz w:val="17"/>
          <w:szCs w:val="17"/>
        </w:rPr>
        <w:t>ned only 1% versus prior year and were flat on a currency-neutral basis, despite physical retail traffic being below prior year levels. Inventory levels declined 9% compared to May 31, 2020, and we ended the first quarter of fiscal 2021 with $9.5 billion o</w:t>
      </w:r>
      <w:r>
        <w:rPr>
          <w:rFonts w:ascii="Arial" w:eastAsia="宋体" w:hAnsi="Arial" w:cs="Arial"/>
          <w:color w:val="212529"/>
          <w:sz w:val="17"/>
          <w:szCs w:val="17"/>
        </w:rPr>
        <w:t>f Cash and equivalents and Short-term investments.</w:t>
      </w:r>
    </w:p>
    <w:p w14:paraId="1D0266FC" w14:textId="77777777" w:rsidR="004421F6" w:rsidRDefault="00F15622">
      <w:pPr>
        <w:spacing w:before="120" w:after="120"/>
      </w:pPr>
      <w:r>
        <w:rPr>
          <w:rFonts w:ascii="Arial" w:eastAsia="宋体" w:hAnsi="Arial" w:cs="Arial"/>
          <w:color w:val="212529"/>
          <w:sz w:val="17"/>
          <w:szCs w:val="17"/>
        </w:rPr>
        <w:t>Our NIKE Direct business remains a priority as we navigate through the pandemic, as it enhances our ability to connect directly with the consumer. During the first quarter of fiscal 2021, NIKE Direct sales</w:t>
      </w:r>
      <w:r>
        <w:rPr>
          <w:rFonts w:ascii="Arial" w:eastAsia="宋体" w:hAnsi="Arial" w:cs="Arial"/>
          <w:color w:val="212529"/>
          <w:sz w:val="17"/>
          <w:szCs w:val="17"/>
        </w:rPr>
        <w:t xml:space="preserve"> were $3.7 billion, growing 13% on a currency-neutral basis, with growth across all geographies. NIKE Brand digital remained our fastest growing channel, growing 83%, with North America, APLA and Greater China growing double-digits and EMEA growing triple-</w:t>
      </w:r>
      <w:r>
        <w:rPr>
          <w:rFonts w:ascii="Arial" w:eastAsia="宋体" w:hAnsi="Arial" w:cs="Arial"/>
          <w:color w:val="212529"/>
          <w:sz w:val="17"/>
          <w:szCs w:val="17"/>
        </w:rPr>
        <w:t>digits. Nearly all of our NIKE-owned retail stores were open during the first quarter of fiscal 2021 across North America, EMEA and Greater China, with approximately 90% of stores open in APLA. However, despite a majority of stores being open during the qu</w:t>
      </w:r>
      <w:r>
        <w:rPr>
          <w:rFonts w:ascii="Arial" w:eastAsia="宋体" w:hAnsi="Arial" w:cs="Arial"/>
          <w:color w:val="212529"/>
          <w:sz w:val="17"/>
          <w:szCs w:val="17"/>
        </w:rPr>
        <w:t>arter, we experienced a decline in comparable store sales in North America, APLA and EMEA, primarily due to reduced physical retail traffic, in part resulting from safety-related measures in response to COVID-19.</w:t>
      </w:r>
    </w:p>
    <w:p w14:paraId="1D0266FD" w14:textId="77777777" w:rsidR="004421F6" w:rsidRDefault="00F15622">
      <w:pPr>
        <w:spacing w:before="120" w:after="120"/>
      </w:pPr>
      <w:r>
        <w:rPr>
          <w:rFonts w:ascii="Arial" w:eastAsia="宋体" w:hAnsi="Arial" w:cs="Arial"/>
          <w:color w:val="212529"/>
          <w:sz w:val="17"/>
          <w:szCs w:val="17"/>
        </w:rPr>
        <w:t>We continue to monitor the ongoing and evol</w:t>
      </w:r>
      <w:r>
        <w:rPr>
          <w:rFonts w:ascii="Arial" w:eastAsia="宋体" w:hAnsi="Arial" w:cs="Arial"/>
          <w:color w:val="212529"/>
          <w:sz w:val="17"/>
          <w:szCs w:val="17"/>
        </w:rPr>
        <w:t xml:space="preserve">ving situation, as well as guidance from international and domestic authorities, including federal, state and local public health authorities and may take additional actions based on their recommendations. In these circumstances, there may be developments </w:t>
      </w:r>
      <w:r>
        <w:rPr>
          <w:rFonts w:ascii="Arial" w:eastAsia="宋体" w:hAnsi="Arial" w:cs="Arial"/>
          <w:color w:val="212529"/>
          <w:sz w:val="17"/>
          <w:szCs w:val="17"/>
        </w:rPr>
        <w:t>outside our control requiring us to adjust our operating plan. As such, fiscal 2021 will continue to be a time of uncertainty across each of our geographies and we expect each market recovery will be dynamic. While our results for the first quarter of fisc</w:t>
      </w:r>
      <w:r>
        <w:rPr>
          <w:rFonts w:ascii="Arial" w:eastAsia="宋体" w:hAnsi="Arial" w:cs="Arial"/>
          <w:color w:val="212529"/>
          <w:sz w:val="17"/>
          <w:szCs w:val="17"/>
        </w:rPr>
        <w:t xml:space="preserve">al 2021 are positive, there remains the risk that COVID-19 could have </w:t>
      </w:r>
    </w:p>
    <w:p w14:paraId="1D0266FE" w14:textId="77777777" w:rsidR="004421F6" w:rsidRDefault="00F15622">
      <w:pPr>
        <w:spacing w:before="120" w:after="120"/>
        <w:jc w:val="right"/>
      </w:pPr>
      <w:r>
        <w:rPr>
          <w:rFonts w:ascii="Arial" w:eastAsia="宋体" w:hAnsi="Arial" w:cs="Arial"/>
          <w:color w:val="E87722"/>
          <w:sz w:val="17"/>
          <w:szCs w:val="17"/>
        </w:rPr>
        <w:t>21</w:t>
      </w:r>
    </w:p>
    <w:p w14:paraId="1D0266FF" w14:textId="77777777" w:rsidR="004421F6" w:rsidRDefault="00F15622">
      <w:r>
        <w:pict w14:anchorId="1D027290">
          <v:rect id="_x0000_i1047" style="width:415.3pt;height:1.5pt" o:hralign="center" o:hrstd="t" o:hr="t" fillcolor="#a0a0a0" stroked="f"/>
        </w:pict>
      </w:r>
    </w:p>
    <w:p w14:paraId="1D026700" w14:textId="77777777" w:rsidR="004421F6" w:rsidRDefault="004421F6"/>
    <w:p w14:paraId="1D026701" w14:textId="77777777" w:rsidR="004421F6" w:rsidRDefault="00F15622">
      <w:hyperlink r:id="rId92" w:anchor="i3e524f2e23844e81ba9d33a05ac3917c_7" w:history="1">
        <w:r>
          <w:rPr>
            <w:rStyle w:val="a5"/>
            <w:rFonts w:ascii="sans-serif" w:eastAsia="sans-serif" w:hAnsi="sans-serif" w:cs="sans-serif"/>
            <w:sz w:val="17"/>
            <w:szCs w:val="17"/>
          </w:rPr>
          <w:t>Table of Contents</w:t>
        </w:r>
      </w:hyperlink>
    </w:p>
    <w:p w14:paraId="1D026702" w14:textId="77777777" w:rsidR="004421F6" w:rsidRDefault="004421F6"/>
    <w:p w14:paraId="1D026703" w14:textId="77777777" w:rsidR="004421F6" w:rsidRDefault="00F15622">
      <w:pPr>
        <w:spacing w:before="120" w:after="120"/>
      </w:pPr>
      <w:r>
        <w:rPr>
          <w:rFonts w:ascii="Arial" w:eastAsia="宋体" w:hAnsi="Arial" w:cs="Arial"/>
          <w:color w:val="212529"/>
          <w:sz w:val="17"/>
          <w:szCs w:val="17"/>
        </w:rPr>
        <w:t>material</w:t>
      </w:r>
      <w:r>
        <w:rPr>
          <w:rFonts w:ascii="Arial" w:eastAsia="宋体" w:hAnsi="Arial" w:cs="Arial"/>
          <w:color w:val="212529"/>
          <w:sz w:val="17"/>
          <w:szCs w:val="17"/>
        </w:rPr>
        <w:t xml:space="preserve"> adverse impacts on our future revenue growth as well as our overall profitability and may lead to higher than normal inventory levels in various markets, revised payment terms with certain of our wholesale customers, higher sales-related reserves and a vo</w:t>
      </w:r>
      <w:r>
        <w:rPr>
          <w:rFonts w:ascii="Arial" w:eastAsia="宋体" w:hAnsi="Arial" w:cs="Arial"/>
          <w:color w:val="212529"/>
          <w:sz w:val="17"/>
          <w:szCs w:val="17"/>
        </w:rPr>
        <w:t>latile effective tax rate driven by changes in the mix of earnings across the Company's jurisdictions.</w:t>
      </w:r>
    </w:p>
    <w:p w14:paraId="1D026704" w14:textId="77777777" w:rsidR="004421F6" w:rsidRDefault="00F15622">
      <w:pPr>
        <w:spacing w:before="120"/>
      </w:pPr>
      <w:r>
        <w:rPr>
          <w:rFonts w:ascii="sans-serif" w:eastAsia="sans-serif" w:hAnsi="sans-serif" w:cs="sans-serif"/>
          <w:b/>
          <w:bCs/>
          <w:color w:val="808080"/>
          <w:sz w:val="22"/>
          <w:szCs w:val="22"/>
        </w:rPr>
        <w:t>FIRST QUARTER OVERVIEW</w:t>
      </w:r>
    </w:p>
    <w:p w14:paraId="1D026705" w14:textId="77777777" w:rsidR="004421F6" w:rsidRDefault="00F15622">
      <w:pPr>
        <w:spacing w:after="160"/>
      </w:pPr>
      <w:r>
        <w:rPr>
          <w:rFonts w:ascii="Arial" w:eastAsia="宋体" w:hAnsi="Arial" w:cs="Arial"/>
          <w:color w:val="000000"/>
          <w:sz w:val="17"/>
          <w:szCs w:val="17"/>
        </w:rPr>
        <w:t xml:space="preserve">For the first quarter of fiscal 2021, NIKE, Inc. Revenues decreased 1% to $10.6 billion compared to the first quarter of </w:t>
      </w:r>
      <w:r>
        <w:rPr>
          <w:rFonts w:ascii="Arial" w:eastAsia="宋体" w:hAnsi="Arial" w:cs="Arial"/>
          <w:color w:val="000000"/>
          <w:sz w:val="17"/>
          <w:szCs w:val="17"/>
        </w:rPr>
        <w:t>fiscal 2020 and were flat on a currency-neutral basis. Net income was $1,518 million and diluted earnings per common share was $0.95 for the first quarter of fiscal 2021, compared to Net income of $1,367 million and diluted earnings per common share of $0.</w:t>
      </w:r>
      <w:r>
        <w:rPr>
          <w:rFonts w:ascii="Arial" w:eastAsia="宋体" w:hAnsi="Arial" w:cs="Arial"/>
          <w:color w:val="000000"/>
          <w:sz w:val="17"/>
          <w:szCs w:val="17"/>
        </w:rPr>
        <w:t>86 for the first quarter of fiscal 2020.</w:t>
      </w:r>
    </w:p>
    <w:p w14:paraId="1D026706" w14:textId="77777777" w:rsidR="004421F6" w:rsidRDefault="00F15622">
      <w:pPr>
        <w:spacing w:before="120" w:after="120"/>
      </w:pPr>
      <w:r>
        <w:rPr>
          <w:rFonts w:ascii="Arial" w:eastAsia="宋体" w:hAnsi="Arial" w:cs="Arial"/>
          <w:color w:val="000000"/>
          <w:sz w:val="17"/>
          <w:szCs w:val="17"/>
        </w:rPr>
        <w:t xml:space="preserve">Income before income taxes increased 10% compared to the first quarter of fiscal 2020, primarily due to lower selling and administrative expense partially offset by a decline in gross margin and lower revenues. The </w:t>
      </w:r>
      <w:r>
        <w:rPr>
          <w:rFonts w:ascii="Arial" w:eastAsia="宋体" w:hAnsi="Arial" w:cs="Arial"/>
          <w:color w:val="000000"/>
          <w:sz w:val="17"/>
          <w:szCs w:val="17"/>
        </w:rPr>
        <w:t xml:space="preserve">NIKE Brand, which represents over 90% of NIKE, Inc. Revenues, declined 1% compared to the first quarter of fiscal 2020. On a currency-neutral basis, NIKE Brand revenues were flat as higher revenues in EMEA and Greater China were offset by declines in APLA </w:t>
      </w:r>
      <w:r>
        <w:rPr>
          <w:rFonts w:ascii="Arial" w:eastAsia="宋体" w:hAnsi="Arial" w:cs="Arial"/>
          <w:color w:val="000000"/>
          <w:sz w:val="17"/>
          <w:szCs w:val="17"/>
        </w:rPr>
        <w:t>and North America. NIKE Brand revenue growth in footwear was offset by a decline in apparel, while growth in Sportswear and the Jordan Brand was offset by declines in all other key categories. Revenues for Converse increased 1% and 2% on a reported and cur</w:t>
      </w:r>
      <w:r>
        <w:rPr>
          <w:rFonts w:ascii="Arial" w:eastAsia="宋体" w:hAnsi="Arial" w:cs="Arial"/>
          <w:color w:val="000000"/>
          <w:sz w:val="17"/>
          <w:szCs w:val="17"/>
        </w:rPr>
        <w:t>rency-neutral basis, respectively, reflecting double-digit growth in Asia and Europe, as well as higher digital sales globally.</w:t>
      </w:r>
    </w:p>
    <w:p w14:paraId="1D026707" w14:textId="77777777" w:rsidR="004421F6" w:rsidRDefault="00F15622">
      <w:r>
        <w:rPr>
          <w:rFonts w:ascii="Arial" w:eastAsia="宋体" w:hAnsi="Arial" w:cs="Arial"/>
          <w:color w:val="000000"/>
          <w:sz w:val="17"/>
          <w:szCs w:val="17"/>
        </w:rPr>
        <w:t>Our effective tax rate was 11.5% for the first quarter of fiscal 2021 compared to 12.4% for the first quarter of fiscal 2020, du</w:t>
      </w:r>
      <w:r>
        <w:rPr>
          <w:rFonts w:ascii="Arial" w:eastAsia="宋体" w:hAnsi="Arial" w:cs="Arial"/>
          <w:color w:val="000000"/>
          <w:sz w:val="17"/>
          <w:szCs w:val="17"/>
        </w:rPr>
        <w:t xml:space="preserve">e to discrete items including a more favorable impact from stock-based compensation, offset by a reserve related to </w:t>
      </w:r>
      <w:r>
        <w:rPr>
          <w:rFonts w:ascii="Arial" w:eastAsia="宋体" w:hAnsi="Arial" w:cs="Arial"/>
          <w:i/>
          <w:iCs/>
          <w:color w:val="000000"/>
          <w:sz w:val="17"/>
          <w:szCs w:val="17"/>
        </w:rPr>
        <w:t>Altera Corp. v. Commissioner</w:t>
      </w:r>
      <w:r>
        <w:rPr>
          <w:rFonts w:ascii="Arial" w:eastAsia="宋体" w:hAnsi="Arial" w:cs="Arial"/>
          <w:color w:val="000000"/>
          <w:sz w:val="17"/>
          <w:szCs w:val="17"/>
        </w:rPr>
        <w:t xml:space="preserve"> where the taxpayer was denied a hearing before the U.S. Supreme Court on June 22, 2020, thereby ratifying the N</w:t>
      </w:r>
      <w:r>
        <w:rPr>
          <w:rFonts w:ascii="Arial" w:eastAsia="宋体" w:hAnsi="Arial" w:cs="Arial"/>
          <w:color w:val="000000"/>
          <w:sz w:val="17"/>
          <w:szCs w:val="17"/>
        </w:rPr>
        <w:t>inth Circuit Court's decision and requiring the inclusion of stock-based compensation in intercompany cost-sharing arrangements.</w:t>
      </w:r>
    </w:p>
    <w:p w14:paraId="1D026708" w14:textId="77777777" w:rsidR="004421F6" w:rsidRDefault="00F15622">
      <w:pPr>
        <w:spacing w:before="120" w:after="120"/>
      </w:pPr>
      <w:r>
        <w:rPr>
          <w:rFonts w:ascii="Arial" w:eastAsia="宋体" w:hAnsi="Arial" w:cs="Arial"/>
          <w:color w:val="000000"/>
          <w:sz w:val="17"/>
          <w:szCs w:val="17"/>
        </w:rPr>
        <w:t>Diluted earnings per common share reflects a relatively unchanged weighted average diluted common shares outstanding, due to th</w:t>
      </w:r>
      <w:r>
        <w:rPr>
          <w:rFonts w:ascii="Arial" w:eastAsia="宋体" w:hAnsi="Arial" w:cs="Arial"/>
          <w:color w:val="000000"/>
          <w:sz w:val="17"/>
          <w:szCs w:val="17"/>
        </w:rPr>
        <w:t>e temporary suspension of our share repurchase program.</w:t>
      </w:r>
    </w:p>
    <w:p w14:paraId="1D026709" w14:textId="77777777" w:rsidR="004421F6" w:rsidRDefault="00F15622">
      <w:pPr>
        <w:spacing w:before="120"/>
      </w:pPr>
      <w:r>
        <w:rPr>
          <w:rFonts w:ascii="sans-serif" w:eastAsia="sans-serif" w:hAnsi="sans-serif" w:cs="sans-serif"/>
          <w:b/>
          <w:bCs/>
          <w:color w:val="808080"/>
          <w:sz w:val="22"/>
          <w:szCs w:val="22"/>
        </w:rPr>
        <w:t>USE OF NON-GAAP FINANCIAL MEASURES</w:t>
      </w:r>
    </w:p>
    <w:p w14:paraId="1D02670A" w14:textId="77777777" w:rsidR="004421F6" w:rsidRDefault="00F15622">
      <w:pPr>
        <w:spacing w:after="120"/>
      </w:pPr>
      <w:r>
        <w:rPr>
          <w:rFonts w:ascii="Arial" w:eastAsia="宋体" w:hAnsi="Arial" w:cs="Arial"/>
          <w:color w:val="000000"/>
          <w:sz w:val="17"/>
          <w:szCs w:val="17"/>
        </w:rPr>
        <w:t>Throughout this Quarterly Report on Form 10-Q, we discuss non-GAAP financial measures, including references to wholesale equivalent revenues, currency-neutral revenu</w:t>
      </w:r>
      <w:r>
        <w:rPr>
          <w:rFonts w:ascii="Arial" w:eastAsia="宋体" w:hAnsi="Arial" w:cs="Arial"/>
          <w:color w:val="000000"/>
          <w:sz w:val="17"/>
          <w:szCs w:val="17"/>
        </w:rPr>
        <w:t>es as well as Total NIKE Brand earnings before interest and taxes (EBIT) and Total NIKE, Inc. EBIT, which should be considered in addition to, and not in lieu of, the financial measures calculated and presented in accordance with accounting principles gene</w:t>
      </w:r>
      <w:r>
        <w:rPr>
          <w:rFonts w:ascii="Arial" w:eastAsia="宋体" w:hAnsi="Arial" w:cs="Arial"/>
          <w:color w:val="000000"/>
          <w:sz w:val="17"/>
          <w:szCs w:val="17"/>
        </w:rPr>
        <w:t>rally accepted in the United States of America (“U.S. GAAP”). References to wholesale equivalent revenues are intended to provide context as to the total size of our NIKE Brand market footprint if we had no NIKE Direct operations. NIKE Brand wholesale equi</w:t>
      </w:r>
      <w:r>
        <w:rPr>
          <w:rFonts w:ascii="Arial" w:eastAsia="宋体" w:hAnsi="Arial" w:cs="Arial"/>
          <w:color w:val="000000"/>
          <w:sz w:val="17"/>
          <w:szCs w:val="17"/>
        </w:rPr>
        <w:t>valent revenues consist of (1) sales to external wholesale customers and (2) internal sales from our wholesale operations to our NIKE Direct operations, which are charged at prices comparable to those charged to external wholesale customers. Currency-neutr</w:t>
      </w:r>
      <w:r>
        <w:rPr>
          <w:rFonts w:ascii="Arial" w:eastAsia="宋体" w:hAnsi="Arial" w:cs="Arial"/>
          <w:color w:val="000000"/>
          <w:sz w:val="17"/>
          <w:szCs w:val="17"/>
        </w:rPr>
        <w:t>al revenues are calculated using actual exchange rates in use during the comparative prior year period to enhance the visibility of the underlying business trends excluding the impact of translation arising from foreign currency exchange rate fluctuations.</w:t>
      </w:r>
      <w:r>
        <w:rPr>
          <w:rFonts w:ascii="Arial" w:eastAsia="宋体" w:hAnsi="Arial" w:cs="Arial"/>
          <w:color w:val="000000"/>
          <w:sz w:val="17"/>
          <w:szCs w:val="17"/>
        </w:rPr>
        <w:t xml:space="preserve"> EBIT is calculated as Net Income before Interest expense (income), net and Income tax expense in the Unaudited Condensed Consolidated Statements of Income.</w:t>
      </w:r>
    </w:p>
    <w:p w14:paraId="1D02670B" w14:textId="77777777" w:rsidR="004421F6" w:rsidRDefault="00F15622">
      <w:pPr>
        <w:spacing w:before="120" w:after="120"/>
      </w:pPr>
      <w:r>
        <w:rPr>
          <w:rFonts w:ascii="Arial" w:eastAsia="宋体" w:hAnsi="Arial" w:cs="Arial"/>
          <w:color w:val="000000"/>
          <w:sz w:val="17"/>
          <w:szCs w:val="17"/>
        </w:rPr>
        <w:t xml:space="preserve">Management uses these non-GAAP financial measures when evaluating the Company's </w:t>
      </w:r>
      <w:r>
        <w:rPr>
          <w:rFonts w:ascii="Arial" w:eastAsia="宋体" w:hAnsi="Arial" w:cs="Arial"/>
          <w:color w:val="000000"/>
          <w:sz w:val="17"/>
          <w:szCs w:val="17"/>
        </w:rPr>
        <w:t>performance, including when making financial and operating decisions. Additionally, management believes these non-GAAP financial measures provide investors with additional financial information that should be considered when assessing our underlying busine</w:t>
      </w:r>
      <w:r>
        <w:rPr>
          <w:rFonts w:ascii="Arial" w:eastAsia="宋体" w:hAnsi="Arial" w:cs="Arial"/>
          <w:color w:val="000000"/>
          <w:sz w:val="17"/>
          <w:szCs w:val="17"/>
        </w:rPr>
        <w:t xml:space="preserve">ss performance and trends. However, references to wholesale equivalent revenues, currency-neutral revenues and EBIT should not be considered in isolation or as a substitute for other financial measures calculated and presented in accordance with U.S. GAAP </w:t>
      </w:r>
      <w:r>
        <w:rPr>
          <w:rFonts w:ascii="Arial" w:eastAsia="宋体" w:hAnsi="Arial" w:cs="Arial"/>
          <w:color w:val="000000"/>
          <w:sz w:val="17"/>
          <w:szCs w:val="17"/>
        </w:rPr>
        <w:t>and may not be comparable to similarly titled non-GAAP measures used by other companies.</w:t>
      </w:r>
    </w:p>
    <w:p w14:paraId="1D02670C" w14:textId="77777777" w:rsidR="004421F6" w:rsidRDefault="00F15622">
      <w:pPr>
        <w:spacing w:before="120" w:after="120"/>
      </w:pPr>
      <w:r>
        <w:rPr>
          <w:rFonts w:ascii="Arial" w:eastAsia="宋体" w:hAnsi="Arial" w:cs="Arial"/>
          <w:color w:val="E87722"/>
          <w:sz w:val="17"/>
          <w:szCs w:val="17"/>
        </w:rPr>
        <w:t>22</w:t>
      </w:r>
      <w:r>
        <w:rPr>
          <w:rFonts w:ascii="sans-serif" w:eastAsia="sans-serif" w:hAnsi="sans-serif" w:cs="sans-serif"/>
          <w:color w:val="000000"/>
          <w:sz w:val="17"/>
          <w:szCs w:val="17"/>
        </w:rPr>
        <w:t xml:space="preserve"> </w:t>
      </w:r>
    </w:p>
    <w:p w14:paraId="1D02670D" w14:textId="77777777" w:rsidR="004421F6" w:rsidRDefault="00F15622">
      <w:r>
        <w:pict w14:anchorId="1D027291">
          <v:rect id="_x0000_i1048" style="width:415.3pt;height:1.5pt" o:hralign="center" o:hrstd="t" o:hr="t" fillcolor="#a0a0a0" stroked="f"/>
        </w:pict>
      </w:r>
    </w:p>
    <w:p w14:paraId="1D02670E" w14:textId="77777777" w:rsidR="004421F6" w:rsidRDefault="004421F6"/>
    <w:p w14:paraId="1D02670F" w14:textId="77777777" w:rsidR="004421F6" w:rsidRDefault="00F15622">
      <w:hyperlink r:id="rId93" w:anchor="i3e524f2e23844e81ba9d33a05ac3917c_7" w:history="1">
        <w:r>
          <w:rPr>
            <w:rStyle w:val="a5"/>
            <w:rFonts w:ascii="sans-serif" w:eastAsia="sans-serif" w:hAnsi="sans-serif" w:cs="sans-serif"/>
            <w:sz w:val="17"/>
            <w:szCs w:val="17"/>
          </w:rPr>
          <w:t>Table of Co</w:t>
        </w:r>
        <w:r>
          <w:rPr>
            <w:rStyle w:val="a5"/>
            <w:rFonts w:ascii="sans-serif" w:eastAsia="sans-serif" w:hAnsi="sans-serif" w:cs="sans-serif"/>
            <w:sz w:val="17"/>
            <w:szCs w:val="17"/>
          </w:rPr>
          <w:t>ntents</w:t>
        </w:r>
      </w:hyperlink>
    </w:p>
    <w:p w14:paraId="1D026710" w14:textId="77777777" w:rsidR="004421F6" w:rsidRDefault="004421F6"/>
    <w:p w14:paraId="1D026711" w14:textId="77777777" w:rsidR="004421F6" w:rsidRDefault="00F15622">
      <w:pPr>
        <w:spacing w:before="300" w:after="120"/>
      </w:pPr>
      <w:r>
        <w:rPr>
          <w:rFonts w:ascii="sans-serif" w:eastAsia="sans-serif" w:hAnsi="sans-serif" w:cs="sans-serif"/>
          <w:b/>
          <w:bCs/>
          <w:color w:val="E87722"/>
          <w:sz w:val="36"/>
          <w:szCs w:val="36"/>
        </w:rPr>
        <w:t>RESULTS OF OPERATIONS</w:t>
      </w:r>
    </w:p>
    <w:tbl>
      <w:tblPr>
        <w:tblW w:w="4992" w:type="pct"/>
        <w:tblCellMar>
          <w:top w:w="15" w:type="dxa"/>
          <w:left w:w="15" w:type="dxa"/>
          <w:bottom w:w="15" w:type="dxa"/>
          <w:right w:w="15" w:type="dxa"/>
        </w:tblCellMar>
        <w:tblLook w:val="04A0" w:firstRow="1" w:lastRow="0" w:firstColumn="1" w:lastColumn="0" w:noHBand="0" w:noVBand="1"/>
      </w:tblPr>
      <w:tblGrid>
        <w:gridCol w:w="39"/>
        <w:gridCol w:w="4795"/>
        <w:gridCol w:w="38"/>
        <w:gridCol w:w="130"/>
        <w:gridCol w:w="813"/>
        <w:gridCol w:w="187"/>
        <w:gridCol w:w="130"/>
        <w:gridCol w:w="813"/>
        <w:gridCol w:w="187"/>
        <w:gridCol w:w="52"/>
        <w:gridCol w:w="736"/>
        <w:gridCol w:w="187"/>
        <w:gridCol w:w="36"/>
        <w:gridCol w:w="36"/>
        <w:gridCol w:w="36"/>
        <w:gridCol w:w="36"/>
        <w:gridCol w:w="36"/>
        <w:gridCol w:w="36"/>
      </w:tblGrid>
      <w:tr w:rsidR="004421F6" w14:paraId="1D02671E" w14:textId="77777777">
        <w:trPr>
          <w:gridAfter w:val="6"/>
        </w:trPr>
        <w:tc>
          <w:tcPr>
            <w:tcW w:w="50" w:type="pct"/>
            <w:shd w:val="clear" w:color="auto" w:fill="auto"/>
          </w:tcPr>
          <w:p w14:paraId="1D026712" w14:textId="77777777" w:rsidR="004421F6" w:rsidRDefault="004421F6">
            <w:pPr>
              <w:rPr>
                <w:rFonts w:ascii="宋体"/>
              </w:rPr>
            </w:pPr>
          </w:p>
        </w:tc>
        <w:tc>
          <w:tcPr>
            <w:tcW w:w="3067" w:type="pct"/>
            <w:shd w:val="clear" w:color="auto" w:fill="auto"/>
          </w:tcPr>
          <w:p w14:paraId="1D026713" w14:textId="77777777" w:rsidR="004421F6" w:rsidRDefault="004421F6">
            <w:pPr>
              <w:rPr>
                <w:rFonts w:ascii="宋体"/>
              </w:rPr>
            </w:pPr>
          </w:p>
        </w:tc>
        <w:tc>
          <w:tcPr>
            <w:tcW w:w="5" w:type="pct"/>
            <w:shd w:val="clear" w:color="auto" w:fill="auto"/>
          </w:tcPr>
          <w:p w14:paraId="1D026714" w14:textId="77777777" w:rsidR="004421F6" w:rsidRDefault="004421F6">
            <w:pPr>
              <w:rPr>
                <w:rFonts w:ascii="宋体"/>
              </w:rPr>
            </w:pPr>
          </w:p>
        </w:tc>
        <w:tc>
          <w:tcPr>
            <w:tcW w:w="50" w:type="pct"/>
            <w:shd w:val="clear" w:color="auto" w:fill="auto"/>
          </w:tcPr>
          <w:p w14:paraId="1D026715" w14:textId="77777777" w:rsidR="004421F6" w:rsidRDefault="004421F6">
            <w:pPr>
              <w:rPr>
                <w:rFonts w:ascii="宋体"/>
              </w:rPr>
            </w:pPr>
          </w:p>
        </w:tc>
        <w:tc>
          <w:tcPr>
            <w:tcW w:w="570" w:type="pct"/>
            <w:shd w:val="clear" w:color="auto" w:fill="auto"/>
          </w:tcPr>
          <w:p w14:paraId="1D026716" w14:textId="77777777" w:rsidR="004421F6" w:rsidRDefault="004421F6">
            <w:pPr>
              <w:rPr>
                <w:rFonts w:ascii="宋体"/>
              </w:rPr>
            </w:pPr>
          </w:p>
        </w:tc>
        <w:tc>
          <w:tcPr>
            <w:tcW w:w="5" w:type="pct"/>
            <w:shd w:val="clear" w:color="auto" w:fill="auto"/>
          </w:tcPr>
          <w:p w14:paraId="1D026717" w14:textId="77777777" w:rsidR="004421F6" w:rsidRDefault="004421F6">
            <w:pPr>
              <w:rPr>
                <w:rFonts w:ascii="宋体"/>
              </w:rPr>
            </w:pPr>
          </w:p>
        </w:tc>
        <w:tc>
          <w:tcPr>
            <w:tcW w:w="50" w:type="pct"/>
            <w:shd w:val="clear" w:color="auto" w:fill="auto"/>
          </w:tcPr>
          <w:p w14:paraId="1D026718" w14:textId="77777777" w:rsidR="004421F6" w:rsidRDefault="004421F6">
            <w:pPr>
              <w:rPr>
                <w:rFonts w:ascii="宋体"/>
              </w:rPr>
            </w:pPr>
          </w:p>
        </w:tc>
        <w:tc>
          <w:tcPr>
            <w:tcW w:w="570" w:type="pct"/>
            <w:shd w:val="clear" w:color="auto" w:fill="auto"/>
          </w:tcPr>
          <w:p w14:paraId="1D026719" w14:textId="77777777" w:rsidR="004421F6" w:rsidRDefault="004421F6">
            <w:pPr>
              <w:rPr>
                <w:rFonts w:ascii="宋体"/>
              </w:rPr>
            </w:pPr>
          </w:p>
        </w:tc>
        <w:tc>
          <w:tcPr>
            <w:tcW w:w="5" w:type="pct"/>
            <w:shd w:val="clear" w:color="auto" w:fill="auto"/>
          </w:tcPr>
          <w:p w14:paraId="1D02671A" w14:textId="77777777" w:rsidR="004421F6" w:rsidRDefault="004421F6">
            <w:pPr>
              <w:rPr>
                <w:rFonts w:ascii="宋体"/>
              </w:rPr>
            </w:pPr>
          </w:p>
        </w:tc>
        <w:tc>
          <w:tcPr>
            <w:tcW w:w="50" w:type="pct"/>
            <w:shd w:val="clear" w:color="auto" w:fill="auto"/>
          </w:tcPr>
          <w:p w14:paraId="1D02671B" w14:textId="77777777" w:rsidR="004421F6" w:rsidRDefault="004421F6">
            <w:pPr>
              <w:rPr>
                <w:rFonts w:ascii="宋体"/>
              </w:rPr>
            </w:pPr>
          </w:p>
        </w:tc>
        <w:tc>
          <w:tcPr>
            <w:tcW w:w="571" w:type="pct"/>
            <w:shd w:val="clear" w:color="auto" w:fill="auto"/>
          </w:tcPr>
          <w:p w14:paraId="1D02671C" w14:textId="77777777" w:rsidR="004421F6" w:rsidRDefault="004421F6">
            <w:pPr>
              <w:rPr>
                <w:rFonts w:ascii="宋体"/>
              </w:rPr>
            </w:pPr>
          </w:p>
        </w:tc>
        <w:tc>
          <w:tcPr>
            <w:tcW w:w="5" w:type="pct"/>
            <w:shd w:val="clear" w:color="auto" w:fill="auto"/>
          </w:tcPr>
          <w:p w14:paraId="1D02671D" w14:textId="77777777" w:rsidR="004421F6" w:rsidRDefault="004421F6">
            <w:pPr>
              <w:rPr>
                <w:rFonts w:ascii="宋体"/>
              </w:rPr>
            </w:pPr>
          </w:p>
        </w:tc>
      </w:tr>
      <w:tr w:rsidR="004421F6" w14:paraId="1D026723" w14:textId="77777777">
        <w:tc>
          <w:tcPr>
            <w:tcW w:w="0" w:type="auto"/>
            <w:gridSpan w:val="3"/>
            <w:shd w:val="clear" w:color="auto" w:fill="auto"/>
            <w:tcMar>
              <w:left w:w="20" w:type="dxa"/>
              <w:right w:w="20" w:type="dxa"/>
            </w:tcMar>
            <w:vAlign w:val="bottom"/>
          </w:tcPr>
          <w:p w14:paraId="1D02671F" w14:textId="77777777" w:rsidR="004421F6" w:rsidRDefault="004421F6">
            <w:pPr>
              <w:rPr>
                <w:rFonts w:ascii="宋体"/>
              </w:rPr>
            </w:pPr>
          </w:p>
        </w:tc>
        <w:tc>
          <w:tcPr>
            <w:tcW w:w="0" w:type="auto"/>
            <w:gridSpan w:val="9"/>
            <w:shd w:val="clear" w:color="auto" w:fill="auto"/>
            <w:tcMar>
              <w:top w:w="40" w:type="dxa"/>
              <w:left w:w="20" w:type="dxa"/>
              <w:bottom w:w="40" w:type="dxa"/>
              <w:right w:w="20" w:type="dxa"/>
            </w:tcMar>
            <w:vAlign w:val="bottom"/>
          </w:tcPr>
          <w:p w14:paraId="1D026720"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6721" w14:textId="77777777" w:rsidR="004421F6" w:rsidRDefault="004421F6">
            <w:pPr>
              <w:rPr>
                <w:rFonts w:ascii="宋体"/>
                <w:vanish/>
              </w:rPr>
            </w:pPr>
          </w:p>
        </w:tc>
        <w:tc>
          <w:tcPr>
            <w:tcW w:w="0" w:type="auto"/>
            <w:gridSpan w:val="3"/>
            <w:shd w:val="clear" w:color="auto" w:fill="auto"/>
          </w:tcPr>
          <w:p w14:paraId="1D026722" w14:textId="77777777" w:rsidR="004421F6" w:rsidRDefault="004421F6">
            <w:pPr>
              <w:rPr>
                <w:rFonts w:ascii="宋体"/>
                <w:vanish/>
              </w:rPr>
            </w:pPr>
          </w:p>
        </w:tc>
      </w:tr>
      <w:tr w:rsidR="004421F6" w14:paraId="1D02672E" w14:textId="77777777">
        <w:tc>
          <w:tcPr>
            <w:tcW w:w="0" w:type="auto"/>
            <w:gridSpan w:val="3"/>
            <w:shd w:val="clear" w:color="auto" w:fill="auto"/>
            <w:tcMar>
              <w:top w:w="40" w:type="dxa"/>
              <w:left w:w="20" w:type="dxa"/>
              <w:bottom w:w="40" w:type="dxa"/>
              <w:right w:w="20" w:type="dxa"/>
            </w:tcMar>
            <w:vAlign w:val="bottom"/>
          </w:tcPr>
          <w:p w14:paraId="1D026724" w14:textId="77777777" w:rsidR="004421F6" w:rsidRDefault="00F15622">
            <w:pPr>
              <w:textAlignment w:val="bottom"/>
            </w:pPr>
            <w:r>
              <w:rPr>
                <w:rFonts w:ascii="Arial Narrow" w:eastAsia="Arial Narrow" w:hAnsi="Arial Narrow" w:cs="Arial Narrow"/>
                <w:i/>
                <w:iCs/>
                <w:color w:val="000000"/>
                <w:sz w:val="17"/>
                <w:szCs w:val="17"/>
              </w:rPr>
              <w:t>(Dollars 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725"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726"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727" w14:textId="77777777" w:rsidR="004421F6" w:rsidRDefault="00F15622">
            <w:pPr>
              <w:jc w:val="right"/>
              <w:textAlignment w:val="bottom"/>
            </w:pPr>
            <w:r>
              <w:rPr>
                <w:rFonts w:ascii="sans-serif" w:eastAsia="sans-serif" w:hAnsi="sans-serif" w:cs="sans-serif"/>
                <w:b/>
                <w:bCs/>
                <w:color w:val="000000"/>
                <w:sz w:val="17"/>
                <w:szCs w:val="17"/>
              </w:rPr>
              <w:t>% CHANGE</w:t>
            </w:r>
          </w:p>
        </w:tc>
        <w:tc>
          <w:tcPr>
            <w:tcW w:w="0" w:type="auto"/>
            <w:shd w:val="clear" w:color="auto" w:fill="auto"/>
          </w:tcPr>
          <w:p w14:paraId="1D026728" w14:textId="77777777" w:rsidR="004421F6" w:rsidRDefault="004421F6">
            <w:pPr>
              <w:rPr>
                <w:rFonts w:ascii="宋体"/>
              </w:rPr>
            </w:pPr>
          </w:p>
        </w:tc>
        <w:tc>
          <w:tcPr>
            <w:tcW w:w="0" w:type="auto"/>
            <w:shd w:val="clear" w:color="auto" w:fill="auto"/>
          </w:tcPr>
          <w:p w14:paraId="1D026729" w14:textId="77777777" w:rsidR="004421F6" w:rsidRDefault="004421F6">
            <w:pPr>
              <w:rPr>
                <w:rFonts w:ascii="宋体"/>
              </w:rPr>
            </w:pPr>
          </w:p>
        </w:tc>
        <w:tc>
          <w:tcPr>
            <w:tcW w:w="0" w:type="auto"/>
            <w:shd w:val="clear" w:color="auto" w:fill="auto"/>
          </w:tcPr>
          <w:p w14:paraId="1D02672A" w14:textId="77777777" w:rsidR="004421F6" w:rsidRDefault="004421F6">
            <w:pPr>
              <w:rPr>
                <w:rFonts w:ascii="宋体"/>
              </w:rPr>
            </w:pPr>
          </w:p>
        </w:tc>
        <w:tc>
          <w:tcPr>
            <w:tcW w:w="0" w:type="auto"/>
            <w:shd w:val="clear" w:color="auto" w:fill="auto"/>
          </w:tcPr>
          <w:p w14:paraId="1D02672B" w14:textId="77777777" w:rsidR="004421F6" w:rsidRDefault="004421F6">
            <w:pPr>
              <w:rPr>
                <w:rFonts w:ascii="宋体"/>
              </w:rPr>
            </w:pPr>
          </w:p>
        </w:tc>
        <w:tc>
          <w:tcPr>
            <w:tcW w:w="0" w:type="auto"/>
            <w:shd w:val="clear" w:color="auto" w:fill="auto"/>
          </w:tcPr>
          <w:p w14:paraId="1D02672C" w14:textId="77777777" w:rsidR="004421F6" w:rsidRDefault="004421F6">
            <w:pPr>
              <w:rPr>
                <w:rFonts w:ascii="宋体"/>
              </w:rPr>
            </w:pPr>
          </w:p>
        </w:tc>
        <w:tc>
          <w:tcPr>
            <w:tcW w:w="0" w:type="auto"/>
            <w:shd w:val="clear" w:color="auto" w:fill="auto"/>
          </w:tcPr>
          <w:p w14:paraId="1D02672D" w14:textId="77777777" w:rsidR="004421F6" w:rsidRDefault="004421F6">
            <w:pPr>
              <w:rPr>
                <w:rFonts w:ascii="宋体"/>
              </w:rPr>
            </w:pPr>
          </w:p>
        </w:tc>
      </w:tr>
      <w:tr w:rsidR="004421F6" w14:paraId="1D02673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72F" w14:textId="77777777" w:rsidR="004421F6" w:rsidRDefault="00F15622">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tcMar>
            <w:vAlign w:val="center"/>
          </w:tcPr>
          <w:p w14:paraId="1D026730" w14:textId="77777777" w:rsidR="004421F6" w:rsidRDefault="00F15622">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center"/>
          </w:tcPr>
          <w:p w14:paraId="1D026731" w14:textId="77777777" w:rsidR="004421F6" w:rsidRDefault="00F15622">
            <w:pPr>
              <w:jc w:val="right"/>
              <w:textAlignment w:val="center"/>
            </w:pPr>
            <w:r>
              <w:rPr>
                <w:rFonts w:ascii="Arial" w:eastAsia="宋体" w:hAnsi="Arial" w:cs="Arial"/>
                <w:color w:val="000000"/>
                <w:sz w:val="17"/>
                <w:szCs w:val="17"/>
              </w:rPr>
              <w:t>10,594 </w:t>
            </w:r>
          </w:p>
        </w:tc>
        <w:tc>
          <w:tcPr>
            <w:tcW w:w="0" w:type="auto"/>
            <w:tcBorders>
              <w:top w:val="single" w:sz="8" w:space="0" w:color="E87722"/>
            </w:tcBorders>
            <w:shd w:val="clear" w:color="auto" w:fill="FFF1E7"/>
            <w:tcMar>
              <w:top w:w="40" w:type="dxa"/>
              <w:bottom w:w="40" w:type="dxa"/>
              <w:right w:w="20" w:type="dxa"/>
            </w:tcMar>
            <w:vAlign w:val="center"/>
          </w:tcPr>
          <w:p w14:paraId="1D026732"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center"/>
          </w:tcPr>
          <w:p w14:paraId="1D026733" w14:textId="77777777" w:rsidR="004421F6" w:rsidRDefault="00F15622">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bottom w:w="40" w:type="dxa"/>
              <w:right w:w="0" w:type="dxa"/>
            </w:tcMar>
            <w:vAlign w:val="center"/>
          </w:tcPr>
          <w:p w14:paraId="1D026734" w14:textId="77777777" w:rsidR="004421F6" w:rsidRDefault="00F15622">
            <w:pPr>
              <w:jc w:val="right"/>
              <w:textAlignment w:val="center"/>
            </w:pPr>
            <w:r>
              <w:rPr>
                <w:rFonts w:ascii="Arial" w:eastAsia="宋体" w:hAnsi="Arial" w:cs="Arial"/>
                <w:color w:val="000000"/>
                <w:sz w:val="17"/>
                <w:szCs w:val="17"/>
              </w:rPr>
              <w:t>10,660 </w:t>
            </w:r>
          </w:p>
        </w:tc>
        <w:tc>
          <w:tcPr>
            <w:tcW w:w="0" w:type="auto"/>
            <w:tcBorders>
              <w:top w:val="single" w:sz="8" w:space="0" w:color="E87722"/>
            </w:tcBorders>
            <w:shd w:val="clear" w:color="auto" w:fill="auto"/>
            <w:tcMar>
              <w:top w:w="40" w:type="dxa"/>
              <w:bottom w:w="40" w:type="dxa"/>
              <w:right w:w="20" w:type="dxa"/>
            </w:tcMar>
            <w:vAlign w:val="center"/>
          </w:tcPr>
          <w:p w14:paraId="1D026735"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1D026736" w14:textId="77777777" w:rsidR="004421F6" w:rsidRDefault="00F15622">
            <w:pPr>
              <w:jc w:val="right"/>
              <w:textAlignment w:val="center"/>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bottom w:w="40" w:type="dxa"/>
              <w:right w:w="20" w:type="dxa"/>
            </w:tcMar>
            <w:vAlign w:val="center"/>
          </w:tcPr>
          <w:p w14:paraId="1D026737" w14:textId="77777777" w:rsidR="004421F6" w:rsidRDefault="00F15622">
            <w:pPr>
              <w:jc w:val="right"/>
              <w:textAlignment w:val="center"/>
            </w:pPr>
            <w:r>
              <w:rPr>
                <w:rFonts w:ascii="Arial" w:eastAsia="宋体" w:hAnsi="Arial" w:cs="Arial"/>
                <w:color w:val="000000"/>
                <w:sz w:val="17"/>
                <w:szCs w:val="17"/>
              </w:rPr>
              <w:t>%</w:t>
            </w:r>
          </w:p>
        </w:tc>
        <w:tc>
          <w:tcPr>
            <w:tcW w:w="0" w:type="auto"/>
            <w:shd w:val="clear" w:color="auto" w:fill="auto"/>
          </w:tcPr>
          <w:p w14:paraId="1D026738" w14:textId="77777777" w:rsidR="004421F6" w:rsidRDefault="004421F6">
            <w:pPr>
              <w:rPr>
                <w:rFonts w:ascii="宋体"/>
              </w:rPr>
            </w:pPr>
          </w:p>
        </w:tc>
        <w:tc>
          <w:tcPr>
            <w:tcW w:w="0" w:type="auto"/>
            <w:shd w:val="clear" w:color="auto" w:fill="auto"/>
          </w:tcPr>
          <w:p w14:paraId="1D026739" w14:textId="77777777" w:rsidR="004421F6" w:rsidRDefault="004421F6">
            <w:pPr>
              <w:rPr>
                <w:rFonts w:ascii="宋体"/>
              </w:rPr>
            </w:pPr>
          </w:p>
        </w:tc>
        <w:tc>
          <w:tcPr>
            <w:tcW w:w="0" w:type="auto"/>
            <w:shd w:val="clear" w:color="auto" w:fill="auto"/>
          </w:tcPr>
          <w:p w14:paraId="1D02673A" w14:textId="77777777" w:rsidR="004421F6" w:rsidRDefault="004421F6">
            <w:pPr>
              <w:rPr>
                <w:rFonts w:ascii="宋体"/>
              </w:rPr>
            </w:pPr>
          </w:p>
        </w:tc>
        <w:tc>
          <w:tcPr>
            <w:tcW w:w="0" w:type="auto"/>
            <w:shd w:val="clear" w:color="auto" w:fill="auto"/>
          </w:tcPr>
          <w:p w14:paraId="1D02673B" w14:textId="77777777" w:rsidR="004421F6" w:rsidRDefault="004421F6">
            <w:pPr>
              <w:rPr>
                <w:rFonts w:ascii="宋体"/>
              </w:rPr>
            </w:pPr>
          </w:p>
        </w:tc>
        <w:tc>
          <w:tcPr>
            <w:tcW w:w="0" w:type="auto"/>
            <w:shd w:val="clear" w:color="auto" w:fill="auto"/>
          </w:tcPr>
          <w:p w14:paraId="1D02673C" w14:textId="77777777" w:rsidR="004421F6" w:rsidRDefault="004421F6">
            <w:pPr>
              <w:rPr>
                <w:rFonts w:ascii="宋体"/>
              </w:rPr>
            </w:pPr>
          </w:p>
        </w:tc>
        <w:tc>
          <w:tcPr>
            <w:tcW w:w="0" w:type="auto"/>
            <w:shd w:val="clear" w:color="auto" w:fill="auto"/>
          </w:tcPr>
          <w:p w14:paraId="1D02673D" w14:textId="77777777" w:rsidR="004421F6" w:rsidRDefault="004421F6">
            <w:pPr>
              <w:rPr>
                <w:rFonts w:ascii="宋体"/>
              </w:rPr>
            </w:pPr>
          </w:p>
        </w:tc>
      </w:tr>
      <w:tr w:rsidR="004421F6" w14:paraId="1D02674C"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73F" w14:textId="77777777" w:rsidR="004421F6" w:rsidRDefault="00F15622">
            <w:pPr>
              <w:textAlignment w:val="bottom"/>
            </w:pPr>
            <w:r>
              <w:rPr>
                <w:rFonts w:ascii="Arial" w:eastAsia="宋体" w:hAnsi="Arial" w:cs="Arial"/>
                <w:color w:val="000000"/>
                <w:sz w:val="17"/>
                <w:szCs w:val="17"/>
              </w:rPr>
              <w:t>Cost of sales</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1D026740" w14:textId="77777777" w:rsidR="004421F6" w:rsidRDefault="00F15622">
            <w:pPr>
              <w:jc w:val="right"/>
              <w:textAlignment w:val="center"/>
            </w:pPr>
            <w:r>
              <w:rPr>
                <w:rFonts w:ascii="Arial" w:eastAsia="宋体" w:hAnsi="Arial" w:cs="Arial"/>
                <w:color w:val="000000"/>
                <w:sz w:val="17"/>
                <w:szCs w:val="17"/>
              </w:rPr>
              <w:t>5,853 </w:t>
            </w:r>
          </w:p>
        </w:tc>
        <w:tc>
          <w:tcPr>
            <w:tcW w:w="0" w:type="auto"/>
            <w:tcBorders>
              <w:top w:val="single" w:sz="8" w:space="0" w:color="808080"/>
            </w:tcBorders>
            <w:shd w:val="clear" w:color="auto" w:fill="FFF1E7"/>
            <w:tcMar>
              <w:top w:w="40" w:type="dxa"/>
              <w:bottom w:w="40" w:type="dxa"/>
              <w:right w:w="20" w:type="dxa"/>
            </w:tcMar>
            <w:vAlign w:val="center"/>
          </w:tcPr>
          <w:p w14:paraId="1D02674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1D026742" w14:textId="77777777" w:rsidR="004421F6" w:rsidRDefault="00F15622">
            <w:pPr>
              <w:jc w:val="right"/>
              <w:textAlignment w:val="center"/>
            </w:pPr>
            <w:r>
              <w:rPr>
                <w:rFonts w:ascii="Arial" w:eastAsia="宋体" w:hAnsi="Arial" w:cs="Arial"/>
                <w:color w:val="000000"/>
                <w:sz w:val="17"/>
                <w:szCs w:val="17"/>
              </w:rPr>
              <w:t>5,789 </w:t>
            </w:r>
          </w:p>
        </w:tc>
        <w:tc>
          <w:tcPr>
            <w:tcW w:w="0" w:type="auto"/>
            <w:tcBorders>
              <w:top w:val="single" w:sz="8" w:space="0" w:color="808080"/>
            </w:tcBorders>
            <w:shd w:val="clear" w:color="auto" w:fill="auto"/>
            <w:tcMar>
              <w:top w:w="40" w:type="dxa"/>
              <w:bottom w:w="40" w:type="dxa"/>
              <w:right w:w="20" w:type="dxa"/>
            </w:tcMar>
            <w:vAlign w:val="center"/>
          </w:tcPr>
          <w:p w14:paraId="1D026743"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1D026744" w14:textId="77777777" w:rsidR="004421F6" w:rsidRDefault="00F15622">
            <w:pPr>
              <w:jc w:val="right"/>
              <w:textAlignment w:val="center"/>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bottom w:w="40" w:type="dxa"/>
              <w:right w:w="20" w:type="dxa"/>
            </w:tcMar>
            <w:vAlign w:val="center"/>
          </w:tcPr>
          <w:p w14:paraId="1D026745" w14:textId="77777777" w:rsidR="004421F6" w:rsidRDefault="00F15622">
            <w:pPr>
              <w:jc w:val="right"/>
              <w:textAlignment w:val="center"/>
            </w:pPr>
            <w:r>
              <w:rPr>
                <w:rFonts w:ascii="Arial" w:eastAsia="宋体" w:hAnsi="Arial" w:cs="Arial"/>
                <w:color w:val="000000"/>
                <w:sz w:val="17"/>
                <w:szCs w:val="17"/>
              </w:rPr>
              <w:t>%</w:t>
            </w:r>
          </w:p>
        </w:tc>
        <w:tc>
          <w:tcPr>
            <w:tcW w:w="0" w:type="auto"/>
            <w:shd w:val="clear" w:color="auto" w:fill="auto"/>
          </w:tcPr>
          <w:p w14:paraId="1D026746" w14:textId="77777777" w:rsidR="004421F6" w:rsidRDefault="004421F6">
            <w:pPr>
              <w:rPr>
                <w:rFonts w:ascii="宋体"/>
              </w:rPr>
            </w:pPr>
          </w:p>
        </w:tc>
        <w:tc>
          <w:tcPr>
            <w:tcW w:w="0" w:type="auto"/>
            <w:shd w:val="clear" w:color="auto" w:fill="auto"/>
          </w:tcPr>
          <w:p w14:paraId="1D026747" w14:textId="77777777" w:rsidR="004421F6" w:rsidRDefault="004421F6">
            <w:pPr>
              <w:rPr>
                <w:rFonts w:ascii="宋体"/>
              </w:rPr>
            </w:pPr>
          </w:p>
        </w:tc>
        <w:tc>
          <w:tcPr>
            <w:tcW w:w="0" w:type="auto"/>
            <w:shd w:val="clear" w:color="auto" w:fill="auto"/>
          </w:tcPr>
          <w:p w14:paraId="1D026748" w14:textId="77777777" w:rsidR="004421F6" w:rsidRDefault="004421F6">
            <w:pPr>
              <w:rPr>
                <w:rFonts w:ascii="宋体"/>
              </w:rPr>
            </w:pPr>
          </w:p>
        </w:tc>
        <w:tc>
          <w:tcPr>
            <w:tcW w:w="0" w:type="auto"/>
            <w:shd w:val="clear" w:color="auto" w:fill="auto"/>
          </w:tcPr>
          <w:p w14:paraId="1D026749" w14:textId="77777777" w:rsidR="004421F6" w:rsidRDefault="004421F6">
            <w:pPr>
              <w:rPr>
                <w:rFonts w:ascii="宋体"/>
              </w:rPr>
            </w:pPr>
          </w:p>
        </w:tc>
        <w:tc>
          <w:tcPr>
            <w:tcW w:w="0" w:type="auto"/>
            <w:shd w:val="clear" w:color="auto" w:fill="auto"/>
          </w:tcPr>
          <w:p w14:paraId="1D02674A" w14:textId="77777777" w:rsidR="004421F6" w:rsidRDefault="004421F6">
            <w:pPr>
              <w:rPr>
                <w:rFonts w:ascii="宋体"/>
              </w:rPr>
            </w:pPr>
          </w:p>
        </w:tc>
        <w:tc>
          <w:tcPr>
            <w:tcW w:w="0" w:type="auto"/>
            <w:shd w:val="clear" w:color="auto" w:fill="auto"/>
          </w:tcPr>
          <w:p w14:paraId="1D02674B" w14:textId="77777777" w:rsidR="004421F6" w:rsidRDefault="004421F6">
            <w:pPr>
              <w:rPr>
                <w:rFonts w:ascii="宋体"/>
              </w:rPr>
            </w:pPr>
          </w:p>
        </w:tc>
      </w:tr>
      <w:tr w:rsidR="004421F6" w14:paraId="1D02675A" w14:textId="77777777">
        <w:tc>
          <w:tcPr>
            <w:tcW w:w="0" w:type="auto"/>
            <w:gridSpan w:val="3"/>
            <w:tcBorders>
              <w:top w:val="single" w:sz="8" w:space="0" w:color="E87722"/>
            </w:tcBorders>
            <w:shd w:val="clear" w:color="auto" w:fill="auto"/>
            <w:tcMar>
              <w:top w:w="40" w:type="dxa"/>
              <w:left w:w="135" w:type="dxa"/>
              <w:bottom w:w="40" w:type="dxa"/>
              <w:right w:w="20" w:type="dxa"/>
            </w:tcMar>
            <w:vAlign w:val="bottom"/>
          </w:tcPr>
          <w:p w14:paraId="1D02674D" w14:textId="77777777" w:rsidR="004421F6" w:rsidRDefault="00F15622">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1D02674E" w14:textId="77777777" w:rsidR="004421F6" w:rsidRDefault="00F15622">
            <w:pPr>
              <w:jc w:val="right"/>
              <w:textAlignment w:val="center"/>
            </w:pPr>
            <w:r>
              <w:rPr>
                <w:rFonts w:ascii="Arial" w:eastAsia="宋体" w:hAnsi="Arial" w:cs="Arial"/>
                <w:color w:val="000000"/>
                <w:sz w:val="17"/>
                <w:szCs w:val="17"/>
              </w:rPr>
              <w:t>4,741 </w:t>
            </w:r>
          </w:p>
        </w:tc>
        <w:tc>
          <w:tcPr>
            <w:tcW w:w="0" w:type="auto"/>
            <w:tcBorders>
              <w:top w:val="single" w:sz="8" w:space="0" w:color="E87722"/>
            </w:tcBorders>
            <w:shd w:val="clear" w:color="auto" w:fill="FFF1E7"/>
            <w:tcMar>
              <w:top w:w="40" w:type="dxa"/>
              <w:bottom w:w="40" w:type="dxa"/>
              <w:right w:w="20" w:type="dxa"/>
            </w:tcMar>
            <w:vAlign w:val="center"/>
          </w:tcPr>
          <w:p w14:paraId="1D02674F"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1D026750" w14:textId="77777777" w:rsidR="004421F6" w:rsidRDefault="00F15622">
            <w:pPr>
              <w:jc w:val="right"/>
              <w:textAlignment w:val="center"/>
            </w:pPr>
            <w:r>
              <w:rPr>
                <w:rFonts w:ascii="Arial" w:eastAsia="宋体" w:hAnsi="Arial" w:cs="Arial"/>
                <w:color w:val="000000"/>
                <w:sz w:val="17"/>
                <w:szCs w:val="17"/>
              </w:rPr>
              <w:t>4,871 </w:t>
            </w:r>
          </w:p>
        </w:tc>
        <w:tc>
          <w:tcPr>
            <w:tcW w:w="0" w:type="auto"/>
            <w:tcBorders>
              <w:top w:val="single" w:sz="8" w:space="0" w:color="E87722"/>
            </w:tcBorders>
            <w:shd w:val="clear" w:color="auto" w:fill="auto"/>
            <w:tcMar>
              <w:top w:w="40" w:type="dxa"/>
              <w:bottom w:w="40" w:type="dxa"/>
              <w:right w:w="20" w:type="dxa"/>
            </w:tcMar>
            <w:vAlign w:val="center"/>
          </w:tcPr>
          <w:p w14:paraId="1D026751"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1D026752" w14:textId="77777777" w:rsidR="004421F6" w:rsidRDefault="00F15622">
            <w:pPr>
              <w:jc w:val="right"/>
              <w:textAlignment w:val="center"/>
            </w:pPr>
            <w:r>
              <w:rPr>
                <w:rFonts w:ascii="Arial" w:eastAsia="宋体" w:hAnsi="Arial" w:cs="Arial"/>
                <w:color w:val="000000"/>
                <w:sz w:val="17"/>
                <w:szCs w:val="17"/>
              </w:rPr>
              <w:t>-3 </w:t>
            </w:r>
          </w:p>
        </w:tc>
        <w:tc>
          <w:tcPr>
            <w:tcW w:w="0" w:type="auto"/>
            <w:tcBorders>
              <w:top w:val="single" w:sz="8" w:space="0" w:color="E87722"/>
            </w:tcBorders>
            <w:shd w:val="clear" w:color="auto" w:fill="auto"/>
            <w:tcMar>
              <w:top w:w="40" w:type="dxa"/>
              <w:bottom w:w="40" w:type="dxa"/>
              <w:right w:w="20" w:type="dxa"/>
            </w:tcMar>
            <w:vAlign w:val="center"/>
          </w:tcPr>
          <w:p w14:paraId="1D026753" w14:textId="77777777" w:rsidR="004421F6" w:rsidRDefault="00F15622">
            <w:pPr>
              <w:jc w:val="right"/>
              <w:textAlignment w:val="center"/>
            </w:pPr>
            <w:r>
              <w:rPr>
                <w:rFonts w:ascii="Arial" w:eastAsia="宋体" w:hAnsi="Arial" w:cs="Arial"/>
                <w:color w:val="000000"/>
                <w:sz w:val="17"/>
                <w:szCs w:val="17"/>
              </w:rPr>
              <w:t>%</w:t>
            </w:r>
          </w:p>
        </w:tc>
        <w:tc>
          <w:tcPr>
            <w:tcW w:w="0" w:type="auto"/>
            <w:shd w:val="clear" w:color="auto" w:fill="auto"/>
          </w:tcPr>
          <w:p w14:paraId="1D026754" w14:textId="77777777" w:rsidR="004421F6" w:rsidRDefault="004421F6">
            <w:pPr>
              <w:rPr>
                <w:rFonts w:ascii="宋体"/>
              </w:rPr>
            </w:pPr>
          </w:p>
        </w:tc>
        <w:tc>
          <w:tcPr>
            <w:tcW w:w="0" w:type="auto"/>
            <w:shd w:val="clear" w:color="auto" w:fill="auto"/>
          </w:tcPr>
          <w:p w14:paraId="1D026755" w14:textId="77777777" w:rsidR="004421F6" w:rsidRDefault="004421F6">
            <w:pPr>
              <w:rPr>
                <w:rFonts w:ascii="宋体"/>
              </w:rPr>
            </w:pPr>
          </w:p>
        </w:tc>
        <w:tc>
          <w:tcPr>
            <w:tcW w:w="0" w:type="auto"/>
            <w:shd w:val="clear" w:color="auto" w:fill="auto"/>
          </w:tcPr>
          <w:p w14:paraId="1D026756" w14:textId="77777777" w:rsidR="004421F6" w:rsidRDefault="004421F6">
            <w:pPr>
              <w:rPr>
                <w:rFonts w:ascii="宋体"/>
              </w:rPr>
            </w:pPr>
          </w:p>
        </w:tc>
        <w:tc>
          <w:tcPr>
            <w:tcW w:w="0" w:type="auto"/>
            <w:shd w:val="clear" w:color="auto" w:fill="auto"/>
          </w:tcPr>
          <w:p w14:paraId="1D026757" w14:textId="77777777" w:rsidR="004421F6" w:rsidRDefault="004421F6">
            <w:pPr>
              <w:rPr>
                <w:rFonts w:ascii="宋体"/>
              </w:rPr>
            </w:pPr>
          </w:p>
        </w:tc>
        <w:tc>
          <w:tcPr>
            <w:tcW w:w="0" w:type="auto"/>
            <w:shd w:val="clear" w:color="auto" w:fill="auto"/>
          </w:tcPr>
          <w:p w14:paraId="1D026758" w14:textId="77777777" w:rsidR="004421F6" w:rsidRDefault="004421F6">
            <w:pPr>
              <w:rPr>
                <w:rFonts w:ascii="宋体"/>
              </w:rPr>
            </w:pPr>
          </w:p>
        </w:tc>
        <w:tc>
          <w:tcPr>
            <w:tcW w:w="0" w:type="auto"/>
            <w:shd w:val="clear" w:color="auto" w:fill="auto"/>
          </w:tcPr>
          <w:p w14:paraId="1D026759" w14:textId="77777777" w:rsidR="004421F6" w:rsidRDefault="004421F6">
            <w:pPr>
              <w:rPr>
                <w:rFonts w:ascii="宋体"/>
              </w:rPr>
            </w:pPr>
          </w:p>
        </w:tc>
      </w:tr>
      <w:tr w:rsidR="004421F6" w14:paraId="1D026767"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75B" w14:textId="77777777" w:rsidR="004421F6" w:rsidRDefault="00F15622">
            <w:pPr>
              <w:textAlignment w:val="bottom"/>
            </w:pPr>
            <w:r>
              <w:rPr>
                <w:rFonts w:ascii="Arial" w:eastAsia="宋体" w:hAnsi="Arial" w:cs="Arial"/>
                <w:i/>
                <w:iCs/>
                <w:color w:val="000000"/>
                <w:sz w:val="17"/>
                <w:szCs w:val="17"/>
              </w:rPr>
              <w:t>Gross margin</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1D02675C" w14:textId="77777777" w:rsidR="004421F6" w:rsidRDefault="00F15622">
            <w:pPr>
              <w:jc w:val="right"/>
              <w:textAlignment w:val="center"/>
            </w:pPr>
            <w:r>
              <w:rPr>
                <w:rFonts w:ascii="Arial" w:eastAsia="宋体" w:hAnsi="Arial" w:cs="Arial"/>
                <w:i/>
                <w:iCs/>
                <w:color w:val="000000"/>
                <w:sz w:val="17"/>
                <w:szCs w:val="17"/>
              </w:rPr>
              <w:t>44.8 </w:t>
            </w:r>
          </w:p>
        </w:tc>
        <w:tc>
          <w:tcPr>
            <w:tcW w:w="0" w:type="auto"/>
            <w:tcBorders>
              <w:top w:val="single" w:sz="8" w:space="0" w:color="808080"/>
            </w:tcBorders>
            <w:shd w:val="clear" w:color="auto" w:fill="FFF1E7"/>
            <w:tcMar>
              <w:top w:w="40" w:type="dxa"/>
              <w:bottom w:w="40" w:type="dxa"/>
              <w:right w:w="20" w:type="dxa"/>
            </w:tcMar>
            <w:vAlign w:val="center"/>
          </w:tcPr>
          <w:p w14:paraId="1D02675D" w14:textId="77777777" w:rsidR="004421F6" w:rsidRDefault="00F15622">
            <w:pPr>
              <w:jc w:val="right"/>
              <w:textAlignment w:val="center"/>
            </w:pPr>
            <w:r>
              <w:rPr>
                <w:rFonts w:ascii="Arial" w:eastAsia="宋体" w:hAnsi="Arial" w:cs="Arial"/>
                <w:i/>
                <w:iCs/>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1D02675E" w14:textId="77777777" w:rsidR="004421F6" w:rsidRDefault="00F15622">
            <w:pPr>
              <w:jc w:val="right"/>
              <w:textAlignment w:val="center"/>
            </w:pPr>
            <w:r>
              <w:rPr>
                <w:rFonts w:ascii="Arial" w:eastAsia="宋体" w:hAnsi="Arial" w:cs="Arial"/>
                <w:i/>
                <w:iCs/>
                <w:color w:val="000000"/>
                <w:sz w:val="17"/>
                <w:szCs w:val="17"/>
              </w:rPr>
              <w:t>45.7 </w:t>
            </w:r>
          </w:p>
        </w:tc>
        <w:tc>
          <w:tcPr>
            <w:tcW w:w="0" w:type="auto"/>
            <w:tcBorders>
              <w:top w:val="single" w:sz="8" w:space="0" w:color="808080"/>
            </w:tcBorders>
            <w:shd w:val="clear" w:color="auto" w:fill="auto"/>
            <w:tcMar>
              <w:top w:w="40" w:type="dxa"/>
              <w:bottom w:w="40" w:type="dxa"/>
              <w:right w:w="20" w:type="dxa"/>
            </w:tcMar>
            <w:vAlign w:val="center"/>
          </w:tcPr>
          <w:p w14:paraId="1D02675F" w14:textId="77777777" w:rsidR="004421F6" w:rsidRDefault="00F15622">
            <w:pPr>
              <w:jc w:val="right"/>
              <w:textAlignment w:val="center"/>
            </w:pPr>
            <w:r>
              <w:rPr>
                <w:rFonts w:ascii="Arial" w:eastAsia="宋体" w:hAnsi="Arial" w:cs="Arial"/>
                <w:i/>
                <w:iCs/>
                <w:color w:val="000000"/>
                <w:sz w:val="17"/>
                <w:szCs w:val="17"/>
              </w:rPr>
              <w:t>%</w:t>
            </w:r>
          </w:p>
        </w:tc>
        <w:tc>
          <w:tcPr>
            <w:tcW w:w="0" w:type="auto"/>
            <w:gridSpan w:val="3"/>
            <w:tcBorders>
              <w:top w:val="single" w:sz="8" w:space="0" w:color="808080"/>
            </w:tcBorders>
            <w:shd w:val="clear" w:color="auto" w:fill="auto"/>
            <w:tcMar>
              <w:left w:w="20" w:type="dxa"/>
              <w:right w:w="20" w:type="dxa"/>
            </w:tcMar>
            <w:vAlign w:val="bottom"/>
          </w:tcPr>
          <w:p w14:paraId="1D026760" w14:textId="77777777" w:rsidR="004421F6" w:rsidRDefault="004421F6">
            <w:pPr>
              <w:rPr>
                <w:rFonts w:ascii="宋体"/>
              </w:rPr>
            </w:pPr>
          </w:p>
        </w:tc>
        <w:tc>
          <w:tcPr>
            <w:tcW w:w="0" w:type="auto"/>
            <w:shd w:val="clear" w:color="auto" w:fill="auto"/>
          </w:tcPr>
          <w:p w14:paraId="1D026761" w14:textId="77777777" w:rsidR="004421F6" w:rsidRDefault="004421F6">
            <w:pPr>
              <w:rPr>
                <w:rFonts w:ascii="宋体"/>
              </w:rPr>
            </w:pPr>
          </w:p>
        </w:tc>
        <w:tc>
          <w:tcPr>
            <w:tcW w:w="0" w:type="auto"/>
            <w:shd w:val="clear" w:color="auto" w:fill="auto"/>
          </w:tcPr>
          <w:p w14:paraId="1D026762" w14:textId="77777777" w:rsidR="004421F6" w:rsidRDefault="004421F6">
            <w:pPr>
              <w:rPr>
                <w:rFonts w:ascii="宋体"/>
              </w:rPr>
            </w:pPr>
          </w:p>
        </w:tc>
        <w:tc>
          <w:tcPr>
            <w:tcW w:w="0" w:type="auto"/>
            <w:shd w:val="clear" w:color="auto" w:fill="auto"/>
          </w:tcPr>
          <w:p w14:paraId="1D026763" w14:textId="77777777" w:rsidR="004421F6" w:rsidRDefault="004421F6">
            <w:pPr>
              <w:rPr>
                <w:rFonts w:ascii="宋体"/>
              </w:rPr>
            </w:pPr>
          </w:p>
        </w:tc>
        <w:tc>
          <w:tcPr>
            <w:tcW w:w="0" w:type="auto"/>
            <w:shd w:val="clear" w:color="auto" w:fill="auto"/>
          </w:tcPr>
          <w:p w14:paraId="1D026764" w14:textId="77777777" w:rsidR="004421F6" w:rsidRDefault="004421F6">
            <w:pPr>
              <w:rPr>
                <w:rFonts w:ascii="宋体"/>
              </w:rPr>
            </w:pPr>
          </w:p>
        </w:tc>
        <w:tc>
          <w:tcPr>
            <w:tcW w:w="0" w:type="auto"/>
            <w:shd w:val="clear" w:color="auto" w:fill="auto"/>
          </w:tcPr>
          <w:p w14:paraId="1D026765" w14:textId="77777777" w:rsidR="004421F6" w:rsidRDefault="004421F6">
            <w:pPr>
              <w:rPr>
                <w:rFonts w:ascii="宋体"/>
              </w:rPr>
            </w:pPr>
          </w:p>
        </w:tc>
        <w:tc>
          <w:tcPr>
            <w:tcW w:w="0" w:type="auto"/>
            <w:shd w:val="clear" w:color="auto" w:fill="auto"/>
          </w:tcPr>
          <w:p w14:paraId="1D026766" w14:textId="77777777" w:rsidR="004421F6" w:rsidRDefault="004421F6">
            <w:pPr>
              <w:rPr>
                <w:rFonts w:ascii="宋体"/>
              </w:rPr>
            </w:pPr>
          </w:p>
        </w:tc>
      </w:tr>
      <w:tr w:rsidR="004421F6" w14:paraId="1D02677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768" w14:textId="77777777" w:rsidR="004421F6" w:rsidRDefault="00F15622">
            <w:pPr>
              <w:textAlignment w:val="bottom"/>
            </w:pPr>
            <w:r>
              <w:rPr>
                <w:rFonts w:ascii="Arial" w:eastAsia="宋体" w:hAnsi="Arial" w:cs="Arial"/>
                <w:color w:val="000000"/>
                <w:sz w:val="17"/>
                <w:szCs w:val="17"/>
              </w:rPr>
              <w:t>Demand creation expense</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1D026769" w14:textId="77777777" w:rsidR="004421F6" w:rsidRDefault="00F15622">
            <w:pPr>
              <w:jc w:val="right"/>
              <w:textAlignment w:val="center"/>
            </w:pPr>
            <w:r>
              <w:rPr>
                <w:rFonts w:ascii="Arial" w:eastAsia="宋体" w:hAnsi="Arial" w:cs="Arial"/>
                <w:color w:val="000000"/>
                <w:sz w:val="17"/>
                <w:szCs w:val="17"/>
              </w:rPr>
              <w:t>677 </w:t>
            </w:r>
          </w:p>
        </w:tc>
        <w:tc>
          <w:tcPr>
            <w:tcW w:w="0" w:type="auto"/>
            <w:tcBorders>
              <w:top w:val="single" w:sz="8" w:space="0" w:color="808080"/>
            </w:tcBorders>
            <w:shd w:val="clear" w:color="auto" w:fill="FFF1E7"/>
            <w:tcMar>
              <w:top w:w="40" w:type="dxa"/>
              <w:bottom w:w="40" w:type="dxa"/>
              <w:right w:w="20" w:type="dxa"/>
            </w:tcMar>
            <w:vAlign w:val="center"/>
          </w:tcPr>
          <w:p w14:paraId="1D02676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1D02676B" w14:textId="77777777" w:rsidR="004421F6" w:rsidRDefault="00F15622">
            <w:pPr>
              <w:jc w:val="right"/>
              <w:textAlignment w:val="center"/>
            </w:pPr>
            <w:r>
              <w:rPr>
                <w:rFonts w:ascii="Arial" w:eastAsia="宋体" w:hAnsi="Arial" w:cs="Arial"/>
                <w:color w:val="000000"/>
                <w:sz w:val="17"/>
                <w:szCs w:val="17"/>
              </w:rPr>
              <w:t>1,018 </w:t>
            </w:r>
          </w:p>
        </w:tc>
        <w:tc>
          <w:tcPr>
            <w:tcW w:w="0" w:type="auto"/>
            <w:tcBorders>
              <w:top w:val="single" w:sz="8" w:space="0" w:color="808080"/>
            </w:tcBorders>
            <w:shd w:val="clear" w:color="auto" w:fill="auto"/>
            <w:tcMar>
              <w:top w:w="40" w:type="dxa"/>
              <w:bottom w:w="40" w:type="dxa"/>
              <w:right w:w="20" w:type="dxa"/>
            </w:tcMar>
            <w:vAlign w:val="center"/>
          </w:tcPr>
          <w:p w14:paraId="1D02676C"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1D02676D" w14:textId="77777777" w:rsidR="004421F6" w:rsidRDefault="00F15622">
            <w:pPr>
              <w:jc w:val="right"/>
              <w:textAlignment w:val="center"/>
            </w:pPr>
            <w:r>
              <w:rPr>
                <w:rFonts w:ascii="Arial" w:eastAsia="宋体" w:hAnsi="Arial" w:cs="Arial"/>
                <w:color w:val="000000"/>
                <w:sz w:val="17"/>
                <w:szCs w:val="17"/>
              </w:rPr>
              <w:t>-33 </w:t>
            </w:r>
          </w:p>
        </w:tc>
        <w:tc>
          <w:tcPr>
            <w:tcW w:w="0" w:type="auto"/>
            <w:tcBorders>
              <w:top w:val="single" w:sz="8" w:space="0" w:color="808080"/>
            </w:tcBorders>
            <w:shd w:val="clear" w:color="auto" w:fill="auto"/>
            <w:tcMar>
              <w:top w:w="40" w:type="dxa"/>
              <w:bottom w:w="40" w:type="dxa"/>
              <w:right w:w="20" w:type="dxa"/>
            </w:tcMar>
            <w:vAlign w:val="center"/>
          </w:tcPr>
          <w:p w14:paraId="1D02676E" w14:textId="77777777" w:rsidR="004421F6" w:rsidRDefault="00F15622">
            <w:pPr>
              <w:jc w:val="right"/>
              <w:textAlignment w:val="center"/>
            </w:pPr>
            <w:r>
              <w:rPr>
                <w:rFonts w:ascii="Arial" w:eastAsia="宋体" w:hAnsi="Arial" w:cs="Arial"/>
                <w:color w:val="000000"/>
                <w:sz w:val="17"/>
                <w:szCs w:val="17"/>
              </w:rPr>
              <w:t>%</w:t>
            </w:r>
          </w:p>
        </w:tc>
        <w:tc>
          <w:tcPr>
            <w:tcW w:w="0" w:type="auto"/>
            <w:shd w:val="clear" w:color="auto" w:fill="auto"/>
          </w:tcPr>
          <w:p w14:paraId="1D02676F" w14:textId="77777777" w:rsidR="004421F6" w:rsidRDefault="004421F6">
            <w:pPr>
              <w:rPr>
                <w:rFonts w:ascii="宋体"/>
              </w:rPr>
            </w:pPr>
          </w:p>
        </w:tc>
        <w:tc>
          <w:tcPr>
            <w:tcW w:w="0" w:type="auto"/>
            <w:shd w:val="clear" w:color="auto" w:fill="auto"/>
          </w:tcPr>
          <w:p w14:paraId="1D026770" w14:textId="77777777" w:rsidR="004421F6" w:rsidRDefault="004421F6">
            <w:pPr>
              <w:rPr>
                <w:rFonts w:ascii="宋体"/>
              </w:rPr>
            </w:pPr>
          </w:p>
        </w:tc>
        <w:tc>
          <w:tcPr>
            <w:tcW w:w="0" w:type="auto"/>
            <w:shd w:val="clear" w:color="auto" w:fill="auto"/>
          </w:tcPr>
          <w:p w14:paraId="1D026771" w14:textId="77777777" w:rsidR="004421F6" w:rsidRDefault="004421F6">
            <w:pPr>
              <w:rPr>
                <w:rFonts w:ascii="宋体"/>
              </w:rPr>
            </w:pPr>
          </w:p>
        </w:tc>
        <w:tc>
          <w:tcPr>
            <w:tcW w:w="0" w:type="auto"/>
            <w:shd w:val="clear" w:color="auto" w:fill="auto"/>
          </w:tcPr>
          <w:p w14:paraId="1D026772" w14:textId="77777777" w:rsidR="004421F6" w:rsidRDefault="004421F6">
            <w:pPr>
              <w:rPr>
                <w:rFonts w:ascii="宋体"/>
              </w:rPr>
            </w:pPr>
          </w:p>
        </w:tc>
        <w:tc>
          <w:tcPr>
            <w:tcW w:w="0" w:type="auto"/>
            <w:shd w:val="clear" w:color="auto" w:fill="auto"/>
          </w:tcPr>
          <w:p w14:paraId="1D026773" w14:textId="77777777" w:rsidR="004421F6" w:rsidRDefault="004421F6">
            <w:pPr>
              <w:rPr>
                <w:rFonts w:ascii="宋体"/>
              </w:rPr>
            </w:pPr>
          </w:p>
        </w:tc>
        <w:tc>
          <w:tcPr>
            <w:tcW w:w="0" w:type="auto"/>
            <w:shd w:val="clear" w:color="auto" w:fill="auto"/>
          </w:tcPr>
          <w:p w14:paraId="1D026774" w14:textId="77777777" w:rsidR="004421F6" w:rsidRDefault="004421F6">
            <w:pPr>
              <w:rPr>
                <w:rFonts w:ascii="宋体"/>
              </w:rPr>
            </w:pPr>
          </w:p>
        </w:tc>
      </w:tr>
      <w:tr w:rsidR="004421F6" w14:paraId="1D02678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776" w14:textId="77777777" w:rsidR="004421F6" w:rsidRDefault="00F15622">
            <w:pPr>
              <w:textAlignment w:val="bottom"/>
            </w:pPr>
            <w:r>
              <w:rPr>
                <w:rFonts w:ascii="Arial" w:eastAsia="宋体" w:hAnsi="Arial" w:cs="Arial"/>
                <w:color w:val="000000"/>
                <w:sz w:val="17"/>
                <w:szCs w:val="17"/>
              </w:rPr>
              <w:t>Operating overhead expense</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1D026777" w14:textId="77777777" w:rsidR="004421F6" w:rsidRDefault="00F15622">
            <w:pPr>
              <w:jc w:val="right"/>
              <w:textAlignment w:val="center"/>
            </w:pPr>
            <w:r>
              <w:rPr>
                <w:rFonts w:ascii="Arial" w:eastAsia="宋体" w:hAnsi="Arial" w:cs="Arial"/>
                <w:color w:val="000000"/>
                <w:sz w:val="17"/>
                <w:szCs w:val="17"/>
              </w:rPr>
              <w:t>2,298 </w:t>
            </w:r>
          </w:p>
        </w:tc>
        <w:tc>
          <w:tcPr>
            <w:tcW w:w="0" w:type="auto"/>
            <w:tcBorders>
              <w:top w:val="single" w:sz="8" w:space="0" w:color="808080"/>
            </w:tcBorders>
            <w:shd w:val="clear" w:color="auto" w:fill="FFF1E7"/>
            <w:tcMar>
              <w:top w:w="40" w:type="dxa"/>
              <w:bottom w:w="40" w:type="dxa"/>
              <w:right w:w="20" w:type="dxa"/>
            </w:tcMar>
            <w:vAlign w:val="center"/>
          </w:tcPr>
          <w:p w14:paraId="1D026778"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1D026779" w14:textId="77777777" w:rsidR="004421F6" w:rsidRDefault="00F15622">
            <w:pPr>
              <w:jc w:val="right"/>
              <w:textAlignment w:val="center"/>
            </w:pPr>
            <w:r>
              <w:rPr>
                <w:rFonts w:ascii="Arial" w:eastAsia="宋体" w:hAnsi="Arial" w:cs="Arial"/>
                <w:color w:val="000000"/>
                <w:sz w:val="17"/>
                <w:szCs w:val="17"/>
              </w:rPr>
              <w:t>2,310 </w:t>
            </w:r>
          </w:p>
        </w:tc>
        <w:tc>
          <w:tcPr>
            <w:tcW w:w="0" w:type="auto"/>
            <w:tcBorders>
              <w:top w:val="single" w:sz="8" w:space="0" w:color="808080"/>
            </w:tcBorders>
            <w:shd w:val="clear" w:color="auto" w:fill="auto"/>
            <w:tcMar>
              <w:top w:w="40" w:type="dxa"/>
              <w:bottom w:w="40" w:type="dxa"/>
              <w:right w:w="20" w:type="dxa"/>
            </w:tcMar>
            <w:vAlign w:val="center"/>
          </w:tcPr>
          <w:p w14:paraId="1D02677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1D02677B" w14:textId="77777777" w:rsidR="004421F6" w:rsidRDefault="00F15622">
            <w:pPr>
              <w:jc w:val="right"/>
              <w:textAlignment w:val="center"/>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bottom w:w="40" w:type="dxa"/>
              <w:right w:w="20" w:type="dxa"/>
            </w:tcMar>
            <w:vAlign w:val="center"/>
          </w:tcPr>
          <w:p w14:paraId="1D02677C" w14:textId="77777777" w:rsidR="004421F6" w:rsidRDefault="00F15622">
            <w:pPr>
              <w:jc w:val="right"/>
              <w:textAlignment w:val="center"/>
            </w:pPr>
            <w:r>
              <w:rPr>
                <w:rFonts w:ascii="Arial" w:eastAsia="宋体" w:hAnsi="Arial" w:cs="Arial"/>
                <w:color w:val="000000"/>
                <w:sz w:val="17"/>
                <w:szCs w:val="17"/>
              </w:rPr>
              <w:t>%</w:t>
            </w:r>
          </w:p>
        </w:tc>
        <w:tc>
          <w:tcPr>
            <w:tcW w:w="0" w:type="auto"/>
            <w:shd w:val="clear" w:color="auto" w:fill="auto"/>
          </w:tcPr>
          <w:p w14:paraId="1D02677D" w14:textId="77777777" w:rsidR="004421F6" w:rsidRDefault="004421F6">
            <w:pPr>
              <w:rPr>
                <w:rFonts w:ascii="宋体"/>
              </w:rPr>
            </w:pPr>
          </w:p>
        </w:tc>
        <w:tc>
          <w:tcPr>
            <w:tcW w:w="0" w:type="auto"/>
            <w:shd w:val="clear" w:color="auto" w:fill="auto"/>
          </w:tcPr>
          <w:p w14:paraId="1D02677E" w14:textId="77777777" w:rsidR="004421F6" w:rsidRDefault="004421F6">
            <w:pPr>
              <w:rPr>
                <w:rFonts w:ascii="宋体"/>
              </w:rPr>
            </w:pPr>
          </w:p>
        </w:tc>
        <w:tc>
          <w:tcPr>
            <w:tcW w:w="0" w:type="auto"/>
            <w:shd w:val="clear" w:color="auto" w:fill="auto"/>
          </w:tcPr>
          <w:p w14:paraId="1D02677F" w14:textId="77777777" w:rsidR="004421F6" w:rsidRDefault="004421F6">
            <w:pPr>
              <w:rPr>
                <w:rFonts w:ascii="宋体"/>
              </w:rPr>
            </w:pPr>
          </w:p>
        </w:tc>
        <w:tc>
          <w:tcPr>
            <w:tcW w:w="0" w:type="auto"/>
            <w:shd w:val="clear" w:color="auto" w:fill="auto"/>
          </w:tcPr>
          <w:p w14:paraId="1D026780" w14:textId="77777777" w:rsidR="004421F6" w:rsidRDefault="004421F6">
            <w:pPr>
              <w:rPr>
                <w:rFonts w:ascii="宋体"/>
              </w:rPr>
            </w:pPr>
          </w:p>
        </w:tc>
        <w:tc>
          <w:tcPr>
            <w:tcW w:w="0" w:type="auto"/>
            <w:shd w:val="clear" w:color="auto" w:fill="auto"/>
          </w:tcPr>
          <w:p w14:paraId="1D026781" w14:textId="77777777" w:rsidR="004421F6" w:rsidRDefault="004421F6">
            <w:pPr>
              <w:rPr>
                <w:rFonts w:ascii="宋体"/>
              </w:rPr>
            </w:pPr>
          </w:p>
        </w:tc>
        <w:tc>
          <w:tcPr>
            <w:tcW w:w="0" w:type="auto"/>
            <w:shd w:val="clear" w:color="auto" w:fill="auto"/>
          </w:tcPr>
          <w:p w14:paraId="1D026782" w14:textId="77777777" w:rsidR="004421F6" w:rsidRDefault="004421F6">
            <w:pPr>
              <w:rPr>
                <w:rFonts w:ascii="宋体"/>
              </w:rPr>
            </w:pPr>
          </w:p>
        </w:tc>
      </w:tr>
      <w:tr w:rsidR="004421F6" w14:paraId="1D026791" w14:textId="77777777">
        <w:tc>
          <w:tcPr>
            <w:tcW w:w="0" w:type="auto"/>
            <w:gridSpan w:val="3"/>
            <w:tcBorders>
              <w:top w:val="single" w:sz="8" w:space="0" w:color="E87722"/>
            </w:tcBorders>
            <w:shd w:val="clear" w:color="auto" w:fill="auto"/>
            <w:tcMar>
              <w:top w:w="40" w:type="dxa"/>
              <w:left w:w="135" w:type="dxa"/>
              <w:bottom w:w="40" w:type="dxa"/>
              <w:right w:w="20" w:type="dxa"/>
            </w:tcMar>
            <w:vAlign w:val="bottom"/>
          </w:tcPr>
          <w:p w14:paraId="1D026784" w14:textId="77777777" w:rsidR="004421F6" w:rsidRDefault="00F15622">
            <w:pPr>
              <w:textAlignment w:val="bottom"/>
            </w:pPr>
            <w:r>
              <w:rPr>
                <w:rFonts w:ascii="Arial" w:eastAsia="宋体" w:hAnsi="Arial" w:cs="Arial"/>
                <w:color w:val="000000"/>
                <w:sz w:val="17"/>
                <w:szCs w:val="17"/>
              </w:rPr>
              <w:t>Total 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1D026785" w14:textId="77777777" w:rsidR="004421F6" w:rsidRDefault="00F15622">
            <w:pPr>
              <w:jc w:val="right"/>
              <w:textAlignment w:val="center"/>
            </w:pPr>
            <w:r>
              <w:rPr>
                <w:rFonts w:ascii="Arial" w:eastAsia="宋体" w:hAnsi="Arial" w:cs="Arial"/>
                <w:color w:val="000000"/>
                <w:sz w:val="17"/>
                <w:szCs w:val="17"/>
              </w:rPr>
              <w:t>2,975 </w:t>
            </w:r>
          </w:p>
        </w:tc>
        <w:tc>
          <w:tcPr>
            <w:tcW w:w="0" w:type="auto"/>
            <w:tcBorders>
              <w:top w:val="single" w:sz="8" w:space="0" w:color="E87722"/>
            </w:tcBorders>
            <w:shd w:val="clear" w:color="auto" w:fill="FFF1E7"/>
            <w:tcMar>
              <w:top w:w="40" w:type="dxa"/>
              <w:bottom w:w="40" w:type="dxa"/>
              <w:right w:w="20" w:type="dxa"/>
            </w:tcMar>
            <w:vAlign w:val="center"/>
          </w:tcPr>
          <w:p w14:paraId="1D026786"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1D026787" w14:textId="77777777" w:rsidR="004421F6" w:rsidRDefault="00F15622">
            <w:pPr>
              <w:jc w:val="right"/>
              <w:textAlignment w:val="center"/>
            </w:pPr>
            <w:r>
              <w:rPr>
                <w:rFonts w:ascii="Arial" w:eastAsia="宋体" w:hAnsi="Arial" w:cs="Arial"/>
                <w:color w:val="000000"/>
                <w:sz w:val="17"/>
                <w:szCs w:val="17"/>
              </w:rPr>
              <w:t>3,328 </w:t>
            </w:r>
          </w:p>
        </w:tc>
        <w:tc>
          <w:tcPr>
            <w:tcW w:w="0" w:type="auto"/>
            <w:tcBorders>
              <w:top w:val="single" w:sz="8" w:space="0" w:color="E87722"/>
            </w:tcBorders>
            <w:shd w:val="clear" w:color="auto" w:fill="auto"/>
            <w:tcMar>
              <w:top w:w="40" w:type="dxa"/>
              <w:bottom w:w="40" w:type="dxa"/>
              <w:right w:w="20" w:type="dxa"/>
            </w:tcMar>
            <w:vAlign w:val="center"/>
          </w:tcPr>
          <w:p w14:paraId="1D026788"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1D026789" w14:textId="77777777" w:rsidR="004421F6" w:rsidRDefault="00F15622">
            <w:pPr>
              <w:jc w:val="right"/>
              <w:textAlignment w:val="center"/>
            </w:pPr>
            <w:r>
              <w:rPr>
                <w:rFonts w:ascii="Arial" w:eastAsia="宋体" w:hAnsi="Arial" w:cs="Arial"/>
                <w:color w:val="000000"/>
                <w:sz w:val="17"/>
                <w:szCs w:val="17"/>
              </w:rPr>
              <w:t>-11 </w:t>
            </w:r>
          </w:p>
        </w:tc>
        <w:tc>
          <w:tcPr>
            <w:tcW w:w="0" w:type="auto"/>
            <w:tcBorders>
              <w:top w:val="single" w:sz="8" w:space="0" w:color="E87722"/>
            </w:tcBorders>
            <w:shd w:val="clear" w:color="auto" w:fill="auto"/>
            <w:tcMar>
              <w:top w:w="40" w:type="dxa"/>
              <w:bottom w:w="40" w:type="dxa"/>
              <w:right w:w="20" w:type="dxa"/>
            </w:tcMar>
            <w:vAlign w:val="center"/>
          </w:tcPr>
          <w:p w14:paraId="1D02678A" w14:textId="77777777" w:rsidR="004421F6" w:rsidRDefault="00F15622">
            <w:pPr>
              <w:jc w:val="right"/>
              <w:textAlignment w:val="center"/>
            </w:pPr>
            <w:r>
              <w:rPr>
                <w:rFonts w:ascii="Arial" w:eastAsia="宋体" w:hAnsi="Arial" w:cs="Arial"/>
                <w:color w:val="000000"/>
                <w:sz w:val="17"/>
                <w:szCs w:val="17"/>
              </w:rPr>
              <w:t>%</w:t>
            </w:r>
          </w:p>
        </w:tc>
        <w:tc>
          <w:tcPr>
            <w:tcW w:w="0" w:type="auto"/>
            <w:shd w:val="clear" w:color="auto" w:fill="auto"/>
          </w:tcPr>
          <w:p w14:paraId="1D02678B" w14:textId="77777777" w:rsidR="004421F6" w:rsidRDefault="004421F6">
            <w:pPr>
              <w:rPr>
                <w:rFonts w:ascii="宋体"/>
              </w:rPr>
            </w:pPr>
          </w:p>
        </w:tc>
        <w:tc>
          <w:tcPr>
            <w:tcW w:w="0" w:type="auto"/>
            <w:shd w:val="clear" w:color="auto" w:fill="auto"/>
          </w:tcPr>
          <w:p w14:paraId="1D02678C" w14:textId="77777777" w:rsidR="004421F6" w:rsidRDefault="004421F6">
            <w:pPr>
              <w:rPr>
                <w:rFonts w:ascii="宋体"/>
              </w:rPr>
            </w:pPr>
          </w:p>
        </w:tc>
        <w:tc>
          <w:tcPr>
            <w:tcW w:w="0" w:type="auto"/>
            <w:shd w:val="clear" w:color="auto" w:fill="auto"/>
          </w:tcPr>
          <w:p w14:paraId="1D02678D" w14:textId="77777777" w:rsidR="004421F6" w:rsidRDefault="004421F6">
            <w:pPr>
              <w:rPr>
                <w:rFonts w:ascii="宋体"/>
              </w:rPr>
            </w:pPr>
          </w:p>
        </w:tc>
        <w:tc>
          <w:tcPr>
            <w:tcW w:w="0" w:type="auto"/>
            <w:shd w:val="clear" w:color="auto" w:fill="auto"/>
          </w:tcPr>
          <w:p w14:paraId="1D02678E" w14:textId="77777777" w:rsidR="004421F6" w:rsidRDefault="004421F6">
            <w:pPr>
              <w:rPr>
                <w:rFonts w:ascii="宋体"/>
              </w:rPr>
            </w:pPr>
          </w:p>
        </w:tc>
        <w:tc>
          <w:tcPr>
            <w:tcW w:w="0" w:type="auto"/>
            <w:shd w:val="clear" w:color="auto" w:fill="auto"/>
          </w:tcPr>
          <w:p w14:paraId="1D02678F" w14:textId="77777777" w:rsidR="004421F6" w:rsidRDefault="004421F6">
            <w:pPr>
              <w:rPr>
                <w:rFonts w:ascii="宋体"/>
              </w:rPr>
            </w:pPr>
          </w:p>
        </w:tc>
        <w:tc>
          <w:tcPr>
            <w:tcW w:w="0" w:type="auto"/>
            <w:shd w:val="clear" w:color="auto" w:fill="auto"/>
          </w:tcPr>
          <w:p w14:paraId="1D026790" w14:textId="77777777" w:rsidR="004421F6" w:rsidRDefault="004421F6">
            <w:pPr>
              <w:rPr>
                <w:rFonts w:ascii="宋体"/>
              </w:rPr>
            </w:pPr>
          </w:p>
        </w:tc>
      </w:tr>
      <w:tr w:rsidR="004421F6" w14:paraId="1D02679E"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792" w14:textId="77777777" w:rsidR="004421F6" w:rsidRDefault="00F15622">
            <w:pPr>
              <w:textAlignment w:val="bottom"/>
            </w:pPr>
            <w:r>
              <w:rPr>
                <w:rFonts w:ascii="Arial" w:eastAsia="宋体" w:hAnsi="Arial" w:cs="Arial"/>
                <w:i/>
                <w:iCs/>
                <w:color w:val="000000"/>
                <w:sz w:val="17"/>
                <w:szCs w:val="17"/>
              </w:rPr>
              <w:t xml:space="preserve">% of </w:t>
            </w:r>
            <w:r>
              <w:rPr>
                <w:rFonts w:ascii="Arial" w:eastAsia="宋体" w:hAnsi="Arial" w:cs="Arial"/>
                <w:i/>
                <w:iCs/>
                <w:color w:val="000000"/>
                <w:sz w:val="17"/>
                <w:szCs w:val="17"/>
              </w:rPr>
              <w:t>revenues</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1D026793" w14:textId="77777777" w:rsidR="004421F6" w:rsidRDefault="00F15622">
            <w:pPr>
              <w:jc w:val="right"/>
              <w:textAlignment w:val="center"/>
            </w:pPr>
            <w:r>
              <w:rPr>
                <w:rFonts w:ascii="Arial" w:eastAsia="宋体" w:hAnsi="Arial" w:cs="Arial"/>
                <w:i/>
                <w:iCs/>
                <w:color w:val="000000"/>
                <w:sz w:val="17"/>
                <w:szCs w:val="17"/>
              </w:rPr>
              <w:t>28.1 </w:t>
            </w:r>
          </w:p>
        </w:tc>
        <w:tc>
          <w:tcPr>
            <w:tcW w:w="0" w:type="auto"/>
            <w:tcBorders>
              <w:top w:val="single" w:sz="8" w:space="0" w:color="808080"/>
            </w:tcBorders>
            <w:shd w:val="clear" w:color="auto" w:fill="FFF1E7"/>
            <w:tcMar>
              <w:top w:w="40" w:type="dxa"/>
              <w:bottom w:w="40" w:type="dxa"/>
              <w:right w:w="20" w:type="dxa"/>
            </w:tcMar>
            <w:vAlign w:val="center"/>
          </w:tcPr>
          <w:p w14:paraId="1D026794" w14:textId="77777777" w:rsidR="004421F6" w:rsidRDefault="00F15622">
            <w:pPr>
              <w:jc w:val="right"/>
              <w:textAlignment w:val="center"/>
            </w:pPr>
            <w:r>
              <w:rPr>
                <w:rFonts w:ascii="Arial" w:eastAsia="宋体" w:hAnsi="Arial" w:cs="Arial"/>
                <w:i/>
                <w:iCs/>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1D026795" w14:textId="77777777" w:rsidR="004421F6" w:rsidRDefault="00F15622">
            <w:pPr>
              <w:jc w:val="right"/>
              <w:textAlignment w:val="center"/>
            </w:pPr>
            <w:r>
              <w:rPr>
                <w:rFonts w:ascii="Arial" w:eastAsia="宋体" w:hAnsi="Arial" w:cs="Arial"/>
                <w:i/>
                <w:iCs/>
                <w:color w:val="000000"/>
                <w:sz w:val="17"/>
                <w:szCs w:val="17"/>
              </w:rPr>
              <w:t>31.2 </w:t>
            </w:r>
          </w:p>
        </w:tc>
        <w:tc>
          <w:tcPr>
            <w:tcW w:w="0" w:type="auto"/>
            <w:tcBorders>
              <w:top w:val="single" w:sz="8" w:space="0" w:color="808080"/>
            </w:tcBorders>
            <w:shd w:val="clear" w:color="auto" w:fill="auto"/>
            <w:tcMar>
              <w:top w:w="40" w:type="dxa"/>
              <w:bottom w:w="40" w:type="dxa"/>
              <w:right w:w="20" w:type="dxa"/>
            </w:tcMar>
            <w:vAlign w:val="center"/>
          </w:tcPr>
          <w:p w14:paraId="1D026796" w14:textId="77777777" w:rsidR="004421F6" w:rsidRDefault="00F15622">
            <w:pPr>
              <w:jc w:val="right"/>
              <w:textAlignment w:val="center"/>
            </w:pPr>
            <w:r>
              <w:rPr>
                <w:rFonts w:ascii="Arial" w:eastAsia="宋体" w:hAnsi="Arial" w:cs="Arial"/>
                <w:i/>
                <w:iCs/>
                <w:color w:val="000000"/>
                <w:sz w:val="17"/>
                <w:szCs w:val="17"/>
              </w:rPr>
              <w:t>%</w:t>
            </w:r>
          </w:p>
        </w:tc>
        <w:tc>
          <w:tcPr>
            <w:tcW w:w="0" w:type="auto"/>
            <w:gridSpan w:val="3"/>
            <w:tcBorders>
              <w:top w:val="single" w:sz="8" w:space="0" w:color="808080"/>
            </w:tcBorders>
            <w:shd w:val="clear" w:color="auto" w:fill="auto"/>
            <w:tcMar>
              <w:left w:w="20" w:type="dxa"/>
              <w:right w:w="20" w:type="dxa"/>
            </w:tcMar>
            <w:vAlign w:val="bottom"/>
          </w:tcPr>
          <w:p w14:paraId="1D026797" w14:textId="77777777" w:rsidR="004421F6" w:rsidRDefault="004421F6">
            <w:pPr>
              <w:rPr>
                <w:rFonts w:ascii="宋体"/>
              </w:rPr>
            </w:pPr>
          </w:p>
        </w:tc>
        <w:tc>
          <w:tcPr>
            <w:tcW w:w="0" w:type="auto"/>
            <w:shd w:val="clear" w:color="auto" w:fill="auto"/>
          </w:tcPr>
          <w:p w14:paraId="1D026798" w14:textId="77777777" w:rsidR="004421F6" w:rsidRDefault="004421F6">
            <w:pPr>
              <w:rPr>
                <w:rFonts w:ascii="宋体"/>
              </w:rPr>
            </w:pPr>
          </w:p>
        </w:tc>
        <w:tc>
          <w:tcPr>
            <w:tcW w:w="0" w:type="auto"/>
            <w:shd w:val="clear" w:color="auto" w:fill="auto"/>
          </w:tcPr>
          <w:p w14:paraId="1D026799" w14:textId="77777777" w:rsidR="004421F6" w:rsidRDefault="004421F6">
            <w:pPr>
              <w:rPr>
                <w:rFonts w:ascii="宋体"/>
              </w:rPr>
            </w:pPr>
          </w:p>
        </w:tc>
        <w:tc>
          <w:tcPr>
            <w:tcW w:w="0" w:type="auto"/>
            <w:shd w:val="clear" w:color="auto" w:fill="auto"/>
          </w:tcPr>
          <w:p w14:paraId="1D02679A" w14:textId="77777777" w:rsidR="004421F6" w:rsidRDefault="004421F6">
            <w:pPr>
              <w:rPr>
                <w:rFonts w:ascii="宋体"/>
              </w:rPr>
            </w:pPr>
          </w:p>
        </w:tc>
        <w:tc>
          <w:tcPr>
            <w:tcW w:w="0" w:type="auto"/>
            <w:shd w:val="clear" w:color="auto" w:fill="auto"/>
          </w:tcPr>
          <w:p w14:paraId="1D02679B" w14:textId="77777777" w:rsidR="004421F6" w:rsidRDefault="004421F6">
            <w:pPr>
              <w:rPr>
                <w:rFonts w:ascii="宋体"/>
              </w:rPr>
            </w:pPr>
          </w:p>
        </w:tc>
        <w:tc>
          <w:tcPr>
            <w:tcW w:w="0" w:type="auto"/>
            <w:shd w:val="clear" w:color="auto" w:fill="auto"/>
          </w:tcPr>
          <w:p w14:paraId="1D02679C" w14:textId="77777777" w:rsidR="004421F6" w:rsidRDefault="004421F6">
            <w:pPr>
              <w:rPr>
                <w:rFonts w:ascii="宋体"/>
              </w:rPr>
            </w:pPr>
          </w:p>
        </w:tc>
        <w:tc>
          <w:tcPr>
            <w:tcW w:w="0" w:type="auto"/>
            <w:shd w:val="clear" w:color="auto" w:fill="auto"/>
          </w:tcPr>
          <w:p w14:paraId="1D02679D" w14:textId="77777777" w:rsidR="004421F6" w:rsidRDefault="004421F6">
            <w:pPr>
              <w:rPr>
                <w:rFonts w:ascii="宋体"/>
              </w:rPr>
            </w:pPr>
          </w:p>
        </w:tc>
      </w:tr>
      <w:tr w:rsidR="004421F6" w14:paraId="1D0267AC"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79F" w14:textId="77777777" w:rsidR="004421F6" w:rsidRDefault="00F15622">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1D0267A0" w14:textId="77777777" w:rsidR="004421F6" w:rsidRDefault="00F15622">
            <w:pPr>
              <w:jc w:val="right"/>
              <w:textAlignment w:val="center"/>
            </w:pPr>
            <w:r>
              <w:rPr>
                <w:rFonts w:ascii="Arial" w:eastAsia="宋体" w:hAnsi="Arial" w:cs="Arial"/>
                <w:color w:val="000000"/>
                <w:sz w:val="17"/>
                <w:szCs w:val="17"/>
              </w:rPr>
              <w:t>65 </w:t>
            </w:r>
          </w:p>
        </w:tc>
        <w:tc>
          <w:tcPr>
            <w:tcW w:w="0" w:type="auto"/>
            <w:tcBorders>
              <w:top w:val="single" w:sz="8" w:space="0" w:color="808080"/>
            </w:tcBorders>
            <w:shd w:val="clear" w:color="auto" w:fill="FFF1E7"/>
            <w:tcMar>
              <w:top w:w="40" w:type="dxa"/>
              <w:bottom w:w="40" w:type="dxa"/>
              <w:right w:w="20" w:type="dxa"/>
            </w:tcMar>
            <w:vAlign w:val="center"/>
          </w:tcPr>
          <w:p w14:paraId="1D0267A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1D0267A2" w14:textId="77777777" w:rsidR="004421F6" w:rsidRDefault="00F15622">
            <w:pPr>
              <w:jc w:val="right"/>
              <w:textAlignment w:val="center"/>
            </w:pPr>
            <w:r>
              <w:rPr>
                <w:rFonts w:ascii="Arial" w:eastAsia="宋体" w:hAnsi="Arial" w:cs="Arial"/>
                <w:color w:val="000000"/>
                <w:sz w:val="17"/>
                <w:szCs w:val="17"/>
              </w:rPr>
              <w:t>15 </w:t>
            </w:r>
          </w:p>
        </w:tc>
        <w:tc>
          <w:tcPr>
            <w:tcW w:w="0" w:type="auto"/>
            <w:tcBorders>
              <w:top w:val="single" w:sz="8" w:space="0" w:color="808080"/>
            </w:tcBorders>
            <w:shd w:val="clear" w:color="auto" w:fill="auto"/>
            <w:tcMar>
              <w:top w:w="40" w:type="dxa"/>
              <w:bottom w:w="40" w:type="dxa"/>
              <w:right w:w="20" w:type="dxa"/>
            </w:tcMar>
            <w:vAlign w:val="center"/>
          </w:tcPr>
          <w:p w14:paraId="1D0267A3"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1D0267A4" w14:textId="77777777" w:rsidR="004421F6" w:rsidRDefault="00F15622">
            <w:pPr>
              <w:jc w:val="right"/>
              <w:textAlignment w:val="center"/>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center"/>
          </w:tcPr>
          <w:p w14:paraId="1D0267A5" w14:textId="77777777" w:rsidR="004421F6" w:rsidRDefault="004421F6">
            <w:pPr>
              <w:jc w:val="right"/>
              <w:rPr>
                <w:rFonts w:ascii="宋体"/>
              </w:rPr>
            </w:pPr>
          </w:p>
        </w:tc>
        <w:tc>
          <w:tcPr>
            <w:tcW w:w="0" w:type="auto"/>
            <w:shd w:val="clear" w:color="auto" w:fill="auto"/>
          </w:tcPr>
          <w:p w14:paraId="1D0267A6" w14:textId="77777777" w:rsidR="004421F6" w:rsidRDefault="004421F6">
            <w:pPr>
              <w:rPr>
                <w:rFonts w:ascii="宋体"/>
              </w:rPr>
            </w:pPr>
          </w:p>
        </w:tc>
        <w:tc>
          <w:tcPr>
            <w:tcW w:w="0" w:type="auto"/>
            <w:shd w:val="clear" w:color="auto" w:fill="auto"/>
          </w:tcPr>
          <w:p w14:paraId="1D0267A7" w14:textId="77777777" w:rsidR="004421F6" w:rsidRDefault="004421F6">
            <w:pPr>
              <w:rPr>
                <w:rFonts w:ascii="宋体"/>
              </w:rPr>
            </w:pPr>
          </w:p>
        </w:tc>
        <w:tc>
          <w:tcPr>
            <w:tcW w:w="0" w:type="auto"/>
            <w:shd w:val="clear" w:color="auto" w:fill="auto"/>
          </w:tcPr>
          <w:p w14:paraId="1D0267A8" w14:textId="77777777" w:rsidR="004421F6" w:rsidRDefault="004421F6">
            <w:pPr>
              <w:rPr>
                <w:rFonts w:ascii="宋体"/>
              </w:rPr>
            </w:pPr>
          </w:p>
        </w:tc>
        <w:tc>
          <w:tcPr>
            <w:tcW w:w="0" w:type="auto"/>
            <w:shd w:val="clear" w:color="auto" w:fill="auto"/>
          </w:tcPr>
          <w:p w14:paraId="1D0267A9" w14:textId="77777777" w:rsidR="004421F6" w:rsidRDefault="004421F6">
            <w:pPr>
              <w:rPr>
                <w:rFonts w:ascii="宋体"/>
              </w:rPr>
            </w:pPr>
          </w:p>
        </w:tc>
        <w:tc>
          <w:tcPr>
            <w:tcW w:w="0" w:type="auto"/>
            <w:shd w:val="clear" w:color="auto" w:fill="auto"/>
          </w:tcPr>
          <w:p w14:paraId="1D0267AA" w14:textId="77777777" w:rsidR="004421F6" w:rsidRDefault="004421F6">
            <w:pPr>
              <w:rPr>
                <w:rFonts w:ascii="宋体"/>
              </w:rPr>
            </w:pPr>
          </w:p>
        </w:tc>
        <w:tc>
          <w:tcPr>
            <w:tcW w:w="0" w:type="auto"/>
            <w:shd w:val="clear" w:color="auto" w:fill="auto"/>
          </w:tcPr>
          <w:p w14:paraId="1D0267AB" w14:textId="77777777" w:rsidR="004421F6" w:rsidRDefault="004421F6">
            <w:pPr>
              <w:rPr>
                <w:rFonts w:ascii="宋体"/>
              </w:rPr>
            </w:pPr>
          </w:p>
        </w:tc>
      </w:tr>
      <w:tr w:rsidR="004421F6" w14:paraId="1D0267BA"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7AD" w14:textId="77777777" w:rsidR="004421F6" w:rsidRDefault="00F15622">
            <w:pPr>
              <w:textAlignment w:val="bottom"/>
            </w:pPr>
            <w:r>
              <w:rPr>
                <w:rFonts w:ascii="Arial" w:eastAsia="宋体" w:hAnsi="Arial" w:cs="Arial"/>
                <w:color w:val="000000"/>
                <w:sz w:val="17"/>
                <w:szCs w:val="17"/>
              </w:rPr>
              <w:t>Other (income) expense, net</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1D0267AE" w14:textId="77777777" w:rsidR="004421F6" w:rsidRDefault="00F15622">
            <w:pPr>
              <w:jc w:val="right"/>
              <w:textAlignment w:val="center"/>
            </w:pPr>
            <w:r>
              <w:rPr>
                <w:rFonts w:ascii="Arial" w:eastAsia="宋体" w:hAnsi="Arial" w:cs="Arial"/>
                <w:color w:val="000000"/>
                <w:sz w:val="17"/>
                <w:szCs w:val="17"/>
              </w:rPr>
              <w:t>(14)</w:t>
            </w:r>
          </w:p>
        </w:tc>
        <w:tc>
          <w:tcPr>
            <w:tcW w:w="0" w:type="auto"/>
            <w:tcBorders>
              <w:top w:val="single" w:sz="8" w:space="0" w:color="808080"/>
            </w:tcBorders>
            <w:shd w:val="clear" w:color="auto" w:fill="FFF1E7"/>
            <w:tcMar>
              <w:top w:w="40" w:type="dxa"/>
              <w:bottom w:w="40" w:type="dxa"/>
              <w:right w:w="20" w:type="dxa"/>
            </w:tcMar>
            <w:vAlign w:val="center"/>
          </w:tcPr>
          <w:p w14:paraId="1D0267AF"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1D0267B0" w14:textId="77777777" w:rsidR="004421F6" w:rsidRDefault="00F15622">
            <w:pPr>
              <w:jc w:val="right"/>
              <w:textAlignment w:val="center"/>
            </w:pPr>
            <w:r>
              <w:rPr>
                <w:rFonts w:ascii="Arial" w:eastAsia="宋体" w:hAnsi="Arial" w:cs="Arial"/>
                <w:color w:val="000000"/>
                <w:sz w:val="17"/>
                <w:szCs w:val="17"/>
              </w:rPr>
              <w:t>(33)</w:t>
            </w:r>
          </w:p>
        </w:tc>
        <w:tc>
          <w:tcPr>
            <w:tcW w:w="0" w:type="auto"/>
            <w:tcBorders>
              <w:top w:val="single" w:sz="8" w:space="0" w:color="808080"/>
            </w:tcBorders>
            <w:shd w:val="clear" w:color="auto" w:fill="auto"/>
            <w:tcMar>
              <w:top w:w="40" w:type="dxa"/>
              <w:bottom w:w="40" w:type="dxa"/>
              <w:right w:w="20" w:type="dxa"/>
            </w:tcMar>
            <w:vAlign w:val="center"/>
          </w:tcPr>
          <w:p w14:paraId="1D0267B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1D0267B2" w14:textId="77777777" w:rsidR="004421F6" w:rsidRDefault="00F15622">
            <w:pPr>
              <w:jc w:val="right"/>
              <w:textAlignment w:val="center"/>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center"/>
          </w:tcPr>
          <w:p w14:paraId="1D0267B3" w14:textId="77777777" w:rsidR="004421F6" w:rsidRDefault="004421F6">
            <w:pPr>
              <w:jc w:val="right"/>
              <w:rPr>
                <w:rFonts w:ascii="宋体"/>
              </w:rPr>
            </w:pPr>
          </w:p>
        </w:tc>
        <w:tc>
          <w:tcPr>
            <w:tcW w:w="0" w:type="auto"/>
            <w:shd w:val="clear" w:color="auto" w:fill="auto"/>
          </w:tcPr>
          <w:p w14:paraId="1D0267B4" w14:textId="77777777" w:rsidR="004421F6" w:rsidRDefault="004421F6">
            <w:pPr>
              <w:rPr>
                <w:rFonts w:ascii="宋体"/>
              </w:rPr>
            </w:pPr>
          </w:p>
        </w:tc>
        <w:tc>
          <w:tcPr>
            <w:tcW w:w="0" w:type="auto"/>
            <w:shd w:val="clear" w:color="auto" w:fill="auto"/>
          </w:tcPr>
          <w:p w14:paraId="1D0267B5" w14:textId="77777777" w:rsidR="004421F6" w:rsidRDefault="004421F6">
            <w:pPr>
              <w:rPr>
                <w:rFonts w:ascii="宋体"/>
              </w:rPr>
            </w:pPr>
          </w:p>
        </w:tc>
        <w:tc>
          <w:tcPr>
            <w:tcW w:w="0" w:type="auto"/>
            <w:shd w:val="clear" w:color="auto" w:fill="auto"/>
          </w:tcPr>
          <w:p w14:paraId="1D0267B6" w14:textId="77777777" w:rsidR="004421F6" w:rsidRDefault="004421F6">
            <w:pPr>
              <w:rPr>
                <w:rFonts w:ascii="宋体"/>
              </w:rPr>
            </w:pPr>
          </w:p>
        </w:tc>
        <w:tc>
          <w:tcPr>
            <w:tcW w:w="0" w:type="auto"/>
            <w:shd w:val="clear" w:color="auto" w:fill="auto"/>
          </w:tcPr>
          <w:p w14:paraId="1D0267B7" w14:textId="77777777" w:rsidR="004421F6" w:rsidRDefault="004421F6">
            <w:pPr>
              <w:rPr>
                <w:rFonts w:ascii="宋体"/>
              </w:rPr>
            </w:pPr>
          </w:p>
        </w:tc>
        <w:tc>
          <w:tcPr>
            <w:tcW w:w="0" w:type="auto"/>
            <w:shd w:val="clear" w:color="auto" w:fill="auto"/>
          </w:tcPr>
          <w:p w14:paraId="1D0267B8" w14:textId="77777777" w:rsidR="004421F6" w:rsidRDefault="004421F6">
            <w:pPr>
              <w:rPr>
                <w:rFonts w:ascii="宋体"/>
              </w:rPr>
            </w:pPr>
          </w:p>
        </w:tc>
        <w:tc>
          <w:tcPr>
            <w:tcW w:w="0" w:type="auto"/>
            <w:shd w:val="clear" w:color="auto" w:fill="auto"/>
          </w:tcPr>
          <w:p w14:paraId="1D0267B9" w14:textId="77777777" w:rsidR="004421F6" w:rsidRDefault="004421F6">
            <w:pPr>
              <w:rPr>
                <w:rFonts w:ascii="宋体"/>
              </w:rPr>
            </w:pPr>
          </w:p>
        </w:tc>
      </w:tr>
      <w:tr w:rsidR="004421F6" w14:paraId="1D0267C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7BB" w14:textId="77777777" w:rsidR="004421F6" w:rsidRDefault="00F15622">
            <w:pPr>
              <w:textAlignment w:val="bottom"/>
            </w:pPr>
            <w:r>
              <w:rPr>
                <w:rFonts w:ascii="Arial" w:eastAsia="宋体" w:hAnsi="Arial" w:cs="Arial"/>
                <w:color w:val="000000"/>
                <w:sz w:val="17"/>
                <w:szCs w:val="17"/>
              </w:rPr>
              <w:t>Income before income taxes</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1D0267BC" w14:textId="77777777" w:rsidR="004421F6" w:rsidRDefault="00F15622">
            <w:pPr>
              <w:jc w:val="right"/>
              <w:textAlignment w:val="center"/>
            </w:pPr>
            <w:r>
              <w:rPr>
                <w:rFonts w:ascii="Arial" w:eastAsia="宋体" w:hAnsi="Arial" w:cs="Arial"/>
                <w:color w:val="000000"/>
                <w:sz w:val="17"/>
                <w:szCs w:val="17"/>
              </w:rPr>
              <w:t>1,715 </w:t>
            </w:r>
          </w:p>
        </w:tc>
        <w:tc>
          <w:tcPr>
            <w:tcW w:w="0" w:type="auto"/>
            <w:tcBorders>
              <w:top w:val="single" w:sz="8" w:space="0" w:color="E87722"/>
            </w:tcBorders>
            <w:shd w:val="clear" w:color="auto" w:fill="FFF1E7"/>
            <w:tcMar>
              <w:top w:w="40" w:type="dxa"/>
              <w:bottom w:w="40" w:type="dxa"/>
              <w:right w:w="20" w:type="dxa"/>
            </w:tcMar>
            <w:vAlign w:val="center"/>
          </w:tcPr>
          <w:p w14:paraId="1D0267BD"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1D0267BE" w14:textId="77777777" w:rsidR="004421F6" w:rsidRDefault="00F15622">
            <w:pPr>
              <w:jc w:val="right"/>
              <w:textAlignment w:val="center"/>
            </w:pPr>
            <w:r>
              <w:rPr>
                <w:rFonts w:ascii="Arial" w:eastAsia="宋体" w:hAnsi="Arial" w:cs="Arial"/>
                <w:color w:val="000000"/>
                <w:sz w:val="17"/>
                <w:szCs w:val="17"/>
              </w:rPr>
              <w:t>1,561 </w:t>
            </w:r>
          </w:p>
        </w:tc>
        <w:tc>
          <w:tcPr>
            <w:tcW w:w="0" w:type="auto"/>
            <w:tcBorders>
              <w:top w:val="single" w:sz="8" w:space="0" w:color="E87722"/>
            </w:tcBorders>
            <w:shd w:val="clear" w:color="auto" w:fill="auto"/>
            <w:tcMar>
              <w:top w:w="40" w:type="dxa"/>
              <w:bottom w:w="40" w:type="dxa"/>
              <w:right w:w="20" w:type="dxa"/>
            </w:tcMar>
            <w:vAlign w:val="center"/>
          </w:tcPr>
          <w:p w14:paraId="1D0267BF"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1D0267C0" w14:textId="77777777" w:rsidR="004421F6" w:rsidRDefault="00F15622">
            <w:pPr>
              <w:jc w:val="right"/>
              <w:textAlignment w:val="center"/>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bottom w:w="40" w:type="dxa"/>
              <w:right w:w="20" w:type="dxa"/>
            </w:tcMar>
            <w:vAlign w:val="center"/>
          </w:tcPr>
          <w:p w14:paraId="1D0267C1" w14:textId="77777777" w:rsidR="004421F6" w:rsidRDefault="00F15622">
            <w:pPr>
              <w:jc w:val="right"/>
              <w:textAlignment w:val="center"/>
            </w:pPr>
            <w:r>
              <w:rPr>
                <w:rFonts w:ascii="Arial" w:eastAsia="宋体" w:hAnsi="Arial" w:cs="Arial"/>
                <w:color w:val="000000"/>
                <w:sz w:val="17"/>
                <w:szCs w:val="17"/>
              </w:rPr>
              <w:t>%</w:t>
            </w:r>
          </w:p>
        </w:tc>
        <w:tc>
          <w:tcPr>
            <w:tcW w:w="0" w:type="auto"/>
            <w:shd w:val="clear" w:color="auto" w:fill="auto"/>
          </w:tcPr>
          <w:p w14:paraId="1D0267C2" w14:textId="77777777" w:rsidR="004421F6" w:rsidRDefault="004421F6">
            <w:pPr>
              <w:rPr>
                <w:rFonts w:ascii="宋体"/>
              </w:rPr>
            </w:pPr>
          </w:p>
        </w:tc>
        <w:tc>
          <w:tcPr>
            <w:tcW w:w="0" w:type="auto"/>
            <w:shd w:val="clear" w:color="auto" w:fill="auto"/>
          </w:tcPr>
          <w:p w14:paraId="1D0267C3" w14:textId="77777777" w:rsidR="004421F6" w:rsidRDefault="004421F6">
            <w:pPr>
              <w:rPr>
                <w:rFonts w:ascii="宋体"/>
              </w:rPr>
            </w:pPr>
          </w:p>
        </w:tc>
        <w:tc>
          <w:tcPr>
            <w:tcW w:w="0" w:type="auto"/>
            <w:shd w:val="clear" w:color="auto" w:fill="auto"/>
          </w:tcPr>
          <w:p w14:paraId="1D0267C4" w14:textId="77777777" w:rsidR="004421F6" w:rsidRDefault="004421F6">
            <w:pPr>
              <w:rPr>
                <w:rFonts w:ascii="宋体"/>
              </w:rPr>
            </w:pPr>
          </w:p>
        </w:tc>
        <w:tc>
          <w:tcPr>
            <w:tcW w:w="0" w:type="auto"/>
            <w:shd w:val="clear" w:color="auto" w:fill="auto"/>
          </w:tcPr>
          <w:p w14:paraId="1D0267C5" w14:textId="77777777" w:rsidR="004421F6" w:rsidRDefault="004421F6">
            <w:pPr>
              <w:rPr>
                <w:rFonts w:ascii="宋体"/>
              </w:rPr>
            </w:pPr>
          </w:p>
        </w:tc>
        <w:tc>
          <w:tcPr>
            <w:tcW w:w="0" w:type="auto"/>
            <w:shd w:val="clear" w:color="auto" w:fill="auto"/>
          </w:tcPr>
          <w:p w14:paraId="1D0267C6" w14:textId="77777777" w:rsidR="004421F6" w:rsidRDefault="004421F6">
            <w:pPr>
              <w:rPr>
                <w:rFonts w:ascii="宋体"/>
              </w:rPr>
            </w:pPr>
          </w:p>
        </w:tc>
        <w:tc>
          <w:tcPr>
            <w:tcW w:w="0" w:type="auto"/>
            <w:shd w:val="clear" w:color="auto" w:fill="auto"/>
          </w:tcPr>
          <w:p w14:paraId="1D0267C7" w14:textId="77777777" w:rsidR="004421F6" w:rsidRDefault="004421F6">
            <w:pPr>
              <w:rPr>
                <w:rFonts w:ascii="宋体"/>
              </w:rPr>
            </w:pPr>
          </w:p>
        </w:tc>
      </w:tr>
      <w:tr w:rsidR="004421F6" w14:paraId="1D0267D6"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7C9" w14:textId="77777777" w:rsidR="004421F6" w:rsidRDefault="00F15622">
            <w:pPr>
              <w:textAlignment w:val="bottom"/>
            </w:pPr>
            <w:r>
              <w:rPr>
                <w:rFonts w:ascii="Arial" w:eastAsia="宋体" w:hAnsi="Arial" w:cs="Arial"/>
                <w:color w:val="000000"/>
                <w:sz w:val="17"/>
                <w:szCs w:val="17"/>
              </w:rPr>
              <w:t>Income tax expense</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1D0267CA" w14:textId="77777777" w:rsidR="004421F6" w:rsidRDefault="00F15622">
            <w:pPr>
              <w:jc w:val="right"/>
              <w:textAlignment w:val="center"/>
            </w:pPr>
            <w:r>
              <w:rPr>
                <w:rFonts w:ascii="Arial" w:eastAsia="宋体" w:hAnsi="Arial" w:cs="Arial"/>
                <w:color w:val="000000"/>
                <w:sz w:val="17"/>
                <w:szCs w:val="17"/>
              </w:rPr>
              <w:t>197 </w:t>
            </w:r>
          </w:p>
        </w:tc>
        <w:tc>
          <w:tcPr>
            <w:tcW w:w="0" w:type="auto"/>
            <w:tcBorders>
              <w:top w:val="single" w:sz="8" w:space="0" w:color="808080"/>
            </w:tcBorders>
            <w:shd w:val="clear" w:color="auto" w:fill="FFF1E7"/>
            <w:tcMar>
              <w:top w:w="40" w:type="dxa"/>
              <w:bottom w:w="40" w:type="dxa"/>
              <w:right w:w="20" w:type="dxa"/>
            </w:tcMar>
            <w:vAlign w:val="center"/>
          </w:tcPr>
          <w:p w14:paraId="1D0267CB"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1D0267CC" w14:textId="77777777" w:rsidR="004421F6" w:rsidRDefault="00F15622">
            <w:pPr>
              <w:jc w:val="right"/>
              <w:textAlignment w:val="center"/>
            </w:pPr>
            <w:r>
              <w:rPr>
                <w:rFonts w:ascii="Arial" w:eastAsia="宋体" w:hAnsi="Arial" w:cs="Arial"/>
                <w:color w:val="000000"/>
                <w:sz w:val="17"/>
                <w:szCs w:val="17"/>
              </w:rPr>
              <w:t>194 </w:t>
            </w:r>
          </w:p>
        </w:tc>
        <w:tc>
          <w:tcPr>
            <w:tcW w:w="0" w:type="auto"/>
            <w:tcBorders>
              <w:top w:val="single" w:sz="8" w:space="0" w:color="808080"/>
            </w:tcBorders>
            <w:shd w:val="clear" w:color="auto" w:fill="auto"/>
            <w:tcMar>
              <w:top w:w="40" w:type="dxa"/>
              <w:bottom w:w="40" w:type="dxa"/>
              <w:right w:w="20" w:type="dxa"/>
            </w:tcMar>
            <w:vAlign w:val="center"/>
          </w:tcPr>
          <w:p w14:paraId="1D0267CD"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1D0267CE" w14:textId="77777777" w:rsidR="004421F6" w:rsidRDefault="00F15622">
            <w:pPr>
              <w:jc w:val="right"/>
              <w:textAlignment w:val="center"/>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bottom w:w="40" w:type="dxa"/>
              <w:right w:w="20" w:type="dxa"/>
            </w:tcMar>
            <w:vAlign w:val="center"/>
          </w:tcPr>
          <w:p w14:paraId="1D0267CF" w14:textId="77777777" w:rsidR="004421F6" w:rsidRDefault="00F15622">
            <w:pPr>
              <w:jc w:val="right"/>
              <w:textAlignment w:val="center"/>
            </w:pPr>
            <w:r>
              <w:rPr>
                <w:rFonts w:ascii="Arial" w:eastAsia="宋体" w:hAnsi="Arial" w:cs="Arial"/>
                <w:color w:val="000000"/>
                <w:sz w:val="17"/>
                <w:szCs w:val="17"/>
              </w:rPr>
              <w:t>%</w:t>
            </w:r>
          </w:p>
        </w:tc>
        <w:tc>
          <w:tcPr>
            <w:tcW w:w="0" w:type="auto"/>
            <w:shd w:val="clear" w:color="auto" w:fill="auto"/>
          </w:tcPr>
          <w:p w14:paraId="1D0267D0" w14:textId="77777777" w:rsidR="004421F6" w:rsidRDefault="004421F6">
            <w:pPr>
              <w:rPr>
                <w:rFonts w:ascii="宋体"/>
              </w:rPr>
            </w:pPr>
          </w:p>
        </w:tc>
        <w:tc>
          <w:tcPr>
            <w:tcW w:w="0" w:type="auto"/>
            <w:shd w:val="clear" w:color="auto" w:fill="auto"/>
          </w:tcPr>
          <w:p w14:paraId="1D0267D1" w14:textId="77777777" w:rsidR="004421F6" w:rsidRDefault="004421F6">
            <w:pPr>
              <w:rPr>
                <w:rFonts w:ascii="宋体"/>
              </w:rPr>
            </w:pPr>
          </w:p>
        </w:tc>
        <w:tc>
          <w:tcPr>
            <w:tcW w:w="0" w:type="auto"/>
            <w:shd w:val="clear" w:color="auto" w:fill="auto"/>
          </w:tcPr>
          <w:p w14:paraId="1D0267D2" w14:textId="77777777" w:rsidR="004421F6" w:rsidRDefault="004421F6">
            <w:pPr>
              <w:rPr>
                <w:rFonts w:ascii="宋体"/>
              </w:rPr>
            </w:pPr>
          </w:p>
        </w:tc>
        <w:tc>
          <w:tcPr>
            <w:tcW w:w="0" w:type="auto"/>
            <w:shd w:val="clear" w:color="auto" w:fill="auto"/>
          </w:tcPr>
          <w:p w14:paraId="1D0267D3" w14:textId="77777777" w:rsidR="004421F6" w:rsidRDefault="004421F6">
            <w:pPr>
              <w:rPr>
                <w:rFonts w:ascii="宋体"/>
              </w:rPr>
            </w:pPr>
          </w:p>
        </w:tc>
        <w:tc>
          <w:tcPr>
            <w:tcW w:w="0" w:type="auto"/>
            <w:shd w:val="clear" w:color="auto" w:fill="auto"/>
          </w:tcPr>
          <w:p w14:paraId="1D0267D4" w14:textId="77777777" w:rsidR="004421F6" w:rsidRDefault="004421F6">
            <w:pPr>
              <w:rPr>
                <w:rFonts w:ascii="宋体"/>
              </w:rPr>
            </w:pPr>
          </w:p>
        </w:tc>
        <w:tc>
          <w:tcPr>
            <w:tcW w:w="0" w:type="auto"/>
            <w:shd w:val="clear" w:color="auto" w:fill="auto"/>
          </w:tcPr>
          <w:p w14:paraId="1D0267D5" w14:textId="77777777" w:rsidR="004421F6" w:rsidRDefault="004421F6">
            <w:pPr>
              <w:rPr>
                <w:rFonts w:ascii="宋体"/>
              </w:rPr>
            </w:pPr>
          </w:p>
        </w:tc>
      </w:tr>
      <w:tr w:rsidR="004421F6" w14:paraId="1D0267E3"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7D7" w14:textId="77777777" w:rsidR="004421F6" w:rsidRDefault="00F15622">
            <w:pPr>
              <w:textAlignment w:val="bottom"/>
            </w:pPr>
            <w:r>
              <w:rPr>
                <w:rFonts w:ascii="Arial" w:eastAsia="宋体" w:hAnsi="Arial" w:cs="Arial"/>
                <w:i/>
                <w:iCs/>
                <w:color w:val="000000"/>
                <w:sz w:val="17"/>
                <w:szCs w:val="17"/>
              </w:rPr>
              <w:t xml:space="preserve">Effective tax </w:t>
            </w:r>
            <w:r>
              <w:rPr>
                <w:rFonts w:ascii="Arial" w:eastAsia="宋体" w:hAnsi="Arial" w:cs="Arial"/>
                <w:i/>
                <w:iCs/>
                <w:color w:val="000000"/>
                <w:sz w:val="17"/>
                <w:szCs w:val="17"/>
              </w:rPr>
              <w:t>rate</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1D0267D8" w14:textId="77777777" w:rsidR="004421F6" w:rsidRDefault="00F15622">
            <w:pPr>
              <w:jc w:val="right"/>
              <w:textAlignment w:val="center"/>
            </w:pPr>
            <w:r>
              <w:rPr>
                <w:rFonts w:ascii="Arial" w:eastAsia="宋体" w:hAnsi="Arial" w:cs="Arial"/>
                <w:i/>
                <w:iCs/>
                <w:color w:val="000000"/>
                <w:sz w:val="17"/>
                <w:szCs w:val="17"/>
              </w:rPr>
              <w:t>11.5 </w:t>
            </w:r>
          </w:p>
        </w:tc>
        <w:tc>
          <w:tcPr>
            <w:tcW w:w="0" w:type="auto"/>
            <w:tcBorders>
              <w:top w:val="single" w:sz="8" w:space="0" w:color="808080"/>
            </w:tcBorders>
            <w:shd w:val="clear" w:color="auto" w:fill="FFF1E7"/>
            <w:tcMar>
              <w:top w:w="40" w:type="dxa"/>
              <w:bottom w:w="40" w:type="dxa"/>
              <w:right w:w="20" w:type="dxa"/>
            </w:tcMar>
            <w:vAlign w:val="center"/>
          </w:tcPr>
          <w:p w14:paraId="1D0267D9" w14:textId="77777777" w:rsidR="004421F6" w:rsidRDefault="00F15622">
            <w:pPr>
              <w:jc w:val="right"/>
              <w:textAlignment w:val="center"/>
            </w:pPr>
            <w:r>
              <w:rPr>
                <w:rFonts w:ascii="Arial" w:eastAsia="宋体" w:hAnsi="Arial" w:cs="Arial"/>
                <w:i/>
                <w:iCs/>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1D0267DA" w14:textId="77777777" w:rsidR="004421F6" w:rsidRDefault="00F15622">
            <w:pPr>
              <w:jc w:val="right"/>
              <w:textAlignment w:val="center"/>
            </w:pPr>
            <w:r>
              <w:rPr>
                <w:rFonts w:ascii="Arial" w:eastAsia="宋体" w:hAnsi="Arial" w:cs="Arial"/>
                <w:i/>
                <w:iCs/>
                <w:color w:val="000000"/>
                <w:sz w:val="17"/>
                <w:szCs w:val="17"/>
              </w:rPr>
              <w:t>12.4 </w:t>
            </w:r>
          </w:p>
        </w:tc>
        <w:tc>
          <w:tcPr>
            <w:tcW w:w="0" w:type="auto"/>
            <w:tcBorders>
              <w:top w:val="single" w:sz="8" w:space="0" w:color="808080"/>
            </w:tcBorders>
            <w:shd w:val="clear" w:color="auto" w:fill="auto"/>
            <w:tcMar>
              <w:top w:w="40" w:type="dxa"/>
              <w:bottom w:w="40" w:type="dxa"/>
              <w:right w:w="20" w:type="dxa"/>
            </w:tcMar>
            <w:vAlign w:val="center"/>
          </w:tcPr>
          <w:p w14:paraId="1D0267DB" w14:textId="77777777" w:rsidR="004421F6" w:rsidRDefault="00F15622">
            <w:pPr>
              <w:jc w:val="right"/>
              <w:textAlignment w:val="center"/>
            </w:pPr>
            <w:r>
              <w:rPr>
                <w:rFonts w:ascii="Arial" w:eastAsia="宋体" w:hAnsi="Arial" w:cs="Arial"/>
                <w:i/>
                <w:iCs/>
                <w:color w:val="000000"/>
                <w:sz w:val="17"/>
                <w:szCs w:val="17"/>
              </w:rPr>
              <w:t>%</w:t>
            </w:r>
          </w:p>
        </w:tc>
        <w:tc>
          <w:tcPr>
            <w:tcW w:w="0" w:type="auto"/>
            <w:gridSpan w:val="3"/>
            <w:tcBorders>
              <w:top w:val="single" w:sz="8" w:space="0" w:color="808080"/>
            </w:tcBorders>
            <w:shd w:val="clear" w:color="auto" w:fill="auto"/>
            <w:tcMar>
              <w:left w:w="20" w:type="dxa"/>
              <w:right w:w="20" w:type="dxa"/>
            </w:tcMar>
            <w:vAlign w:val="bottom"/>
          </w:tcPr>
          <w:p w14:paraId="1D0267DC" w14:textId="77777777" w:rsidR="004421F6" w:rsidRDefault="004421F6">
            <w:pPr>
              <w:rPr>
                <w:rFonts w:ascii="宋体"/>
              </w:rPr>
            </w:pPr>
          </w:p>
        </w:tc>
        <w:tc>
          <w:tcPr>
            <w:tcW w:w="0" w:type="auto"/>
            <w:shd w:val="clear" w:color="auto" w:fill="auto"/>
          </w:tcPr>
          <w:p w14:paraId="1D0267DD" w14:textId="77777777" w:rsidR="004421F6" w:rsidRDefault="004421F6">
            <w:pPr>
              <w:rPr>
                <w:rFonts w:ascii="宋体"/>
              </w:rPr>
            </w:pPr>
          </w:p>
        </w:tc>
        <w:tc>
          <w:tcPr>
            <w:tcW w:w="0" w:type="auto"/>
            <w:shd w:val="clear" w:color="auto" w:fill="auto"/>
          </w:tcPr>
          <w:p w14:paraId="1D0267DE" w14:textId="77777777" w:rsidR="004421F6" w:rsidRDefault="004421F6">
            <w:pPr>
              <w:rPr>
                <w:rFonts w:ascii="宋体"/>
              </w:rPr>
            </w:pPr>
          </w:p>
        </w:tc>
        <w:tc>
          <w:tcPr>
            <w:tcW w:w="0" w:type="auto"/>
            <w:shd w:val="clear" w:color="auto" w:fill="auto"/>
          </w:tcPr>
          <w:p w14:paraId="1D0267DF" w14:textId="77777777" w:rsidR="004421F6" w:rsidRDefault="004421F6">
            <w:pPr>
              <w:rPr>
                <w:rFonts w:ascii="宋体"/>
              </w:rPr>
            </w:pPr>
          </w:p>
        </w:tc>
        <w:tc>
          <w:tcPr>
            <w:tcW w:w="0" w:type="auto"/>
            <w:shd w:val="clear" w:color="auto" w:fill="auto"/>
          </w:tcPr>
          <w:p w14:paraId="1D0267E0" w14:textId="77777777" w:rsidR="004421F6" w:rsidRDefault="004421F6">
            <w:pPr>
              <w:rPr>
                <w:rFonts w:ascii="宋体"/>
              </w:rPr>
            </w:pPr>
          </w:p>
        </w:tc>
        <w:tc>
          <w:tcPr>
            <w:tcW w:w="0" w:type="auto"/>
            <w:shd w:val="clear" w:color="auto" w:fill="auto"/>
          </w:tcPr>
          <w:p w14:paraId="1D0267E1" w14:textId="77777777" w:rsidR="004421F6" w:rsidRDefault="004421F6">
            <w:pPr>
              <w:rPr>
                <w:rFonts w:ascii="宋体"/>
              </w:rPr>
            </w:pPr>
          </w:p>
        </w:tc>
        <w:tc>
          <w:tcPr>
            <w:tcW w:w="0" w:type="auto"/>
            <w:shd w:val="clear" w:color="auto" w:fill="auto"/>
          </w:tcPr>
          <w:p w14:paraId="1D0267E2" w14:textId="77777777" w:rsidR="004421F6" w:rsidRDefault="004421F6">
            <w:pPr>
              <w:rPr>
                <w:rFonts w:ascii="宋体"/>
              </w:rPr>
            </w:pPr>
          </w:p>
        </w:tc>
      </w:tr>
      <w:tr w:rsidR="004421F6" w14:paraId="1D0267F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7E4" w14:textId="77777777" w:rsidR="004421F6" w:rsidRDefault="00F15622">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tcMar>
            <w:vAlign w:val="center"/>
          </w:tcPr>
          <w:p w14:paraId="1D0267E5" w14:textId="77777777" w:rsidR="004421F6" w:rsidRDefault="00F15622">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center"/>
          </w:tcPr>
          <w:p w14:paraId="1D0267E6" w14:textId="77777777" w:rsidR="004421F6" w:rsidRDefault="00F15622">
            <w:pPr>
              <w:jc w:val="right"/>
              <w:textAlignment w:val="center"/>
            </w:pPr>
            <w:r>
              <w:rPr>
                <w:rFonts w:ascii="Arial" w:eastAsia="宋体" w:hAnsi="Arial" w:cs="Arial"/>
                <w:b/>
                <w:bCs/>
                <w:color w:val="000000"/>
                <w:sz w:val="17"/>
                <w:szCs w:val="17"/>
              </w:rPr>
              <w:t>1,518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center"/>
          </w:tcPr>
          <w:p w14:paraId="1D0267E7"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center"/>
          </w:tcPr>
          <w:p w14:paraId="1D0267E8" w14:textId="77777777" w:rsidR="004421F6" w:rsidRDefault="00F15622">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center"/>
          </w:tcPr>
          <w:p w14:paraId="1D0267E9" w14:textId="77777777" w:rsidR="004421F6" w:rsidRDefault="00F15622">
            <w:pPr>
              <w:jc w:val="right"/>
              <w:textAlignment w:val="center"/>
            </w:pPr>
            <w:r>
              <w:rPr>
                <w:rFonts w:ascii="Arial" w:eastAsia="宋体" w:hAnsi="Arial" w:cs="Arial"/>
                <w:b/>
                <w:bCs/>
                <w:color w:val="000000"/>
                <w:sz w:val="17"/>
                <w:szCs w:val="17"/>
              </w:rPr>
              <w:t>1,367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center"/>
          </w:tcPr>
          <w:p w14:paraId="1D0267EA"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1D0267EB" w14:textId="77777777" w:rsidR="004421F6" w:rsidRDefault="00F15622">
            <w:pPr>
              <w:jc w:val="right"/>
              <w:textAlignment w:val="center"/>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center"/>
          </w:tcPr>
          <w:p w14:paraId="1D0267EC" w14:textId="77777777" w:rsidR="004421F6" w:rsidRDefault="00F15622">
            <w:pPr>
              <w:jc w:val="right"/>
              <w:textAlignment w:val="center"/>
            </w:pPr>
            <w:r>
              <w:rPr>
                <w:rFonts w:ascii="Arial" w:eastAsia="宋体" w:hAnsi="Arial" w:cs="Arial"/>
                <w:b/>
                <w:bCs/>
                <w:color w:val="000000"/>
                <w:sz w:val="17"/>
                <w:szCs w:val="17"/>
              </w:rPr>
              <w:t>%</w:t>
            </w:r>
          </w:p>
        </w:tc>
        <w:tc>
          <w:tcPr>
            <w:tcW w:w="0" w:type="auto"/>
            <w:shd w:val="clear" w:color="auto" w:fill="auto"/>
          </w:tcPr>
          <w:p w14:paraId="1D0267ED" w14:textId="77777777" w:rsidR="004421F6" w:rsidRDefault="004421F6">
            <w:pPr>
              <w:rPr>
                <w:rFonts w:ascii="宋体"/>
              </w:rPr>
            </w:pPr>
          </w:p>
        </w:tc>
        <w:tc>
          <w:tcPr>
            <w:tcW w:w="0" w:type="auto"/>
            <w:shd w:val="clear" w:color="auto" w:fill="auto"/>
          </w:tcPr>
          <w:p w14:paraId="1D0267EE" w14:textId="77777777" w:rsidR="004421F6" w:rsidRDefault="004421F6">
            <w:pPr>
              <w:rPr>
                <w:rFonts w:ascii="宋体"/>
              </w:rPr>
            </w:pPr>
          </w:p>
        </w:tc>
        <w:tc>
          <w:tcPr>
            <w:tcW w:w="0" w:type="auto"/>
            <w:shd w:val="clear" w:color="auto" w:fill="auto"/>
          </w:tcPr>
          <w:p w14:paraId="1D0267EF" w14:textId="77777777" w:rsidR="004421F6" w:rsidRDefault="004421F6">
            <w:pPr>
              <w:rPr>
                <w:rFonts w:ascii="宋体"/>
              </w:rPr>
            </w:pPr>
          </w:p>
        </w:tc>
        <w:tc>
          <w:tcPr>
            <w:tcW w:w="0" w:type="auto"/>
            <w:shd w:val="clear" w:color="auto" w:fill="auto"/>
          </w:tcPr>
          <w:p w14:paraId="1D0267F0" w14:textId="77777777" w:rsidR="004421F6" w:rsidRDefault="004421F6">
            <w:pPr>
              <w:rPr>
                <w:rFonts w:ascii="宋体"/>
              </w:rPr>
            </w:pPr>
          </w:p>
        </w:tc>
        <w:tc>
          <w:tcPr>
            <w:tcW w:w="0" w:type="auto"/>
            <w:shd w:val="clear" w:color="auto" w:fill="auto"/>
          </w:tcPr>
          <w:p w14:paraId="1D0267F1" w14:textId="77777777" w:rsidR="004421F6" w:rsidRDefault="004421F6">
            <w:pPr>
              <w:rPr>
                <w:rFonts w:ascii="宋体"/>
              </w:rPr>
            </w:pPr>
          </w:p>
        </w:tc>
        <w:tc>
          <w:tcPr>
            <w:tcW w:w="0" w:type="auto"/>
            <w:shd w:val="clear" w:color="auto" w:fill="auto"/>
          </w:tcPr>
          <w:p w14:paraId="1D0267F2" w14:textId="77777777" w:rsidR="004421F6" w:rsidRDefault="004421F6">
            <w:pPr>
              <w:rPr>
                <w:rFonts w:ascii="宋体"/>
              </w:rPr>
            </w:pPr>
          </w:p>
        </w:tc>
      </w:tr>
      <w:tr w:rsidR="004421F6" w14:paraId="1D02680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67F4" w14:textId="77777777" w:rsidR="004421F6" w:rsidRDefault="00F15622">
            <w:pPr>
              <w:textAlignment w:val="bottom"/>
            </w:pPr>
            <w:r>
              <w:rPr>
                <w:rFonts w:ascii="Arial" w:eastAsia="宋体" w:hAnsi="Arial" w:cs="Arial"/>
                <w:color w:val="000000"/>
                <w:sz w:val="17"/>
                <w:szCs w:val="17"/>
              </w:rPr>
              <w:t>Diluted earnings per common share</w:t>
            </w:r>
          </w:p>
        </w:tc>
        <w:tc>
          <w:tcPr>
            <w:tcW w:w="0" w:type="auto"/>
            <w:tcBorders>
              <w:top w:val="single" w:sz="8" w:space="0" w:color="E87722"/>
              <w:bottom w:val="single" w:sz="8" w:space="0" w:color="E87722"/>
            </w:tcBorders>
            <w:shd w:val="clear" w:color="auto" w:fill="FFF1E7"/>
            <w:tcMar>
              <w:top w:w="40" w:type="dxa"/>
              <w:left w:w="20" w:type="dxa"/>
              <w:bottom w:w="40" w:type="dxa"/>
            </w:tcMar>
            <w:vAlign w:val="center"/>
          </w:tcPr>
          <w:p w14:paraId="1D0267F5" w14:textId="77777777" w:rsidR="004421F6" w:rsidRDefault="00F15622">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center"/>
          </w:tcPr>
          <w:p w14:paraId="1D0267F6" w14:textId="77777777" w:rsidR="004421F6" w:rsidRDefault="00F15622">
            <w:pPr>
              <w:jc w:val="right"/>
              <w:textAlignment w:val="center"/>
            </w:pPr>
            <w:r>
              <w:rPr>
                <w:rFonts w:ascii="Arial" w:eastAsia="宋体" w:hAnsi="Arial" w:cs="Arial"/>
                <w:color w:val="000000"/>
                <w:sz w:val="17"/>
                <w:szCs w:val="17"/>
              </w:rPr>
              <w:t>0.95 </w:t>
            </w:r>
          </w:p>
        </w:tc>
        <w:tc>
          <w:tcPr>
            <w:tcW w:w="0" w:type="auto"/>
            <w:tcBorders>
              <w:top w:val="single" w:sz="8" w:space="0" w:color="E87722"/>
              <w:bottom w:val="single" w:sz="8" w:space="0" w:color="E87722"/>
            </w:tcBorders>
            <w:shd w:val="clear" w:color="auto" w:fill="FFF1E7"/>
            <w:tcMar>
              <w:top w:w="40" w:type="dxa"/>
              <w:bottom w:w="40" w:type="dxa"/>
              <w:right w:w="20" w:type="dxa"/>
            </w:tcMar>
            <w:vAlign w:val="center"/>
          </w:tcPr>
          <w:p w14:paraId="1D0267F7"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center"/>
          </w:tcPr>
          <w:p w14:paraId="1D0267F8" w14:textId="77777777" w:rsidR="004421F6" w:rsidRDefault="00F15622">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center"/>
          </w:tcPr>
          <w:p w14:paraId="1D0267F9" w14:textId="77777777" w:rsidR="004421F6" w:rsidRDefault="00F15622">
            <w:pPr>
              <w:jc w:val="right"/>
              <w:textAlignment w:val="center"/>
            </w:pPr>
            <w:r>
              <w:rPr>
                <w:rFonts w:ascii="Arial" w:eastAsia="宋体" w:hAnsi="Arial" w:cs="Arial"/>
                <w:color w:val="000000"/>
                <w:sz w:val="17"/>
                <w:szCs w:val="17"/>
              </w:rPr>
              <w:t>0.86 </w:t>
            </w:r>
          </w:p>
        </w:tc>
        <w:tc>
          <w:tcPr>
            <w:tcW w:w="0" w:type="auto"/>
            <w:tcBorders>
              <w:top w:val="single" w:sz="8" w:space="0" w:color="E87722"/>
              <w:bottom w:val="single" w:sz="8" w:space="0" w:color="E87722"/>
            </w:tcBorders>
            <w:shd w:val="clear" w:color="auto" w:fill="auto"/>
            <w:tcMar>
              <w:top w:w="40" w:type="dxa"/>
              <w:bottom w:w="40" w:type="dxa"/>
              <w:right w:w="20" w:type="dxa"/>
            </w:tcMar>
            <w:vAlign w:val="center"/>
          </w:tcPr>
          <w:p w14:paraId="1D0267FA" w14:textId="77777777" w:rsidR="004421F6" w:rsidRDefault="004421F6">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center"/>
          </w:tcPr>
          <w:p w14:paraId="1D0267FB" w14:textId="77777777" w:rsidR="004421F6" w:rsidRDefault="00F15622">
            <w:pPr>
              <w:jc w:val="right"/>
              <w:textAlignment w:val="center"/>
            </w:pPr>
            <w:r>
              <w:rPr>
                <w:rFonts w:ascii="Arial" w:eastAsia="宋体" w:hAnsi="Arial" w:cs="Arial"/>
                <w:color w:val="000000"/>
                <w:sz w:val="17"/>
                <w:szCs w:val="17"/>
              </w:rPr>
              <w:t>10 </w:t>
            </w:r>
          </w:p>
        </w:tc>
        <w:tc>
          <w:tcPr>
            <w:tcW w:w="0" w:type="auto"/>
            <w:tcBorders>
              <w:top w:val="single" w:sz="8" w:space="0" w:color="E87722"/>
              <w:bottom w:val="single" w:sz="8" w:space="0" w:color="E87722"/>
            </w:tcBorders>
            <w:shd w:val="clear" w:color="auto" w:fill="auto"/>
            <w:tcMar>
              <w:top w:w="40" w:type="dxa"/>
              <w:bottom w:w="40" w:type="dxa"/>
              <w:right w:w="20" w:type="dxa"/>
            </w:tcMar>
            <w:vAlign w:val="center"/>
          </w:tcPr>
          <w:p w14:paraId="1D0267FC" w14:textId="77777777" w:rsidR="004421F6" w:rsidRDefault="00F15622">
            <w:pPr>
              <w:jc w:val="right"/>
              <w:textAlignment w:val="center"/>
            </w:pPr>
            <w:r>
              <w:rPr>
                <w:rFonts w:ascii="Arial" w:eastAsia="宋体" w:hAnsi="Arial" w:cs="Arial"/>
                <w:color w:val="000000"/>
                <w:sz w:val="17"/>
                <w:szCs w:val="17"/>
              </w:rPr>
              <w:t>%</w:t>
            </w:r>
          </w:p>
        </w:tc>
        <w:tc>
          <w:tcPr>
            <w:tcW w:w="0" w:type="auto"/>
            <w:shd w:val="clear" w:color="auto" w:fill="auto"/>
          </w:tcPr>
          <w:p w14:paraId="1D0267FD" w14:textId="77777777" w:rsidR="004421F6" w:rsidRDefault="004421F6">
            <w:pPr>
              <w:rPr>
                <w:rFonts w:ascii="宋体"/>
              </w:rPr>
            </w:pPr>
          </w:p>
        </w:tc>
        <w:tc>
          <w:tcPr>
            <w:tcW w:w="0" w:type="auto"/>
            <w:shd w:val="clear" w:color="auto" w:fill="auto"/>
          </w:tcPr>
          <w:p w14:paraId="1D0267FE" w14:textId="77777777" w:rsidR="004421F6" w:rsidRDefault="004421F6">
            <w:pPr>
              <w:rPr>
                <w:rFonts w:ascii="宋体"/>
              </w:rPr>
            </w:pPr>
          </w:p>
        </w:tc>
        <w:tc>
          <w:tcPr>
            <w:tcW w:w="0" w:type="auto"/>
            <w:shd w:val="clear" w:color="auto" w:fill="auto"/>
          </w:tcPr>
          <w:p w14:paraId="1D0267FF" w14:textId="77777777" w:rsidR="004421F6" w:rsidRDefault="004421F6">
            <w:pPr>
              <w:rPr>
                <w:rFonts w:ascii="宋体"/>
              </w:rPr>
            </w:pPr>
          </w:p>
        </w:tc>
        <w:tc>
          <w:tcPr>
            <w:tcW w:w="0" w:type="auto"/>
            <w:shd w:val="clear" w:color="auto" w:fill="auto"/>
          </w:tcPr>
          <w:p w14:paraId="1D026800" w14:textId="77777777" w:rsidR="004421F6" w:rsidRDefault="004421F6">
            <w:pPr>
              <w:rPr>
                <w:rFonts w:ascii="宋体"/>
              </w:rPr>
            </w:pPr>
          </w:p>
        </w:tc>
        <w:tc>
          <w:tcPr>
            <w:tcW w:w="0" w:type="auto"/>
            <w:shd w:val="clear" w:color="auto" w:fill="auto"/>
          </w:tcPr>
          <w:p w14:paraId="1D026801" w14:textId="77777777" w:rsidR="004421F6" w:rsidRDefault="004421F6">
            <w:pPr>
              <w:rPr>
                <w:rFonts w:ascii="宋体"/>
              </w:rPr>
            </w:pPr>
          </w:p>
        </w:tc>
        <w:tc>
          <w:tcPr>
            <w:tcW w:w="0" w:type="auto"/>
            <w:shd w:val="clear" w:color="auto" w:fill="auto"/>
          </w:tcPr>
          <w:p w14:paraId="1D026802" w14:textId="77777777" w:rsidR="004421F6" w:rsidRDefault="004421F6">
            <w:pPr>
              <w:rPr>
                <w:rFonts w:ascii="宋体"/>
              </w:rPr>
            </w:pPr>
          </w:p>
        </w:tc>
      </w:tr>
    </w:tbl>
    <w:p w14:paraId="1D026804" w14:textId="77777777" w:rsidR="004421F6" w:rsidRDefault="00F15622">
      <w:pPr>
        <w:spacing w:before="120" w:after="120"/>
        <w:jc w:val="right"/>
      </w:pPr>
      <w:r>
        <w:rPr>
          <w:rFonts w:ascii="Arial" w:eastAsia="宋体" w:hAnsi="Arial" w:cs="Arial"/>
          <w:color w:val="E87722"/>
          <w:sz w:val="17"/>
          <w:szCs w:val="17"/>
        </w:rPr>
        <w:t>23</w:t>
      </w:r>
    </w:p>
    <w:p w14:paraId="1D026805" w14:textId="77777777" w:rsidR="004421F6" w:rsidRDefault="00F15622">
      <w:r>
        <w:pict w14:anchorId="1D027292">
          <v:rect id="_x0000_i1049" style="width:415.3pt;height:1.5pt" o:hralign="center" o:hrstd="t" o:hr="t" fillcolor="#a0a0a0" stroked="f"/>
        </w:pict>
      </w:r>
    </w:p>
    <w:p w14:paraId="1D026806" w14:textId="77777777" w:rsidR="004421F6" w:rsidRDefault="004421F6"/>
    <w:p w14:paraId="1D026807" w14:textId="77777777" w:rsidR="004421F6" w:rsidRDefault="00F15622">
      <w:hyperlink r:id="rId94" w:anchor="i3e524f2e23844e81ba9d33a05ac3917c_7" w:history="1">
        <w:r>
          <w:rPr>
            <w:rStyle w:val="a5"/>
            <w:rFonts w:ascii="sans-serif" w:eastAsia="sans-serif" w:hAnsi="sans-serif" w:cs="sans-serif"/>
            <w:sz w:val="17"/>
            <w:szCs w:val="17"/>
          </w:rPr>
          <w:t>Table of Contents</w:t>
        </w:r>
      </w:hyperlink>
    </w:p>
    <w:p w14:paraId="1D026808" w14:textId="77777777" w:rsidR="004421F6" w:rsidRDefault="004421F6"/>
    <w:p w14:paraId="1D026809" w14:textId="77777777" w:rsidR="004421F6" w:rsidRDefault="00F15622">
      <w:pPr>
        <w:spacing w:before="300" w:after="120"/>
      </w:pPr>
      <w:r>
        <w:rPr>
          <w:rFonts w:ascii="sans-serif" w:eastAsia="sans-serif" w:hAnsi="sans-serif" w:cs="sans-serif"/>
          <w:b/>
          <w:bCs/>
          <w:color w:val="E87722"/>
          <w:sz w:val="36"/>
          <w:szCs w:val="36"/>
        </w:rPr>
        <w:t>CONSOLIDATED OPERATING RESULTS</w:t>
      </w:r>
    </w:p>
    <w:p w14:paraId="1D02680A" w14:textId="77777777" w:rsidR="004421F6" w:rsidRDefault="00F15622">
      <w:pPr>
        <w:spacing w:before="240" w:after="120"/>
      </w:pPr>
      <w:r>
        <w:rPr>
          <w:rFonts w:ascii="sans-serif" w:eastAsia="sans-serif" w:hAnsi="sans-serif" w:cs="sans-serif"/>
          <w:b/>
          <w:bCs/>
          <w:color w:val="000000"/>
          <w:sz w:val="28"/>
          <w:szCs w:val="28"/>
        </w:rPr>
        <w:t>REVENUES</w:t>
      </w:r>
    </w:p>
    <w:tbl>
      <w:tblPr>
        <w:tblW w:w="5000" w:type="pct"/>
        <w:tblCellMar>
          <w:top w:w="15" w:type="dxa"/>
          <w:left w:w="15" w:type="dxa"/>
          <w:bottom w:w="15" w:type="dxa"/>
          <w:right w:w="15" w:type="dxa"/>
        </w:tblCellMar>
        <w:tblLook w:val="04A0" w:firstRow="1" w:lastRow="0" w:firstColumn="1" w:lastColumn="0" w:noHBand="0" w:noVBand="1"/>
      </w:tblPr>
      <w:tblGrid>
        <w:gridCol w:w="40"/>
        <w:gridCol w:w="3919"/>
        <w:gridCol w:w="39"/>
        <w:gridCol w:w="130"/>
        <w:gridCol w:w="810"/>
        <w:gridCol w:w="41"/>
        <w:gridCol w:w="130"/>
        <w:gridCol w:w="810"/>
        <w:gridCol w:w="41"/>
        <w:gridCol w:w="53"/>
        <w:gridCol w:w="769"/>
        <w:gridCol w:w="187"/>
        <w:gridCol w:w="71"/>
        <w:gridCol w:w="785"/>
        <w:gridCol w:w="187"/>
        <w:gridCol w:w="36"/>
        <w:gridCol w:w="36"/>
        <w:gridCol w:w="36"/>
        <w:gridCol w:w="36"/>
        <w:gridCol w:w="36"/>
        <w:gridCol w:w="36"/>
        <w:gridCol w:w="36"/>
        <w:gridCol w:w="36"/>
        <w:gridCol w:w="36"/>
      </w:tblGrid>
      <w:tr w:rsidR="004421F6" w14:paraId="1D02681A" w14:textId="77777777">
        <w:trPr>
          <w:gridAfter w:val="9"/>
        </w:trPr>
        <w:tc>
          <w:tcPr>
            <w:tcW w:w="50" w:type="pct"/>
            <w:shd w:val="clear" w:color="auto" w:fill="auto"/>
          </w:tcPr>
          <w:p w14:paraId="1D02680B" w14:textId="77777777" w:rsidR="004421F6" w:rsidRDefault="004421F6">
            <w:pPr>
              <w:rPr>
                <w:rFonts w:ascii="宋体"/>
              </w:rPr>
            </w:pPr>
          </w:p>
        </w:tc>
        <w:tc>
          <w:tcPr>
            <w:tcW w:w="2512" w:type="pct"/>
            <w:shd w:val="clear" w:color="auto" w:fill="auto"/>
          </w:tcPr>
          <w:p w14:paraId="1D02680C" w14:textId="77777777" w:rsidR="004421F6" w:rsidRDefault="004421F6">
            <w:pPr>
              <w:rPr>
                <w:rFonts w:ascii="宋体"/>
              </w:rPr>
            </w:pPr>
          </w:p>
        </w:tc>
        <w:tc>
          <w:tcPr>
            <w:tcW w:w="5" w:type="pct"/>
            <w:shd w:val="clear" w:color="auto" w:fill="auto"/>
          </w:tcPr>
          <w:p w14:paraId="1D02680D" w14:textId="77777777" w:rsidR="004421F6" w:rsidRDefault="004421F6">
            <w:pPr>
              <w:rPr>
                <w:rFonts w:ascii="宋体"/>
              </w:rPr>
            </w:pPr>
          </w:p>
        </w:tc>
        <w:tc>
          <w:tcPr>
            <w:tcW w:w="50" w:type="pct"/>
            <w:shd w:val="clear" w:color="auto" w:fill="auto"/>
          </w:tcPr>
          <w:p w14:paraId="1D02680E" w14:textId="77777777" w:rsidR="004421F6" w:rsidRDefault="004421F6">
            <w:pPr>
              <w:rPr>
                <w:rFonts w:ascii="宋体"/>
              </w:rPr>
            </w:pPr>
          </w:p>
        </w:tc>
        <w:tc>
          <w:tcPr>
            <w:tcW w:w="553" w:type="pct"/>
            <w:shd w:val="clear" w:color="auto" w:fill="auto"/>
          </w:tcPr>
          <w:p w14:paraId="1D02680F" w14:textId="77777777" w:rsidR="004421F6" w:rsidRDefault="004421F6">
            <w:pPr>
              <w:rPr>
                <w:rFonts w:ascii="宋体"/>
              </w:rPr>
            </w:pPr>
          </w:p>
        </w:tc>
        <w:tc>
          <w:tcPr>
            <w:tcW w:w="5" w:type="pct"/>
            <w:shd w:val="clear" w:color="auto" w:fill="auto"/>
          </w:tcPr>
          <w:p w14:paraId="1D026810" w14:textId="77777777" w:rsidR="004421F6" w:rsidRDefault="004421F6">
            <w:pPr>
              <w:rPr>
                <w:rFonts w:ascii="宋体"/>
              </w:rPr>
            </w:pPr>
          </w:p>
        </w:tc>
        <w:tc>
          <w:tcPr>
            <w:tcW w:w="50" w:type="pct"/>
            <w:shd w:val="clear" w:color="auto" w:fill="auto"/>
          </w:tcPr>
          <w:p w14:paraId="1D026811" w14:textId="77777777" w:rsidR="004421F6" w:rsidRDefault="004421F6">
            <w:pPr>
              <w:rPr>
                <w:rFonts w:ascii="宋体"/>
              </w:rPr>
            </w:pPr>
          </w:p>
        </w:tc>
        <w:tc>
          <w:tcPr>
            <w:tcW w:w="553" w:type="pct"/>
            <w:shd w:val="clear" w:color="auto" w:fill="auto"/>
          </w:tcPr>
          <w:p w14:paraId="1D026812" w14:textId="77777777" w:rsidR="004421F6" w:rsidRDefault="004421F6">
            <w:pPr>
              <w:rPr>
                <w:rFonts w:ascii="宋体"/>
              </w:rPr>
            </w:pPr>
          </w:p>
        </w:tc>
        <w:tc>
          <w:tcPr>
            <w:tcW w:w="5" w:type="pct"/>
            <w:shd w:val="clear" w:color="auto" w:fill="auto"/>
          </w:tcPr>
          <w:p w14:paraId="1D026813" w14:textId="77777777" w:rsidR="004421F6" w:rsidRDefault="004421F6">
            <w:pPr>
              <w:rPr>
                <w:rFonts w:ascii="宋体"/>
              </w:rPr>
            </w:pPr>
          </w:p>
        </w:tc>
        <w:tc>
          <w:tcPr>
            <w:tcW w:w="50" w:type="pct"/>
            <w:shd w:val="clear" w:color="auto" w:fill="auto"/>
          </w:tcPr>
          <w:p w14:paraId="1D026814" w14:textId="77777777" w:rsidR="004421F6" w:rsidRDefault="004421F6">
            <w:pPr>
              <w:rPr>
                <w:rFonts w:ascii="宋体"/>
              </w:rPr>
            </w:pPr>
          </w:p>
        </w:tc>
        <w:tc>
          <w:tcPr>
            <w:tcW w:w="553" w:type="pct"/>
            <w:shd w:val="clear" w:color="auto" w:fill="auto"/>
          </w:tcPr>
          <w:p w14:paraId="1D026815" w14:textId="77777777" w:rsidR="004421F6" w:rsidRDefault="004421F6">
            <w:pPr>
              <w:rPr>
                <w:rFonts w:ascii="宋体"/>
              </w:rPr>
            </w:pPr>
          </w:p>
        </w:tc>
        <w:tc>
          <w:tcPr>
            <w:tcW w:w="5" w:type="pct"/>
            <w:shd w:val="clear" w:color="auto" w:fill="auto"/>
          </w:tcPr>
          <w:p w14:paraId="1D026816" w14:textId="77777777" w:rsidR="004421F6" w:rsidRDefault="004421F6">
            <w:pPr>
              <w:rPr>
                <w:rFonts w:ascii="宋体"/>
              </w:rPr>
            </w:pPr>
          </w:p>
        </w:tc>
        <w:tc>
          <w:tcPr>
            <w:tcW w:w="50" w:type="pct"/>
            <w:shd w:val="clear" w:color="auto" w:fill="auto"/>
          </w:tcPr>
          <w:p w14:paraId="1D026817" w14:textId="77777777" w:rsidR="004421F6" w:rsidRDefault="004421F6">
            <w:pPr>
              <w:rPr>
                <w:rFonts w:ascii="宋体"/>
              </w:rPr>
            </w:pPr>
          </w:p>
        </w:tc>
        <w:tc>
          <w:tcPr>
            <w:tcW w:w="553" w:type="pct"/>
            <w:shd w:val="clear" w:color="auto" w:fill="auto"/>
          </w:tcPr>
          <w:p w14:paraId="1D026818" w14:textId="77777777" w:rsidR="004421F6" w:rsidRDefault="004421F6">
            <w:pPr>
              <w:rPr>
                <w:rFonts w:ascii="宋体"/>
              </w:rPr>
            </w:pPr>
          </w:p>
        </w:tc>
        <w:tc>
          <w:tcPr>
            <w:tcW w:w="5" w:type="pct"/>
            <w:shd w:val="clear" w:color="auto" w:fill="auto"/>
          </w:tcPr>
          <w:p w14:paraId="1D026819" w14:textId="77777777" w:rsidR="004421F6" w:rsidRDefault="004421F6">
            <w:pPr>
              <w:rPr>
                <w:rFonts w:ascii="宋体"/>
              </w:rPr>
            </w:pPr>
          </w:p>
        </w:tc>
      </w:tr>
      <w:tr w:rsidR="004421F6" w14:paraId="1D026820" w14:textId="77777777">
        <w:tc>
          <w:tcPr>
            <w:tcW w:w="0" w:type="auto"/>
            <w:gridSpan w:val="3"/>
            <w:shd w:val="clear" w:color="auto" w:fill="auto"/>
            <w:tcMar>
              <w:left w:w="20" w:type="dxa"/>
              <w:right w:w="20" w:type="dxa"/>
            </w:tcMar>
            <w:vAlign w:val="bottom"/>
          </w:tcPr>
          <w:p w14:paraId="1D02681B" w14:textId="77777777" w:rsidR="004421F6" w:rsidRDefault="004421F6">
            <w:pPr>
              <w:rPr>
                <w:rFonts w:ascii="宋体"/>
              </w:rPr>
            </w:pPr>
          </w:p>
        </w:tc>
        <w:tc>
          <w:tcPr>
            <w:tcW w:w="0" w:type="auto"/>
            <w:gridSpan w:val="12"/>
            <w:shd w:val="clear" w:color="auto" w:fill="auto"/>
            <w:tcMar>
              <w:top w:w="40" w:type="dxa"/>
              <w:left w:w="20" w:type="dxa"/>
              <w:bottom w:w="40" w:type="dxa"/>
              <w:right w:w="20" w:type="dxa"/>
            </w:tcMar>
            <w:vAlign w:val="bottom"/>
          </w:tcPr>
          <w:p w14:paraId="1D02681C" w14:textId="77777777" w:rsidR="004421F6" w:rsidRDefault="00F15622">
            <w:pPr>
              <w:jc w:val="center"/>
              <w:textAlignment w:val="bottom"/>
            </w:pPr>
            <w:r>
              <w:rPr>
                <w:rFonts w:ascii="sans-serif" w:eastAsia="sans-serif" w:hAnsi="sans-serif" w:cs="sans-serif"/>
                <w:b/>
                <w:bCs/>
                <w:color w:val="000000"/>
                <w:sz w:val="17"/>
                <w:szCs w:val="17"/>
              </w:rPr>
              <w:t xml:space="preserve">THREE MONTHS ENDED </w:t>
            </w:r>
            <w:r>
              <w:rPr>
                <w:rFonts w:ascii="sans-serif" w:eastAsia="sans-serif" w:hAnsi="sans-serif" w:cs="sans-serif"/>
                <w:b/>
                <w:bCs/>
                <w:color w:val="000000"/>
                <w:sz w:val="17"/>
                <w:szCs w:val="17"/>
              </w:rPr>
              <w:t>AUGUST 31,</w:t>
            </w:r>
          </w:p>
        </w:tc>
        <w:tc>
          <w:tcPr>
            <w:tcW w:w="0" w:type="auto"/>
            <w:gridSpan w:val="3"/>
            <w:shd w:val="clear" w:color="auto" w:fill="auto"/>
          </w:tcPr>
          <w:p w14:paraId="1D02681D" w14:textId="77777777" w:rsidR="004421F6" w:rsidRDefault="004421F6">
            <w:pPr>
              <w:rPr>
                <w:rFonts w:ascii="宋体"/>
                <w:vanish/>
              </w:rPr>
            </w:pPr>
          </w:p>
        </w:tc>
        <w:tc>
          <w:tcPr>
            <w:tcW w:w="0" w:type="auto"/>
            <w:gridSpan w:val="3"/>
            <w:shd w:val="clear" w:color="auto" w:fill="auto"/>
          </w:tcPr>
          <w:p w14:paraId="1D02681E" w14:textId="77777777" w:rsidR="004421F6" w:rsidRDefault="004421F6">
            <w:pPr>
              <w:rPr>
                <w:rFonts w:ascii="宋体"/>
                <w:vanish/>
              </w:rPr>
            </w:pPr>
          </w:p>
        </w:tc>
        <w:tc>
          <w:tcPr>
            <w:tcW w:w="0" w:type="auto"/>
            <w:gridSpan w:val="3"/>
            <w:shd w:val="clear" w:color="auto" w:fill="auto"/>
          </w:tcPr>
          <w:p w14:paraId="1D02681F" w14:textId="77777777" w:rsidR="004421F6" w:rsidRDefault="004421F6">
            <w:pPr>
              <w:rPr>
                <w:rFonts w:ascii="宋体"/>
                <w:vanish/>
              </w:rPr>
            </w:pPr>
          </w:p>
        </w:tc>
      </w:tr>
      <w:tr w:rsidR="004421F6" w14:paraId="1D02682F" w14:textId="77777777">
        <w:tc>
          <w:tcPr>
            <w:tcW w:w="0" w:type="auto"/>
            <w:gridSpan w:val="3"/>
            <w:shd w:val="clear" w:color="auto" w:fill="auto"/>
            <w:tcMar>
              <w:top w:w="40" w:type="dxa"/>
              <w:left w:w="20" w:type="dxa"/>
              <w:bottom w:w="40" w:type="dxa"/>
              <w:right w:w="20" w:type="dxa"/>
            </w:tcMar>
            <w:vAlign w:val="bottom"/>
          </w:tcPr>
          <w:p w14:paraId="1D026821"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822"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823"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824" w14:textId="77777777" w:rsidR="004421F6" w:rsidRDefault="00F1562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825" w14:textId="77777777" w:rsidR="004421F6" w:rsidRDefault="00F15622">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9"/>
                <w:szCs w:val="9"/>
              </w:rPr>
              <w:t>(1)</w:t>
            </w:r>
          </w:p>
        </w:tc>
        <w:tc>
          <w:tcPr>
            <w:tcW w:w="0" w:type="auto"/>
            <w:shd w:val="clear" w:color="auto" w:fill="auto"/>
          </w:tcPr>
          <w:p w14:paraId="1D026826" w14:textId="77777777" w:rsidR="004421F6" w:rsidRDefault="004421F6">
            <w:pPr>
              <w:rPr>
                <w:rFonts w:ascii="宋体"/>
              </w:rPr>
            </w:pPr>
          </w:p>
        </w:tc>
        <w:tc>
          <w:tcPr>
            <w:tcW w:w="0" w:type="auto"/>
            <w:shd w:val="clear" w:color="auto" w:fill="auto"/>
          </w:tcPr>
          <w:p w14:paraId="1D026827" w14:textId="77777777" w:rsidR="004421F6" w:rsidRDefault="004421F6">
            <w:pPr>
              <w:rPr>
                <w:rFonts w:ascii="宋体"/>
              </w:rPr>
            </w:pPr>
          </w:p>
        </w:tc>
        <w:tc>
          <w:tcPr>
            <w:tcW w:w="0" w:type="auto"/>
            <w:shd w:val="clear" w:color="auto" w:fill="auto"/>
          </w:tcPr>
          <w:p w14:paraId="1D026828" w14:textId="77777777" w:rsidR="004421F6" w:rsidRDefault="004421F6">
            <w:pPr>
              <w:rPr>
                <w:rFonts w:ascii="宋体"/>
              </w:rPr>
            </w:pPr>
          </w:p>
        </w:tc>
        <w:tc>
          <w:tcPr>
            <w:tcW w:w="0" w:type="auto"/>
            <w:shd w:val="clear" w:color="auto" w:fill="auto"/>
          </w:tcPr>
          <w:p w14:paraId="1D026829" w14:textId="77777777" w:rsidR="004421F6" w:rsidRDefault="004421F6">
            <w:pPr>
              <w:rPr>
                <w:rFonts w:ascii="宋体"/>
              </w:rPr>
            </w:pPr>
          </w:p>
        </w:tc>
        <w:tc>
          <w:tcPr>
            <w:tcW w:w="0" w:type="auto"/>
            <w:shd w:val="clear" w:color="auto" w:fill="auto"/>
          </w:tcPr>
          <w:p w14:paraId="1D02682A" w14:textId="77777777" w:rsidR="004421F6" w:rsidRDefault="004421F6">
            <w:pPr>
              <w:rPr>
                <w:rFonts w:ascii="宋体"/>
              </w:rPr>
            </w:pPr>
          </w:p>
        </w:tc>
        <w:tc>
          <w:tcPr>
            <w:tcW w:w="0" w:type="auto"/>
            <w:shd w:val="clear" w:color="auto" w:fill="auto"/>
          </w:tcPr>
          <w:p w14:paraId="1D02682B" w14:textId="77777777" w:rsidR="004421F6" w:rsidRDefault="004421F6">
            <w:pPr>
              <w:rPr>
                <w:rFonts w:ascii="宋体"/>
              </w:rPr>
            </w:pPr>
          </w:p>
        </w:tc>
        <w:tc>
          <w:tcPr>
            <w:tcW w:w="0" w:type="auto"/>
            <w:shd w:val="clear" w:color="auto" w:fill="auto"/>
          </w:tcPr>
          <w:p w14:paraId="1D02682C" w14:textId="77777777" w:rsidR="004421F6" w:rsidRDefault="004421F6">
            <w:pPr>
              <w:rPr>
                <w:rFonts w:ascii="宋体"/>
              </w:rPr>
            </w:pPr>
          </w:p>
        </w:tc>
        <w:tc>
          <w:tcPr>
            <w:tcW w:w="0" w:type="auto"/>
            <w:shd w:val="clear" w:color="auto" w:fill="auto"/>
          </w:tcPr>
          <w:p w14:paraId="1D02682D" w14:textId="77777777" w:rsidR="004421F6" w:rsidRDefault="004421F6">
            <w:pPr>
              <w:rPr>
                <w:rFonts w:ascii="宋体"/>
              </w:rPr>
            </w:pPr>
          </w:p>
        </w:tc>
        <w:tc>
          <w:tcPr>
            <w:tcW w:w="0" w:type="auto"/>
            <w:shd w:val="clear" w:color="auto" w:fill="auto"/>
          </w:tcPr>
          <w:p w14:paraId="1D02682E" w14:textId="77777777" w:rsidR="004421F6" w:rsidRDefault="004421F6">
            <w:pPr>
              <w:rPr>
                <w:rFonts w:ascii="宋体"/>
              </w:rPr>
            </w:pPr>
          </w:p>
        </w:tc>
      </w:tr>
      <w:tr w:rsidR="004421F6" w14:paraId="1D02683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830" w14:textId="77777777" w:rsidR="004421F6" w:rsidRDefault="00F15622">
            <w:pPr>
              <w:textAlignment w:val="bottom"/>
            </w:pPr>
            <w:r>
              <w:rPr>
                <w:rFonts w:ascii="Arial" w:eastAsia="宋体" w:hAnsi="Arial" w:cs="Arial"/>
                <w:b/>
                <w:bCs/>
                <w:i/>
                <w:iCs/>
                <w:color w:val="000000"/>
                <w:sz w:val="17"/>
                <w:szCs w:val="17"/>
              </w:rPr>
              <w:t>NIKE, Inc. Revenues:</w:t>
            </w:r>
          </w:p>
        </w:tc>
        <w:tc>
          <w:tcPr>
            <w:tcW w:w="0" w:type="auto"/>
            <w:gridSpan w:val="3"/>
            <w:tcBorders>
              <w:top w:val="single" w:sz="8" w:space="0" w:color="E87722"/>
            </w:tcBorders>
            <w:shd w:val="clear" w:color="auto" w:fill="FFF1E7"/>
            <w:tcMar>
              <w:left w:w="20" w:type="dxa"/>
              <w:right w:w="20" w:type="dxa"/>
            </w:tcMar>
            <w:vAlign w:val="bottom"/>
          </w:tcPr>
          <w:p w14:paraId="1D026831"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832"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833"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834" w14:textId="77777777" w:rsidR="004421F6" w:rsidRDefault="004421F6">
            <w:pPr>
              <w:rPr>
                <w:rFonts w:ascii="宋体"/>
              </w:rPr>
            </w:pPr>
          </w:p>
        </w:tc>
        <w:tc>
          <w:tcPr>
            <w:tcW w:w="0" w:type="auto"/>
            <w:shd w:val="clear" w:color="auto" w:fill="auto"/>
          </w:tcPr>
          <w:p w14:paraId="1D026835" w14:textId="77777777" w:rsidR="004421F6" w:rsidRDefault="004421F6">
            <w:pPr>
              <w:rPr>
                <w:rFonts w:ascii="宋体"/>
              </w:rPr>
            </w:pPr>
          </w:p>
        </w:tc>
        <w:tc>
          <w:tcPr>
            <w:tcW w:w="0" w:type="auto"/>
            <w:shd w:val="clear" w:color="auto" w:fill="auto"/>
          </w:tcPr>
          <w:p w14:paraId="1D026836" w14:textId="77777777" w:rsidR="004421F6" w:rsidRDefault="004421F6">
            <w:pPr>
              <w:rPr>
                <w:rFonts w:ascii="宋体"/>
              </w:rPr>
            </w:pPr>
          </w:p>
        </w:tc>
        <w:tc>
          <w:tcPr>
            <w:tcW w:w="0" w:type="auto"/>
            <w:shd w:val="clear" w:color="auto" w:fill="auto"/>
          </w:tcPr>
          <w:p w14:paraId="1D026837" w14:textId="77777777" w:rsidR="004421F6" w:rsidRDefault="004421F6">
            <w:pPr>
              <w:rPr>
                <w:rFonts w:ascii="宋体"/>
              </w:rPr>
            </w:pPr>
          </w:p>
        </w:tc>
        <w:tc>
          <w:tcPr>
            <w:tcW w:w="0" w:type="auto"/>
            <w:shd w:val="clear" w:color="auto" w:fill="auto"/>
          </w:tcPr>
          <w:p w14:paraId="1D026838" w14:textId="77777777" w:rsidR="004421F6" w:rsidRDefault="004421F6">
            <w:pPr>
              <w:rPr>
                <w:rFonts w:ascii="宋体"/>
              </w:rPr>
            </w:pPr>
          </w:p>
        </w:tc>
        <w:tc>
          <w:tcPr>
            <w:tcW w:w="0" w:type="auto"/>
            <w:shd w:val="clear" w:color="auto" w:fill="auto"/>
          </w:tcPr>
          <w:p w14:paraId="1D026839" w14:textId="77777777" w:rsidR="004421F6" w:rsidRDefault="004421F6">
            <w:pPr>
              <w:rPr>
                <w:rFonts w:ascii="宋体"/>
              </w:rPr>
            </w:pPr>
          </w:p>
        </w:tc>
        <w:tc>
          <w:tcPr>
            <w:tcW w:w="0" w:type="auto"/>
            <w:shd w:val="clear" w:color="auto" w:fill="auto"/>
          </w:tcPr>
          <w:p w14:paraId="1D02683A" w14:textId="77777777" w:rsidR="004421F6" w:rsidRDefault="004421F6">
            <w:pPr>
              <w:rPr>
                <w:rFonts w:ascii="宋体"/>
              </w:rPr>
            </w:pPr>
          </w:p>
        </w:tc>
        <w:tc>
          <w:tcPr>
            <w:tcW w:w="0" w:type="auto"/>
            <w:shd w:val="clear" w:color="auto" w:fill="auto"/>
          </w:tcPr>
          <w:p w14:paraId="1D02683B" w14:textId="77777777" w:rsidR="004421F6" w:rsidRDefault="004421F6">
            <w:pPr>
              <w:rPr>
                <w:rFonts w:ascii="宋体"/>
              </w:rPr>
            </w:pPr>
          </w:p>
        </w:tc>
        <w:tc>
          <w:tcPr>
            <w:tcW w:w="0" w:type="auto"/>
            <w:shd w:val="clear" w:color="auto" w:fill="auto"/>
          </w:tcPr>
          <w:p w14:paraId="1D02683C" w14:textId="77777777" w:rsidR="004421F6" w:rsidRDefault="004421F6">
            <w:pPr>
              <w:rPr>
                <w:rFonts w:ascii="宋体"/>
              </w:rPr>
            </w:pPr>
          </w:p>
        </w:tc>
        <w:tc>
          <w:tcPr>
            <w:tcW w:w="0" w:type="auto"/>
            <w:shd w:val="clear" w:color="auto" w:fill="auto"/>
          </w:tcPr>
          <w:p w14:paraId="1D02683D" w14:textId="77777777" w:rsidR="004421F6" w:rsidRDefault="004421F6">
            <w:pPr>
              <w:rPr>
                <w:rFonts w:ascii="宋体"/>
              </w:rPr>
            </w:pPr>
          </w:p>
        </w:tc>
      </w:tr>
      <w:tr w:rsidR="004421F6" w14:paraId="1D02684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83F" w14:textId="77777777" w:rsidR="004421F6" w:rsidRDefault="00F15622">
            <w:pPr>
              <w:textAlignment w:val="bottom"/>
            </w:pPr>
            <w:r>
              <w:rPr>
                <w:rFonts w:ascii="Arial" w:eastAsia="宋体" w:hAnsi="Arial" w:cs="Arial"/>
                <w:b/>
                <w:bCs/>
                <w:color w:val="000000"/>
                <w:sz w:val="17"/>
                <w:szCs w:val="17"/>
              </w:rPr>
              <w:t>NIKE Brand Revenues by:</w:t>
            </w:r>
          </w:p>
        </w:tc>
        <w:tc>
          <w:tcPr>
            <w:tcW w:w="0" w:type="auto"/>
            <w:gridSpan w:val="3"/>
            <w:tcBorders>
              <w:top w:val="single" w:sz="8" w:space="0" w:color="808080"/>
            </w:tcBorders>
            <w:shd w:val="clear" w:color="auto" w:fill="FFF1E7"/>
            <w:tcMar>
              <w:left w:w="20" w:type="dxa"/>
              <w:right w:w="20" w:type="dxa"/>
            </w:tcMar>
            <w:vAlign w:val="bottom"/>
          </w:tcPr>
          <w:p w14:paraId="1D026840"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841"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842"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843" w14:textId="77777777" w:rsidR="004421F6" w:rsidRDefault="004421F6">
            <w:pPr>
              <w:rPr>
                <w:rFonts w:ascii="宋体"/>
              </w:rPr>
            </w:pPr>
          </w:p>
        </w:tc>
        <w:tc>
          <w:tcPr>
            <w:tcW w:w="0" w:type="auto"/>
            <w:shd w:val="clear" w:color="auto" w:fill="auto"/>
          </w:tcPr>
          <w:p w14:paraId="1D026844" w14:textId="77777777" w:rsidR="004421F6" w:rsidRDefault="004421F6">
            <w:pPr>
              <w:rPr>
                <w:rFonts w:ascii="宋体"/>
              </w:rPr>
            </w:pPr>
          </w:p>
        </w:tc>
        <w:tc>
          <w:tcPr>
            <w:tcW w:w="0" w:type="auto"/>
            <w:shd w:val="clear" w:color="auto" w:fill="auto"/>
          </w:tcPr>
          <w:p w14:paraId="1D026845" w14:textId="77777777" w:rsidR="004421F6" w:rsidRDefault="004421F6">
            <w:pPr>
              <w:rPr>
                <w:rFonts w:ascii="宋体"/>
              </w:rPr>
            </w:pPr>
          </w:p>
        </w:tc>
        <w:tc>
          <w:tcPr>
            <w:tcW w:w="0" w:type="auto"/>
            <w:shd w:val="clear" w:color="auto" w:fill="auto"/>
          </w:tcPr>
          <w:p w14:paraId="1D026846" w14:textId="77777777" w:rsidR="004421F6" w:rsidRDefault="004421F6">
            <w:pPr>
              <w:rPr>
                <w:rFonts w:ascii="宋体"/>
              </w:rPr>
            </w:pPr>
          </w:p>
        </w:tc>
        <w:tc>
          <w:tcPr>
            <w:tcW w:w="0" w:type="auto"/>
            <w:shd w:val="clear" w:color="auto" w:fill="auto"/>
          </w:tcPr>
          <w:p w14:paraId="1D026847" w14:textId="77777777" w:rsidR="004421F6" w:rsidRDefault="004421F6">
            <w:pPr>
              <w:rPr>
                <w:rFonts w:ascii="宋体"/>
              </w:rPr>
            </w:pPr>
          </w:p>
        </w:tc>
        <w:tc>
          <w:tcPr>
            <w:tcW w:w="0" w:type="auto"/>
            <w:shd w:val="clear" w:color="auto" w:fill="auto"/>
          </w:tcPr>
          <w:p w14:paraId="1D026848" w14:textId="77777777" w:rsidR="004421F6" w:rsidRDefault="004421F6">
            <w:pPr>
              <w:rPr>
                <w:rFonts w:ascii="宋体"/>
              </w:rPr>
            </w:pPr>
          </w:p>
        </w:tc>
        <w:tc>
          <w:tcPr>
            <w:tcW w:w="0" w:type="auto"/>
            <w:shd w:val="clear" w:color="auto" w:fill="auto"/>
          </w:tcPr>
          <w:p w14:paraId="1D026849" w14:textId="77777777" w:rsidR="004421F6" w:rsidRDefault="004421F6">
            <w:pPr>
              <w:rPr>
                <w:rFonts w:ascii="宋体"/>
              </w:rPr>
            </w:pPr>
          </w:p>
        </w:tc>
        <w:tc>
          <w:tcPr>
            <w:tcW w:w="0" w:type="auto"/>
            <w:shd w:val="clear" w:color="auto" w:fill="auto"/>
          </w:tcPr>
          <w:p w14:paraId="1D02684A" w14:textId="77777777" w:rsidR="004421F6" w:rsidRDefault="004421F6">
            <w:pPr>
              <w:rPr>
                <w:rFonts w:ascii="宋体"/>
              </w:rPr>
            </w:pPr>
          </w:p>
        </w:tc>
        <w:tc>
          <w:tcPr>
            <w:tcW w:w="0" w:type="auto"/>
            <w:shd w:val="clear" w:color="auto" w:fill="auto"/>
          </w:tcPr>
          <w:p w14:paraId="1D02684B" w14:textId="77777777" w:rsidR="004421F6" w:rsidRDefault="004421F6">
            <w:pPr>
              <w:rPr>
                <w:rFonts w:ascii="宋体"/>
              </w:rPr>
            </w:pPr>
          </w:p>
        </w:tc>
        <w:tc>
          <w:tcPr>
            <w:tcW w:w="0" w:type="auto"/>
            <w:shd w:val="clear" w:color="auto" w:fill="auto"/>
          </w:tcPr>
          <w:p w14:paraId="1D02684C" w14:textId="77777777" w:rsidR="004421F6" w:rsidRDefault="004421F6">
            <w:pPr>
              <w:rPr>
                <w:rFonts w:ascii="宋体"/>
              </w:rPr>
            </w:pPr>
          </w:p>
        </w:tc>
      </w:tr>
      <w:tr w:rsidR="004421F6" w14:paraId="1D026862"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84E" w14:textId="77777777" w:rsidR="004421F6" w:rsidRDefault="00F1562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tcMar>
            <w:vAlign w:val="bottom"/>
          </w:tcPr>
          <w:p w14:paraId="1D02684F"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850" w14:textId="77777777" w:rsidR="004421F6" w:rsidRDefault="00F15622">
            <w:pPr>
              <w:jc w:val="right"/>
              <w:textAlignment w:val="bottom"/>
            </w:pPr>
            <w:r>
              <w:rPr>
                <w:rFonts w:ascii="Arial" w:eastAsia="宋体" w:hAnsi="Arial" w:cs="Arial"/>
                <w:color w:val="000000"/>
                <w:sz w:val="17"/>
                <w:szCs w:val="17"/>
              </w:rPr>
              <w:t>6,768 </w:t>
            </w:r>
          </w:p>
        </w:tc>
        <w:tc>
          <w:tcPr>
            <w:tcW w:w="0" w:type="auto"/>
            <w:tcBorders>
              <w:top w:val="single" w:sz="8" w:space="0" w:color="808080"/>
            </w:tcBorders>
            <w:shd w:val="clear" w:color="auto" w:fill="FFF1E7"/>
            <w:tcMar>
              <w:top w:w="40" w:type="dxa"/>
              <w:bottom w:w="40" w:type="dxa"/>
              <w:right w:w="20" w:type="dxa"/>
            </w:tcMar>
            <w:vAlign w:val="bottom"/>
          </w:tcPr>
          <w:p w14:paraId="1D026851"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852"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853" w14:textId="77777777" w:rsidR="004421F6" w:rsidRDefault="00F15622">
            <w:pPr>
              <w:jc w:val="right"/>
              <w:textAlignment w:val="bottom"/>
            </w:pPr>
            <w:r>
              <w:rPr>
                <w:rFonts w:ascii="Arial" w:eastAsia="宋体" w:hAnsi="Arial" w:cs="Arial"/>
                <w:color w:val="000000"/>
                <w:sz w:val="17"/>
                <w:szCs w:val="17"/>
              </w:rPr>
              <w:t>6,521 </w:t>
            </w:r>
          </w:p>
        </w:tc>
        <w:tc>
          <w:tcPr>
            <w:tcW w:w="0" w:type="auto"/>
            <w:tcBorders>
              <w:top w:val="single" w:sz="8" w:space="0" w:color="808080"/>
            </w:tcBorders>
            <w:shd w:val="clear" w:color="auto" w:fill="auto"/>
            <w:tcMar>
              <w:top w:w="40" w:type="dxa"/>
              <w:bottom w:w="40" w:type="dxa"/>
              <w:right w:w="20" w:type="dxa"/>
            </w:tcMar>
            <w:vAlign w:val="bottom"/>
          </w:tcPr>
          <w:p w14:paraId="1D026854"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855" w14:textId="77777777" w:rsidR="004421F6" w:rsidRDefault="00F1562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bottom w:w="40" w:type="dxa"/>
              <w:right w:w="20" w:type="dxa"/>
            </w:tcMar>
            <w:vAlign w:val="bottom"/>
          </w:tcPr>
          <w:p w14:paraId="1D026856"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857" w14:textId="77777777" w:rsidR="004421F6" w:rsidRDefault="00F1562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bottom w:w="40" w:type="dxa"/>
              <w:right w:w="20" w:type="dxa"/>
            </w:tcMar>
            <w:vAlign w:val="bottom"/>
          </w:tcPr>
          <w:p w14:paraId="1D026858"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859" w14:textId="77777777" w:rsidR="004421F6" w:rsidRDefault="004421F6">
            <w:pPr>
              <w:rPr>
                <w:rFonts w:ascii="宋体"/>
              </w:rPr>
            </w:pPr>
          </w:p>
        </w:tc>
        <w:tc>
          <w:tcPr>
            <w:tcW w:w="0" w:type="auto"/>
            <w:shd w:val="clear" w:color="auto" w:fill="auto"/>
          </w:tcPr>
          <w:p w14:paraId="1D02685A" w14:textId="77777777" w:rsidR="004421F6" w:rsidRDefault="004421F6">
            <w:pPr>
              <w:rPr>
                <w:rFonts w:ascii="宋体"/>
              </w:rPr>
            </w:pPr>
          </w:p>
        </w:tc>
        <w:tc>
          <w:tcPr>
            <w:tcW w:w="0" w:type="auto"/>
            <w:shd w:val="clear" w:color="auto" w:fill="auto"/>
          </w:tcPr>
          <w:p w14:paraId="1D02685B" w14:textId="77777777" w:rsidR="004421F6" w:rsidRDefault="004421F6">
            <w:pPr>
              <w:rPr>
                <w:rFonts w:ascii="宋体"/>
              </w:rPr>
            </w:pPr>
          </w:p>
        </w:tc>
        <w:tc>
          <w:tcPr>
            <w:tcW w:w="0" w:type="auto"/>
            <w:shd w:val="clear" w:color="auto" w:fill="auto"/>
          </w:tcPr>
          <w:p w14:paraId="1D02685C" w14:textId="77777777" w:rsidR="004421F6" w:rsidRDefault="004421F6">
            <w:pPr>
              <w:rPr>
                <w:rFonts w:ascii="宋体"/>
              </w:rPr>
            </w:pPr>
          </w:p>
        </w:tc>
        <w:tc>
          <w:tcPr>
            <w:tcW w:w="0" w:type="auto"/>
            <w:shd w:val="clear" w:color="auto" w:fill="auto"/>
          </w:tcPr>
          <w:p w14:paraId="1D02685D" w14:textId="77777777" w:rsidR="004421F6" w:rsidRDefault="004421F6">
            <w:pPr>
              <w:rPr>
                <w:rFonts w:ascii="宋体"/>
              </w:rPr>
            </w:pPr>
          </w:p>
        </w:tc>
        <w:tc>
          <w:tcPr>
            <w:tcW w:w="0" w:type="auto"/>
            <w:shd w:val="clear" w:color="auto" w:fill="auto"/>
          </w:tcPr>
          <w:p w14:paraId="1D02685E" w14:textId="77777777" w:rsidR="004421F6" w:rsidRDefault="004421F6">
            <w:pPr>
              <w:rPr>
                <w:rFonts w:ascii="宋体"/>
              </w:rPr>
            </w:pPr>
          </w:p>
        </w:tc>
        <w:tc>
          <w:tcPr>
            <w:tcW w:w="0" w:type="auto"/>
            <w:shd w:val="clear" w:color="auto" w:fill="auto"/>
          </w:tcPr>
          <w:p w14:paraId="1D02685F" w14:textId="77777777" w:rsidR="004421F6" w:rsidRDefault="004421F6">
            <w:pPr>
              <w:rPr>
                <w:rFonts w:ascii="宋体"/>
              </w:rPr>
            </w:pPr>
          </w:p>
        </w:tc>
        <w:tc>
          <w:tcPr>
            <w:tcW w:w="0" w:type="auto"/>
            <w:shd w:val="clear" w:color="auto" w:fill="auto"/>
          </w:tcPr>
          <w:p w14:paraId="1D026860" w14:textId="77777777" w:rsidR="004421F6" w:rsidRDefault="004421F6">
            <w:pPr>
              <w:rPr>
                <w:rFonts w:ascii="宋体"/>
              </w:rPr>
            </w:pPr>
          </w:p>
        </w:tc>
        <w:tc>
          <w:tcPr>
            <w:tcW w:w="0" w:type="auto"/>
            <w:shd w:val="clear" w:color="auto" w:fill="auto"/>
          </w:tcPr>
          <w:p w14:paraId="1D026861" w14:textId="77777777" w:rsidR="004421F6" w:rsidRDefault="004421F6">
            <w:pPr>
              <w:rPr>
                <w:rFonts w:ascii="宋体"/>
              </w:rPr>
            </w:pPr>
          </w:p>
        </w:tc>
      </w:tr>
      <w:tr w:rsidR="004421F6" w14:paraId="1D026875"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863" w14:textId="77777777" w:rsidR="004421F6" w:rsidRDefault="00F1562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864" w14:textId="77777777" w:rsidR="004421F6" w:rsidRDefault="00F15622">
            <w:pPr>
              <w:jc w:val="right"/>
              <w:textAlignment w:val="bottom"/>
            </w:pPr>
            <w:r>
              <w:rPr>
                <w:rFonts w:ascii="Arial" w:eastAsia="宋体" w:hAnsi="Arial" w:cs="Arial"/>
                <w:color w:val="000000"/>
                <w:sz w:val="17"/>
                <w:szCs w:val="17"/>
              </w:rPr>
              <w:t>2,875 </w:t>
            </w:r>
          </w:p>
        </w:tc>
        <w:tc>
          <w:tcPr>
            <w:tcW w:w="0" w:type="auto"/>
            <w:tcBorders>
              <w:top w:val="single" w:sz="8" w:space="0" w:color="808080"/>
            </w:tcBorders>
            <w:shd w:val="clear" w:color="auto" w:fill="FFF1E7"/>
            <w:tcMar>
              <w:top w:w="40" w:type="dxa"/>
              <w:bottom w:w="40" w:type="dxa"/>
              <w:right w:w="20" w:type="dxa"/>
            </w:tcMar>
            <w:vAlign w:val="bottom"/>
          </w:tcPr>
          <w:p w14:paraId="1D026865"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866" w14:textId="77777777" w:rsidR="004421F6" w:rsidRDefault="00F15622">
            <w:pPr>
              <w:jc w:val="right"/>
              <w:textAlignment w:val="bottom"/>
            </w:pPr>
            <w:r>
              <w:rPr>
                <w:rFonts w:ascii="Arial" w:eastAsia="宋体" w:hAnsi="Arial" w:cs="Arial"/>
                <w:color w:val="000000"/>
                <w:sz w:val="17"/>
                <w:szCs w:val="17"/>
              </w:rPr>
              <w:t>3,121 </w:t>
            </w:r>
          </w:p>
        </w:tc>
        <w:tc>
          <w:tcPr>
            <w:tcW w:w="0" w:type="auto"/>
            <w:tcBorders>
              <w:top w:val="single" w:sz="8" w:space="0" w:color="808080"/>
            </w:tcBorders>
            <w:shd w:val="clear" w:color="auto" w:fill="auto"/>
            <w:tcMar>
              <w:top w:w="40" w:type="dxa"/>
              <w:bottom w:w="40" w:type="dxa"/>
              <w:right w:w="20" w:type="dxa"/>
            </w:tcMar>
            <w:vAlign w:val="bottom"/>
          </w:tcPr>
          <w:p w14:paraId="1D026867"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868" w14:textId="77777777" w:rsidR="004421F6" w:rsidRDefault="00F1562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bottom w:w="40" w:type="dxa"/>
              <w:right w:w="20" w:type="dxa"/>
            </w:tcMar>
            <w:vAlign w:val="bottom"/>
          </w:tcPr>
          <w:p w14:paraId="1D026869"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86A" w14:textId="77777777" w:rsidR="004421F6" w:rsidRDefault="00F15622">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auto"/>
            <w:tcMar>
              <w:top w:w="40" w:type="dxa"/>
              <w:bottom w:w="40" w:type="dxa"/>
              <w:right w:w="20" w:type="dxa"/>
            </w:tcMar>
            <w:vAlign w:val="bottom"/>
          </w:tcPr>
          <w:p w14:paraId="1D02686B"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86C" w14:textId="77777777" w:rsidR="004421F6" w:rsidRDefault="004421F6">
            <w:pPr>
              <w:rPr>
                <w:rFonts w:ascii="宋体"/>
              </w:rPr>
            </w:pPr>
          </w:p>
        </w:tc>
        <w:tc>
          <w:tcPr>
            <w:tcW w:w="0" w:type="auto"/>
            <w:shd w:val="clear" w:color="auto" w:fill="auto"/>
          </w:tcPr>
          <w:p w14:paraId="1D02686D" w14:textId="77777777" w:rsidR="004421F6" w:rsidRDefault="004421F6">
            <w:pPr>
              <w:rPr>
                <w:rFonts w:ascii="宋体"/>
              </w:rPr>
            </w:pPr>
          </w:p>
        </w:tc>
        <w:tc>
          <w:tcPr>
            <w:tcW w:w="0" w:type="auto"/>
            <w:shd w:val="clear" w:color="auto" w:fill="auto"/>
          </w:tcPr>
          <w:p w14:paraId="1D02686E" w14:textId="77777777" w:rsidR="004421F6" w:rsidRDefault="004421F6">
            <w:pPr>
              <w:rPr>
                <w:rFonts w:ascii="宋体"/>
              </w:rPr>
            </w:pPr>
          </w:p>
        </w:tc>
        <w:tc>
          <w:tcPr>
            <w:tcW w:w="0" w:type="auto"/>
            <w:shd w:val="clear" w:color="auto" w:fill="auto"/>
          </w:tcPr>
          <w:p w14:paraId="1D02686F" w14:textId="77777777" w:rsidR="004421F6" w:rsidRDefault="004421F6">
            <w:pPr>
              <w:rPr>
                <w:rFonts w:ascii="宋体"/>
              </w:rPr>
            </w:pPr>
          </w:p>
        </w:tc>
        <w:tc>
          <w:tcPr>
            <w:tcW w:w="0" w:type="auto"/>
            <w:shd w:val="clear" w:color="auto" w:fill="auto"/>
          </w:tcPr>
          <w:p w14:paraId="1D026870" w14:textId="77777777" w:rsidR="004421F6" w:rsidRDefault="004421F6">
            <w:pPr>
              <w:rPr>
                <w:rFonts w:ascii="宋体"/>
              </w:rPr>
            </w:pPr>
          </w:p>
        </w:tc>
        <w:tc>
          <w:tcPr>
            <w:tcW w:w="0" w:type="auto"/>
            <w:shd w:val="clear" w:color="auto" w:fill="auto"/>
          </w:tcPr>
          <w:p w14:paraId="1D026871" w14:textId="77777777" w:rsidR="004421F6" w:rsidRDefault="004421F6">
            <w:pPr>
              <w:rPr>
                <w:rFonts w:ascii="宋体"/>
              </w:rPr>
            </w:pPr>
          </w:p>
        </w:tc>
        <w:tc>
          <w:tcPr>
            <w:tcW w:w="0" w:type="auto"/>
            <w:shd w:val="clear" w:color="auto" w:fill="auto"/>
          </w:tcPr>
          <w:p w14:paraId="1D026872" w14:textId="77777777" w:rsidR="004421F6" w:rsidRDefault="004421F6">
            <w:pPr>
              <w:rPr>
                <w:rFonts w:ascii="宋体"/>
              </w:rPr>
            </w:pPr>
          </w:p>
        </w:tc>
        <w:tc>
          <w:tcPr>
            <w:tcW w:w="0" w:type="auto"/>
            <w:shd w:val="clear" w:color="auto" w:fill="auto"/>
          </w:tcPr>
          <w:p w14:paraId="1D026873" w14:textId="77777777" w:rsidR="004421F6" w:rsidRDefault="004421F6">
            <w:pPr>
              <w:rPr>
                <w:rFonts w:ascii="宋体"/>
              </w:rPr>
            </w:pPr>
          </w:p>
        </w:tc>
        <w:tc>
          <w:tcPr>
            <w:tcW w:w="0" w:type="auto"/>
            <w:shd w:val="clear" w:color="auto" w:fill="auto"/>
          </w:tcPr>
          <w:p w14:paraId="1D026874" w14:textId="77777777" w:rsidR="004421F6" w:rsidRDefault="004421F6">
            <w:pPr>
              <w:rPr>
                <w:rFonts w:ascii="宋体"/>
              </w:rPr>
            </w:pPr>
          </w:p>
        </w:tc>
      </w:tr>
      <w:tr w:rsidR="004421F6" w14:paraId="1D026888"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876" w14:textId="77777777" w:rsidR="004421F6" w:rsidRDefault="00F1562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877" w14:textId="77777777" w:rsidR="004421F6" w:rsidRDefault="00F15622">
            <w:pPr>
              <w:jc w:val="right"/>
              <w:textAlignment w:val="bottom"/>
            </w:pPr>
            <w:r>
              <w:rPr>
                <w:rFonts w:ascii="Arial" w:eastAsia="宋体" w:hAnsi="Arial" w:cs="Arial"/>
                <w:color w:val="000000"/>
                <w:sz w:val="17"/>
                <w:szCs w:val="17"/>
              </w:rPr>
              <w:t>371 </w:t>
            </w:r>
          </w:p>
        </w:tc>
        <w:tc>
          <w:tcPr>
            <w:tcW w:w="0" w:type="auto"/>
            <w:tcBorders>
              <w:top w:val="single" w:sz="8" w:space="0" w:color="808080"/>
            </w:tcBorders>
            <w:shd w:val="clear" w:color="auto" w:fill="FFF1E7"/>
            <w:tcMar>
              <w:top w:w="40" w:type="dxa"/>
              <w:bottom w:w="40" w:type="dxa"/>
              <w:right w:w="20" w:type="dxa"/>
            </w:tcMar>
            <w:vAlign w:val="bottom"/>
          </w:tcPr>
          <w:p w14:paraId="1D026878"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879" w14:textId="77777777" w:rsidR="004421F6" w:rsidRDefault="00F15622">
            <w:pPr>
              <w:jc w:val="right"/>
              <w:textAlignment w:val="bottom"/>
            </w:pPr>
            <w:r>
              <w:rPr>
                <w:rFonts w:ascii="Arial" w:eastAsia="宋体" w:hAnsi="Arial" w:cs="Arial"/>
                <w:color w:val="000000"/>
                <w:sz w:val="17"/>
                <w:szCs w:val="17"/>
              </w:rPr>
              <w:t>448 </w:t>
            </w:r>
          </w:p>
        </w:tc>
        <w:tc>
          <w:tcPr>
            <w:tcW w:w="0" w:type="auto"/>
            <w:tcBorders>
              <w:top w:val="single" w:sz="8" w:space="0" w:color="808080"/>
            </w:tcBorders>
            <w:shd w:val="clear" w:color="auto" w:fill="auto"/>
            <w:tcMar>
              <w:top w:w="40" w:type="dxa"/>
              <w:bottom w:w="40" w:type="dxa"/>
              <w:right w:w="20" w:type="dxa"/>
            </w:tcMar>
            <w:vAlign w:val="bottom"/>
          </w:tcPr>
          <w:p w14:paraId="1D02687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87B" w14:textId="77777777" w:rsidR="004421F6" w:rsidRDefault="00F15622">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bottom w:w="40" w:type="dxa"/>
              <w:right w:w="20" w:type="dxa"/>
            </w:tcMar>
            <w:vAlign w:val="bottom"/>
          </w:tcPr>
          <w:p w14:paraId="1D02687C"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87D" w14:textId="77777777" w:rsidR="004421F6" w:rsidRDefault="00F1562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bottom w:w="40" w:type="dxa"/>
              <w:right w:w="20" w:type="dxa"/>
            </w:tcMar>
            <w:vAlign w:val="bottom"/>
          </w:tcPr>
          <w:p w14:paraId="1D02687E"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87F" w14:textId="77777777" w:rsidR="004421F6" w:rsidRDefault="004421F6">
            <w:pPr>
              <w:rPr>
                <w:rFonts w:ascii="宋体"/>
              </w:rPr>
            </w:pPr>
          </w:p>
        </w:tc>
        <w:tc>
          <w:tcPr>
            <w:tcW w:w="0" w:type="auto"/>
            <w:shd w:val="clear" w:color="auto" w:fill="auto"/>
          </w:tcPr>
          <w:p w14:paraId="1D026880" w14:textId="77777777" w:rsidR="004421F6" w:rsidRDefault="004421F6">
            <w:pPr>
              <w:rPr>
                <w:rFonts w:ascii="宋体"/>
              </w:rPr>
            </w:pPr>
          </w:p>
        </w:tc>
        <w:tc>
          <w:tcPr>
            <w:tcW w:w="0" w:type="auto"/>
            <w:shd w:val="clear" w:color="auto" w:fill="auto"/>
          </w:tcPr>
          <w:p w14:paraId="1D026881" w14:textId="77777777" w:rsidR="004421F6" w:rsidRDefault="004421F6">
            <w:pPr>
              <w:rPr>
                <w:rFonts w:ascii="宋体"/>
              </w:rPr>
            </w:pPr>
          </w:p>
        </w:tc>
        <w:tc>
          <w:tcPr>
            <w:tcW w:w="0" w:type="auto"/>
            <w:shd w:val="clear" w:color="auto" w:fill="auto"/>
          </w:tcPr>
          <w:p w14:paraId="1D026882" w14:textId="77777777" w:rsidR="004421F6" w:rsidRDefault="004421F6">
            <w:pPr>
              <w:rPr>
                <w:rFonts w:ascii="宋体"/>
              </w:rPr>
            </w:pPr>
          </w:p>
        </w:tc>
        <w:tc>
          <w:tcPr>
            <w:tcW w:w="0" w:type="auto"/>
            <w:shd w:val="clear" w:color="auto" w:fill="auto"/>
          </w:tcPr>
          <w:p w14:paraId="1D026883" w14:textId="77777777" w:rsidR="004421F6" w:rsidRDefault="004421F6">
            <w:pPr>
              <w:rPr>
                <w:rFonts w:ascii="宋体"/>
              </w:rPr>
            </w:pPr>
          </w:p>
        </w:tc>
        <w:tc>
          <w:tcPr>
            <w:tcW w:w="0" w:type="auto"/>
            <w:shd w:val="clear" w:color="auto" w:fill="auto"/>
          </w:tcPr>
          <w:p w14:paraId="1D026884" w14:textId="77777777" w:rsidR="004421F6" w:rsidRDefault="004421F6">
            <w:pPr>
              <w:rPr>
                <w:rFonts w:ascii="宋体"/>
              </w:rPr>
            </w:pPr>
          </w:p>
        </w:tc>
        <w:tc>
          <w:tcPr>
            <w:tcW w:w="0" w:type="auto"/>
            <w:shd w:val="clear" w:color="auto" w:fill="auto"/>
          </w:tcPr>
          <w:p w14:paraId="1D026885" w14:textId="77777777" w:rsidR="004421F6" w:rsidRDefault="004421F6">
            <w:pPr>
              <w:rPr>
                <w:rFonts w:ascii="宋体"/>
              </w:rPr>
            </w:pPr>
          </w:p>
        </w:tc>
        <w:tc>
          <w:tcPr>
            <w:tcW w:w="0" w:type="auto"/>
            <w:shd w:val="clear" w:color="auto" w:fill="auto"/>
          </w:tcPr>
          <w:p w14:paraId="1D026886" w14:textId="77777777" w:rsidR="004421F6" w:rsidRDefault="004421F6">
            <w:pPr>
              <w:rPr>
                <w:rFonts w:ascii="宋体"/>
              </w:rPr>
            </w:pPr>
          </w:p>
        </w:tc>
        <w:tc>
          <w:tcPr>
            <w:tcW w:w="0" w:type="auto"/>
            <w:shd w:val="clear" w:color="auto" w:fill="auto"/>
          </w:tcPr>
          <w:p w14:paraId="1D026887" w14:textId="77777777" w:rsidR="004421F6" w:rsidRDefault="004421F6">
            <w:pPr>
              <w:rPr>
                <w:rFonts w:ascii="宋体"/>
              </w:rPr>
            </w:pPr>
          </w:p>
        </w:tc>
      </w:tr>
      <w:tr w:rsidR="004421F6" w14:paraId="1D02689B"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889" w14:textId="77777777" w:rsidR="004421F6" w:rsidRDefault="00F15622">
            <w:pPr>
              <w:textAlignment w:val="bottom"/>
            </w:pPr>
            <w:r>
              <w:rPr>
                <w:rFonts w:ascii="Arial" w:eastAsia="宋体" w:hAnsi="Arial" w:cs="Arial"/>
                <w:color w:val="000000"/>
                <w:sz w:val="17"/>
                <w:szCs w:val="17"/>
              </w:rPr>
              <w:t>Global Brand Divisions</w:t>
            </w:r>
            <w:r>
              <w:rPr>
                <w:rFonts w:ascii="Arial" w:eastAsia="宋体" w:hAnsi="Arial" w:cs="Arial"/>
                <w:color w:val="000000"/>
                <w:sz w:val="9"/>
                <w:szCs w:val="9"/>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88A" w14:textId="77777777" w:rsidR="004421F6" w:rsidRDefault="00F1562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FFF1E7"/>
            <w:tcMar>
              <w:top w:w="40" w:type="dxa"/>
              <w:bottom w:w="40" w:type="dxa"/>
              <w:right w:w="20" w:type="dxa"/>
            </w:tcMar>
            <w:vAlign w:val="bottom"/>
          </w:tcPr>
          <w:p w14:paraId="1D02688B"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88C" w14:textId="77777777" w:rsidR="004421F6" w:rsidRDefault="00F1562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bottom w:w="40" w:type="dxa"/>
              <w:right w:w="20" w:type="dxa"/>
            </w:tcMar>
            <w:vAlign w:val="bottom"/>
          </w:tcPr>
          <w:p w14:paraId="1D02688D"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88E" w14:textId="77777777" w:rsidR="004421F6" w:rsidRDefault="00F15622">
            <w:pPr>
              <w:jc w:val="right"/>
              <w:textAlignment w:val="bottom"/>
            </w:pPr>
            <w:r>
              <w:rPr>
                <w:rFonts w:ascii="Arial" w:eastAsia="宋体" w:hAnsi="Arial" w:cs="Arial"/>
                <w:color w:val="000000"/>
                <w:sz w:val="17"/>
                <w:szCs w:val="17"/>
              </w:rPr>
              <w:t>-33 </w:t>
            </w:r>
          </w:p>
        </w:tc>
        <w:tc>
          <w:tcPr>
            <w:tcW w:w="0" w:type="auto"/>
            <w:tcBorders>
              <w:top w:val="single" w:sz="8" w:space="0" w:color="808080"/>
            </w:tcBorders>
            <w:shd w:val="clear" w:color="auto" w:fill="auto"/>
            <w:tcMar>
              <w:top w:w="40" w:type="dxa"/>
              <w:bottom w:w="40" w:type="dxa"/>
              <w:right w:w="20" w:type="dxa"/>
            </w:tcMar>
            <w:vAlign w:val="bottom"/>
          </w:tcPr>
          <w:p w14:paraId="1D02688F"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890" w14:textId="77777777" w:rsidR="004421F6" w:rsidRDefault="00F15622">
            <w:pPr>
              <w:jc w:val="right"/>
              <w:textAlignment w:val="bottom"/>
            </w:pPr>
            <w:r>
              <w:rPr>
                <w:rFonts w:ascii="Arial" w:eastAsia="宋体" w:hAnsi="Arial" w:cs="Arial"/>
                <w:color w:val="000000"/>
                <w:sz w:val="17"/>
                <w:szCs w:val="17"/>
              </w:rPr>
              <w:t>-31 </w:t>
            </w:r>
          </w:p>
        </w:tc>
        <w:tc>
          <w:tcPr>
            <w:tcW w:w="0" w:type="auto"/>
            <w:tcBorders>
              <w:top w:val="single" w:sz="8" w:space="0" w:color="808080"/>
            </w:tcBorders>
            <w:shd w:val="clear" w:color="auto" w:fill="auto"/>
            <w:tcMar>
              <w:top w:w="40" w:type="dxa"/>
              <w:bottom w:w="40" w:type="dxa"/>
              <w:right w:w="20" w:type="dxa"/>
            </w:tcMar>
            <w:vAlign w:val="bottom"/>
          </w:tcPr>
          <w:p w14:paraId="1D026891"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892" w14:textId="77777777" w:rsidR="004421F6" w:rsidRDefault="004421F6">
            <w:pPr>
              <w:rPr>
                <w:rFonts w:ascii="宋体"/>
              </w:rPr>
            </w:pPr>
          </w:p>
        </w:tc>
        <w:tc>
          <w:tcPr>
            <w:tcW w:w="0" w:type="auto"/>
            <w:shd w:val="clear" w:color="auto" w:fill="auto"/>
          </w:tcPr>
          <w:p w14:paraId="1D026893" w14:textId="77777777" w:rsidR="004421F6" w:rsidRDefault="004421F6">
            <w:pPr>
              <w:rPr>
                <w:rFonts w:ascii="宋体"/>
              </w:rPr>
            </w:pPr>
          </w:p>
        </w:tc>
        <w:tc>
          <w:tcPr>
            <w:tcW w:w="0" w:type="auto"/>
            <w:shd w:val="clear" w:color="auto" w:fill="auto"/>
          </w:tcPr>
          <w:p w14:paraId="1D026894" w14:textId="77777777" w:rsidR="004421F6" w:rsidRDefault="004421F6">
            <w:pPr>
              <w:rPr>
                <w:rFonts w:ascii="宋体"/>
              </w:rPr>
            </w:pPr>
          </w:p>
        </w:tc>
        <w:tc>
          <w:tcPr>
            <w:tcW w:w="0" w:type="auto"/>
            <w:shd w:val="clear" w:color="auto" w:fill="auto"/>
          </w:tcPr>
          <w:p w14:paraId="1D026895" w14:textId="77777777" w:rsidR="004421F6" w:rsidRDefault="004421F6">
            <w:pPr>
              <w:rPr>
                <w:rFonts w:ascii="宋体"/>
              </w:rPr>
            </w:pPr>
          </w:p>
        </w:tc>
        <w:tc>
          <w:tcPr>
            <w:tcW w:w="0" w:type="auto"/>
            <w:shd w:val="clear" w:color="auto" w:fill="auto"/>
          </w:tcPr>
          <w:p w14:paraId="1D026896" w14:textId="77777777" w:rsidR="004421F6" w:rsidRDefault="004421F6">
            <w:pPr>
              <w:rPr>
                <w:rFonts w:ascii="宋体"/>
              </w:rPr>
            </w:pPr>
          </w:p>
        </w:tc>
        <w:tc>
          <w:tcPr>
            <w:tcW w:w="0" w:type="auto"/>
            <w:shd w:val="clear" w:color="auto" w:fill="auto"/>
          </w:tcPr>
          <w:p w14:paraId="1D026897" w14:textId="77777777" w:rsidR="004421F6" w:rsidRDefault="004421F6">
            <w:pPr>
              <w:rPr>
                <w:rFonts w:ascii="宋体"/>
              </w:rPr>
            </w:pPr>
          </w:p>
        </w:tc>
        <w:tc>
          <w:tcPr>
            <w:tcW w:w="0" w:type="auto"/>
            <w:shd w:val="clear" w:color="auto" w:fill="auto"/>
          </w:tcPr>
          <w:p w14:paraId="1D026898" w14:textId="77777777" w:rsidR="004421F6" w:rsidRDefault="004421F6">
            <w:pPr>
              <w:rPr>
                <w:rFonts w:ascii="宋体"/>
              </w:rPr>
            </w:pPr>
          </w:p>
        </w:tc>
        <w:tc>
          <w:tcPr>
            <w:tcW w:w="0" w:type="auto"/>
            <w:shd w:val="clear" w:color="auto" w:fill="auto"/>
          </w:tcPr>
          <w:p w14:paraId="1D026899" w14:textId="77777777" w:rsidR="004421F6" w:rsidRDefault="004421F6">
            <w:pPr>
              <w:rPr>
                <w:rFonts w:ascii="宋体"/>
              </w:rPr>
            </w:pPr>
          </w:p>
        </w:tc>
        <w:tc>
          <w:tcPr>
            <w:tcW w:w="0" w:type="auto"/>
            <w:shd w:val="clear" w:color="auto" w:fill="auto"/>
          </w:tcPr>
          <w:p w14:paraId="1D02689A" w14:textId="77777777" w:rsidR="004421F6" w:rsidRDefault="004421F6">
            <w:pPr>
              <w:rPr>
                <w:rFonts w:ascii="宋体"/>
              </w:rPr>
            </w:pPr>
          </w:p>
        </w:tc>
      </w:tr>
      <w:tr w:rsidR="004421F6" w14:paraId="1D0268A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89C" w14:textId="77777777" w:rsidR="004421F6" w:rsidRDefault="00F15622">
            <w:pPr>
              <w:textAlignment w:val="bottom"/>
            </w:pPr>
            <w:r>
              <w:rPr>
                <w:rFonts w:ascii="Arial" w:eastAsia="宋体" w:hAnsi="Arial" w:cs="Arial"/>
                <w:b/>
                <w:bCs/>
                <w:color w:val="000000"/>
                <w:sz w:val="17"/>
                <w:szCs w:val="17"/>
              </w:rPr>
              <w:t>Total NIKE Brand Revenues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689D" w14:textId="77777777" w:rsidR="004421F6" w:rsidRDefault="00F15622">
            <w:pPr>
              <w:jc w:val="right"/>
              <w:textAlignment w:val="bottom"/>
            </w:pPr>
            <w:r>
              <w:rPr>
                <w:rFonts w:ascii="Arial" w:eastAsia="宋体" w:hAnsi="Arial" w:cs="Arial"/>
                <w:b/>
                <w:bCs/>
                <w:color w:val="000000"/>
                <w:sz w:val="17"/>
                <w:szCs w:val="17"/>
              </w:rPr>
              <w:t>10,018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89E"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89F" w14:textId="77777777" w:rsidR="004421F6" w:rsidRDefault="00F15622">
            <w:pPr>
              <w:jc w:val="right"/>
              <w:textAlignment w:val="bottom"/>
            </w:pPr>
            <w:r>
              <w:rPr>
                <w:rFonts w:ascii="Arial" w:eastAsia="宋体" w:hAnsi="Arial" w:cs="Arial"/>
                <w:b/>
                <w:bCs/>
                <w:color w:val="000000"/>
                <w:sz w:val="17"/>
                <w:szCs w:val="17"/>
              </w:rPr>
              <w:t>10,096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8A0"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8A1" w14:textId="77777777" w:rsidR="004421F6" w:rsidRDefault="00F1562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8A2"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8A3" w14:textId="77777777" w:rsidR="004421F6" w:rsidRDefault="00F15622">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8A4"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68A5" w14:textId="77777777" w:rsidR="004421F6" w:rsidRDefault="004421F6">
            <w:pPr>
              <w:rPr>
                <w:rFonts w:ascii="宋体"/>
              </w:rPr>
            </w:pPr>
          </w:p>
        </w:tc>
        <w:tc>
          <w:tcPr>
            <w:tcW w:w="0" w:type="auto"/>
            <w:shd w:val="clear" w:color="auto" w:fill="auto"/>
          </w:tcPr>
          <w:p w14:paraId="1D0268A6" w14:textId="77777777" w:rsidR="004421F6" w:rsidRDefault="004421F6">
            <w:pPr>
              <w:rPr>
                <w:rFonts w:ascii="宋体"/>
              </w:rPr>
            </w:pPr>
          </w:p>
        </w:tc>
        <w:tc>
          <w:tcPr>
            <w:tcW w:w="0" w:type="auto"/>
            <w:shd w:val="clear" w:color="auto" w:fill="auto"/>
          </w:tcPr>
          <w:p w14:paraId="1D0268A7" w14:textId="77777777" w:rsidR="004421F6" w:rsidRDefault="004421F6">
            <w:pPr>
              <w:rPr>
                <w:rFonts w:ascii="宋体"/>
              </w:rPr>
            </w:pPr>
          </w:p>
        </w:tc>
        <w:tc>
          <w:tcPr>
            <w:tcW w:w="0" w:type="auto"/>
            <w:shd w:val="clear" w:color="auto" w:fill="auto"/>
          </w:tcPr>
          <w:p w14:paraId="1D0268A8" w14:textId="77777777" w:rsidR="004421F6" w:rsidRDefault="004421F6">
            <w:pPr>
              <w:rPr>
                <w:rFonts w:ascii="宋体"/>
              </w:rPr>
            </w:pPr>
          </w:p>
        </w:tc>
        <w:tc>
          <w:tcPr>
            <w:tcW w:w="0" w:type="auto"/>
            <w:shd w:val="clear" w:color="auto" w:fill="auto"/>
          </w:tcPr>
          <w:p w14:paraId="1D0268A9" w14:textId="77777777" w:rsidR="004421F6" w:rsidRDefault="004421F6">
            <w:pPr>
              <w:rPr>
                <w:rFonts w:ascii="宋体"/>
              </w:rPr>
            </w:pPr>
          </w:p>
        </w:tc>
        <w:tc>
          <w:tcPr>
            <w:tcW w:w="0" w:type="auto"/>
            <w:shd w:val="clear" w:color="auto" w:fill="auto"/>
          </w:tcPr>
          <w:p w14:paraId="1D0268AA" w14:textId="77777777" w:rsidR="004421F6" w:rsidRDefault="004421F6">
            <w:pPr>
              <w:rPr>
                <w:rFonts w:ascii="宋体"/>
              </w:rPr>
            </w:pPr>
          </w:p>
        </w:tc>
        <w:tc>
          <w:tcPr>
            <w:tcW w:w="0" w:type="auto"/>
            <w:shd w:val="clear" w:color="auto" w:fill="auto"/>
          </w:tcPr>
          <w:p w14:paraId="1D0268AB" w14:textId="77777777" w:rsidR="004421F6" w:rsidRDefault="004421F6">
            <w:pPr>
              <w:rPr>
                <w:rFonts w:ascii="宋体"/>
              </w:rPr>
            </w:pPr>
          </w:p>
        </w:tc>
        <w:tc>
          <w:tcPr>
            <w:tcW w:w="0" w:type="auto"/>
            <w:shd w:val="clear" w:color="auto" w:fill="auto"/>
          </w:tcPr>
          <w:p w14:paraId="1D0268AC" w14:textId="77777777" w:rsidR="004421F6" w:rsidRDefault="004421F6">
            <w:pPr>
              <w:rPr>
                <w:rFonts w:ascii="宋体"/>
              </w:rPr>
            </w:pPr>
          </w:p>
        </w:tc>
        <w:tc>
          <w:tcPr>
            <w:tcW w:w="0" w:type="auto"/>
            <w:shd w:val="clear" w:color="auto" w:fill="auto"/>
          </w:tcPr>
          <w:p w14:paraId="1D0268AD" w14:textId="77777777" w:rsidR="004421F6" w:rsidRDefault="004421F6">
            <w:pPr>
              <w:rPr>
                <w:rFonts w:ascii="宋体"/>
              </w:rPr>
            </w:pPr>
          </w:p>
        </w:tc>
      </w:tr>
      <w:tr w:rsidR="004421F6" w14:paraId="1D0268C1" w14:textId="77777777">
        <w:tc>
          <w:tcPr>
            <w:tcW w:w="0" w:type="auto"/>
            <w:gridSpan w:val="3"/>
            <w:tcBorders>
              <w:top w:val="single" w:sz="8" w:space="0" w:color="E87722"/>
            </w:tcBorders>
            <w:shd w:val="clear" w:color="auto" w:fill="auto"/>
            <w:tcMar>
              <w:top w:w="40" w:type="dxa"/>
              <w:left w:w="135" w:type="dxa"/>
              <w:bottom w:w="40" w:type="dxa"/>
              <w:right w:w="20" w:type="dxa"/>
            </w:tcMar>
            <w:vAlign w:val="bottom"/>
          </w:tcPr>
          <w:p w14:paraId="1D0268AF" w14:textId="77777777" w:rsidR="004421F6" w:rsidRDefault="00F15622">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68B0" w14:textId="77777777" w:rsidR="004421F6" w:rsidRDefault="00F15622">
            <w:pPr>
              <w:jc w:val="right"/>
              <w:textAlignment w:val="bottom"/>
            </w:pPr>
            <w:r>
              <w:rPr>
                <w:rFonts w:ascii="Arial" w:eastAsia="宋体" w:hAnsi="Arial" w:cs="Arial"/>
                <w:color w:val="000000"/>
                <w:sz w:val="17"/>
                <w:szCs w:val="17"/>
              </w:rPr>
              <w:t>563 </w:t>
            </w:r>
          </w:p>
        </w:tc>
        <w:tc>
          <w:tcPr>
            <w:tcW w:w="0" w:type="auto"/>
            <w:tcBorders>
              <w:top w:val="single" w:sz="8" w:space="0" w:color="E87722"/>
            </w:tcBorders>
            <w:shd w:val="clear" w:color="auto" w:fill="FFF1E7"/>
            <w:tcMar>
              <w:top w:w="40" w:type="dxa"/>
              <w:bottom w:w="40" w:type="dxa"/>
              <w:right w:w="20" w:type="dxa"/>
            </w:tcMar>
            <w:vAlign w:val="bottom"/>
          </w:tcPr>
          <w:p w14:paraId="1D0268B1"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8B2" w14:textId="77777777" w:rsidR="004421F6" w:rsidRDefault="00F15622">
            <w:pPr>
              <w:jc w:val="right"/>
              <w:textAlignment w:val="bottom"/>
            </w:pPr>
            <w:r>
              <w:rPr>
                <w:rFonts w:ascii="Arial" w:eastAsia="宋体" w:hAnsi="Arial" w:cs="Arial"/>
                <w:color w:val="000000"/>
                <w:sz w:val="17"/>
                <w:szCs w:val="17"/>
              </w:rPr>
              <w:t>555 </w:t>
            </w:r>
          </w:p>
        </w:tc>
        <w:tc>
          <w:tcPr>
            <w:tcW w:w="0" w:type="auto"/>
            <w:tcBorders>
              <w:top w:val="single" w:sz="8" w:space="0" w:color="E87722"/>
            </w:tcBorders>
            <w:shd w:val="clear" w:color="auto" w:fill="auto"/>
            <w:tcMar>
              <w:top w:w="40" w:type="dxa"/>
              <w:bottom w:w="40" w:type="dxa"/>
              <w:right w:w="20" w:type="dxa"/>
            </w:tcMar>
            <w:vAlign w:val="bottom"/>
          </w:tcPr>
          <w:p w14:paraId="1D0268B3"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8B4"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bottom w:w="40" w:type="dxa"/>
              <w:right w:w="20" w:type="dxa"/>
            </w:tcMar>
            <w:vAlign w:val="bottom"/>
          </w:tcPr>
          <w:p w14:paraId="1D0268B5"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8B6" w14:textId="77777777" w:rsidR="004421F6" w:rsidRDefault="00F15622">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bottom w:w="40" w:type="dxa"/>
              <w:right w:w="20" w:type="dxa"/>
            </w:tcMar>
            <w:vAlign w:val="bottom"/>
          </w:tcPr>
          <w:p w14:paraId="1D0268B7"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8B8" w14:textId="77777777" w:rsidR="004421F6" w:rsidRDefault="004421F6">
            <w:pPr>
              <w:rPr>
                <w:rFonts w:ascii="宋体"/>
              </w:rPr>
            </w:pPr>
          </w:p>
        </w:tc>
        <w:tc>
          <w:tcPr>
            <w:tcW w:w="0" w:type="auto"/>
            <w:shd w:val="clear" w:color="auto" w:fill="auto"/>
          </w:tcPr>
          <w:p w14:paraId="1D0268B9" w14:textId="77777777" w:rsidR="004421F6" w:rsidRDefault="004421F6">
            <w:pPr>
              <w:rPr>
                <w:rFonts w:ascii="宋体"/>
              </w:rPr>
            </w:pPr>
          </w:p>
        </w:tc>
        <w:tc>
          <w:tcPr>
            <w:tcW w:w="0" w:type="auto"/>
            <w:shd w:val="clear" w:color="auto" w:fill="auto"/>
          </w:tcPr>
          <w:p w14:paraId="1D0268BA" w14:textId="77777777" w:rsidR="004421F6" w:rsidRDefault="004421F6">
            <w:pPr>
              <w:rPr>
                <w:rFonts w:ascii="宋体"/>
              </w:rPr>
            </w:pPr>
          </w:p>
        </w:tc>
        <w:tc>
          <w:tcPr>
            <w:tcW w:w="0" w:type="auto"/>
            <w:shd w:val="clear" w:color="auto" w:fill="auto"/>
          </w:tcPr>
          <w:p w14:paraId="1D0268BB" w14:textId="77777777" w:rsidR="004421F6" w:rsidRDefault="004421F6">
            <w:pPr>
              <w:rPr>
                <w:rFonts w:ascii="宋体"/>
              </w:rPr>
            </w:pPr>
          </w:p>
        </w:tc>
        <w:tc>
          <w:tcPr>
            <w:tcW w:w="0" w:type="auto"/>
            <w:shd w:val="clear" w:color="auto" w:fill="auto"/>
          </w:tcPr>
          <w:p w14:paraId="1D0268BC" w14:textId="77777777" w:rsidR="004421F6" w:rsidRDefault="004421F6">
            <w:pPr>
              <w:rPr>
                <w:rFonts w:ascii="宋体"/>
              </w:rPr>
            </w:pPr>
          </w:p>
        </w:tc>
        <w:tc>
          <w:tcPr>
            <w:tcW w:w="0" w:type="auto"/>
            <w:shd w:val="clear" w:color="auto" w:fill="auto"/>
          </w:tcPr>
          <w:p w14:paraId="1D0268BD" w14:textId="77777777" w:rsidR="004421F6" w:rsidRDefault="004421F6">
            <w:pPr>
              <w:rPr>
                <w:rFonts w:ascii="宋体"/>
              </w:rPr>
            </w:pPr>
          </w:p>
        </w:tc>
        <w:tc>
          <w:tcPr>
            <w:tcW w:w="0" w:type="auto"/>
            <w:shd w:val="clear" w:color="auto" w:fill="auto"/>
          </w:tcPr>
          <w:p w14:paraId="1D0268BE" w14:textId="77777777" w:rsidR="004421F6" w:rsidRDefault="004421F6">
            <w:pPr>
              <w:rPr>
                <w:rFonts w:ascii="宋体"/>
              </w:rPr>
            </w:pPr>
          </w:p>
        </w:tc>
        <w:tc>
          <w:tcPr>
            <w:tcW w:w="0" w:type="auto"/>
            <w:shd w:val="clear" w:color="auto" w:fill="auto"/>
          </w:tcPr>
          <w:p w14:paraId="1D0268BF" w14:textId="77777777" w:rsidR="004421F6" w:rsidRDefault="004421F6">
            <w:pPr>
              <w:rPr>
                <w:rFonts w:ascii="宋体"/>
              </w:rPr>
            </w:pPr>
          </w:p>
        </w:tc>
        <w:tc>
          <w:tcPr>
            <w:tcW w:w="0" w:type="auto"/>
            <w:shd w:val="clear" w:color="auto" w:fill="auto"/>
          </w:tcPr>
          <w:p w14:paraId="1D0268C0" w14:textId="77777777" w:rsidR="004421F6" w:rsidRDefault="004421F6">
            <w:pPr>
              <w:rPr>
                <w:rFonts w:ascii="宋体"/>
              </w:rPr>
            </w:pPr>
          </w:p>
        </w:tc>
      </w:tr>
      <w:tr w:rsidR="004421F6" w14:paraId="1D0268D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8C2" w14:textId="77777777" w:rsidR="004421F6" w:rsidRDefault="00F15622">
            <w:pPr>
              <w:textAlignment w:val="bottom"/>
            </w:pPr>
            <w:r>
              <w:rPr>
                <w:rFonts w:ascii="Arial" w:eastAsia="宋体" w:hAnsi="Arial" w:cs="Arial"/>
                <w:color w:val="000000"/>
                <w:sz w:val="17"/>
                <w:szCs w:val="17"/>
              </w:rPr>
              <w:t>Corporate</w:t>
            </w:r>
            <w:r>
              <w:rPr>
                <w:rFonts w:ascii="Arial" w:eastAsia="宋体" w:hAnsi="Arial" w:cs="Arial"/>
                <w:color w:val="000000"/>
                <w:sz w:val="9"/>
                <w:szCs w:val="9"/>
              </w:rPr>
              <w:t>(3)</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8C3" w14:textId="77777777" w:rsidR="004421F6" w:rsidRDefault="00F15622">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FFF1E7"/>
            <w:tcMar>
              <w:top w:w="40" w:type="dxa"/>
              <w:bottom w:w="40" w:type="dxa"/>
              <w:right w:w="20" w:type="dxa"/>
            </w:tcMar>
            <w:vAlign w:val="bottom"/>
          </w:tcPr>
          <w:p w14:paraId="1D0268C4"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8C5" w14:textId="77777777" w:rsidR="004421F6" w:rsidRDefault="00F1562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bottom w:w="40" w:type="dxa"/>
              <w:right w:w="20" w:type="dxa"/>
            </w:tcMar>
            <w:vAlign w:val="bottom"/>
          </w:tcPr>
          <w:p w14:paraId="1D0268C6"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8C7"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8C8"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8C9"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8CA" w14:textId="77777777" w:rsidR="004421F6" w:rsidRDefault="004421F6">
            <w:pPr>
              <w:jc w:val="right"/>
              <w:rPr>
                <w:rFonts w:ascii="宋体"/>
              </w:rPr>
            </w:pPr>
          </w:p>
        </w:tc>
        <w:tc>
          <w:tcPr>
            <w:tcW w:w="0" w:type="auto"/>
            <w:shd w:val="clear" w:color="auto" w:fill="auto"/>
          </w:tcPr>
          <w:p w14:paraId="1D0268CB" w14:textId="77777777" w:rsidR="004421F6" w:rsidRDefault="004421F6">
            <w:pPr>
              <w:rPr>
                <w:rFonts w:ascii="宋体"/>
              </w:rPr>
            </w:pPr>
          </w:p>
        </w:tc>
        <w:tc>
          <w:tcPr>
            <w:tcW w:w="0" w:type="auto"/>
            <w:shd w:val="clear" w:color="auto" w:fill="auto"/>
          </w:tcPr>
          <w:p w14:paraId="1D0268CC" w14:textId="77777777" w:rsidR="004421F6" w:rsidRDefault="004421F6">
            <w:pPr>
              <w:rPr>
                <w:rFonts w:ascii="宋体"/>
              </w:rPr>
            </w:pPr>
          </w:p>
        </w:tc>
        <w:tc>
          <w:tcPr>
            <w:tcW w:w="0" w:type="auto"/>
            <w:shd w:val="clear" w:color="auto" w:fill="auto"/>
          </w:tcPr>
          <w:p w14:paraId="1D0268CD" w14:textId="77777777" w:rsidR="004421F6" w:rsidRDefault="004421F6">
            <w:pPr>
              <w:rPr>
                <w:rFonts w:ascii="宋体"/>
              </w:rPr>
            </w:pPr>
          </w:p>
        </w:tc>
        <w:tc>
          <w:tcPr>
            <w:tcW w:w="0" w:type="auto"/>
            <w:shd w:val="clear" w:color="auto" w:fill="auto"/>
          </w:tcPr>
          <w:p w14:paraId="1D0268CE" w14:textId="77777777" w:rsidR="004421F6" w:rsidRDefault="004421F6">
            <w:pPr>
              <w:rPr>
                <w:rFonts w:ascii="宋体"/>
              </w:rPr>
            </w:pPr>
          </w:p>
        </w:tc>
        <w:tc>
          <w:tcPr>
            <w:tcW w:w="0" w:type="auto"/>
            <w:shd w:val="clear" w:color="auto" w:fill="auto"/>
          </w:tcPr>
          <w:p w14:paraId="1D0268CF" w14:textId="77777777" w:rsidR="004421F6" w:rsidRDefault="004421F6">
            <w:pPr>
              <w:rPr>
                <w:rFonts w:ascii="宋体"/>
              </w:rPr>
            </w:pPr>
          </w:p>
        </w:tc>
        <w:tc>
          <w:tcPr>
            <w:tcW w:w="0" w:type="auto"/>
            <w:shd w:val="clear" w:color="auto" w:fill="auto"/>
          </w:tcPr>
          <w:p w14:paraId="1D0268D0" w14:textId="77777777" w:rsidR="004421F6" w:rsidRDefault="004421F6">
            <w:pPr>
              <w:rPr>
                <w:rFonts w:ascii="宋体"/>
              </w:rPr>
            </w:pPr>
          </w:p>
        </w:tc>
        <w:tc>
          <w:tcPr>
            <w:tcW w:w="0" w:type="auto"/>
            <w:shd w:val="clear" w:color="auto" w:fill="auto"/>
          </w:tcPr>
          <w:p w14:paraId="1D0268D1" w14:textId="77777777" w:rsidR="004421F6" w:rsidRDefault="004421F6">
            <w:pPr>
              <w:rPr>
                <w:rFonts w:ascii="宋体"/>
              </w:rPr>
            </w:pPr>
          </w:p>
        </w:tc>
        <w:tc>
          <w:tcPr>
            <w:tcW w:w="0" w:type="auto"/>
            <w:shd w:val="clear" w:color="auto" w:fill="auto"/>
          </w:tcPr>
          <w:p w14:paraId="1D0268D2" w14:textId="77777777" w:rsidR="004421F6" w:rsidRDefault="004421F6">
            <w:pPr>
              <w:rPr>
                <w:rFonts w:ascii="宋体"/>
              </w:rPr>
            </w:pPr>
          </w:p>
        </w:tc>
        <w:tc>
          <w:tcPr>
            <w:tcW w:w="0" w:type="auto"/>
            <w:shd w:val="clear" w:color="auto" w:fill="auto"/>
          </w:tcPr>
          <w:p w14:paraId="1D0268D3" w14:textId="77777777" w:rsidR="004421F6" w:rsidRDefault="004421F6">
            <w:pPr>
              <w:rPr>
                <w:rFonts w:ascii="宋体"/>
              </w:rPr>
            </w:pPr>
          </w:p>
        </w:tc>
      </w:tr>
      <w:tr w:rsidR="004421F6" w14:paraId="1D0268E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8D5" w14:textId="77777777" w:rsidR="004421F6" w:rsidRDefault="00F15622">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tcMar>
            <w:vAlign w:val="bottom"/>
          </w:tcPr>
          <w:p w14:paraId="1D0268D6"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8D7" w14:textId="77777777" w:rsidR="004421F6" w:rsidRDefault="00F15622">
            <w:pPr>
              <w:jc w:val="right"/>
              <w:textAlignment w:val="bottom"/>
            </w:pPr>
            <w:r>
              <w:rPr>
                <w:rFonts w:ascii="Arial" w:eastAsia="宋体" w:hAnsi="Arial" w:cs="Arial"/>
                <w:b/>
                <w:bCs/>
                <w:color w:val="000000"/>
                <w:sz w:val="17"/>
                <w:szCs w:val="17"/>
              </w:rPr>
              <w:t>10,594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8D8"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8D9"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8DA" w14:textId="77777777" w:rsidR="004421F6" w:rsidRDefault="00F15622">
            <w:pPr>
              <w:jc w:val="right"/>
              <w:textAlignment w:val="bottom"/>
            </w:pPr>
            <w:r>
              <w:rPr>
                <w:rFonts w:ascii="Arial" w:eastAsia="宋体" w:hAnsi="Arial" w:cs="Arial"/>
                <w:b/>
                <w:bCs/>
                <w:color w:val="000000"/>
                <w:sz w:val="17"/>
                <w:szCs w:val="17"/>
              </w:rPr>
              <w:t>10,660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8DB"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8DC" w14:textId="77777777" w:rsidR="004421F6" w:rsidRDefault="00F1562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8DD"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8DE" w14:textId="77777777" w:rsidR="004421F6" w:rsidRDefault="00F15622">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8DF"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68E0" w14:textId="77777777" w:rsidR="004421F6" w:rsidRDefault="004421F6">
            <w:pPr>
              <w:rPr>
                <w:rFonts w:ascii="宋体"/>
              </w:rPr>
            </w:pPr>
          </w:p>
        </w:tc>
        <w:tc>
          <w:tcPr>
            <w:tcW w:w="0" w:type="auto"/>
            <w:shd w:val="clear" w:color="auto" w:fill="auto"/>
          </w:tcPr>
          <w:p w14:paraId="1D0268E1" w14:textId="77777777" w:rsidR="004421F6" w:rsidRDefault="004421F6">
            <w:pPr>
              <w:rPr>
                <w:rFonts w:ascii="宋体"/>
              </w:rPr>
            </w:pPr>
          </w:p>
        </w:tc>
        <w:tc>
          <w:tcPr>
            <w:tcW w:w="0" w:type="auto"/>
            <w:shd w:val="clear" w:color="auto" w:fill="auto"/>
          </w:tcPr>
          <w:p w14:paraId="1D0268E2" w14:textId="77777777" w:rsidR="004421F6" w:rsidRDefault="004421F6">
            <w:pPr>
              <w:rPr>
                <w:rFonts w:ascii="宋体"/>
              </w:rPr>
            </w:pPr>
          </w:p>
        </w:tc>
        <w:tc>
          <w:tcPr>
            <w:tcW w:w="0" w:type="auto"/>
            <w:shd w:val="clear" w:color="auto" w:fill="auto"/>
          </w:tcPr>
          <w:p w14:paraId="1D0268E3" w14:textId="77777777" w:rsidR="004421F6" w:rsidRDefault="004421F6">
            <w:pPr>
              <w:rPr>
                <w:rFonts w:ascii="宋体"/>
              </w:rPr>
            </w:pPr>
          </w:p>
        </w:tc>
        <w:tc>
          <w:tcPr>
            <w:tcW w:w="0" w:type="auto"/>
            <w:shd w:val="clear" w:color="auto" w:fill="auto"/>
          </w:tcPr>
          <w:p w14:paraId="1D0268E4" w14:textId="77777777" w:rsidR="004421F6" w:rsidRDefault="004421F6">
            <w:pPr>
              <w:rPr>
                <w:rFonts w:ascii="宋体"/>
              </w:rPr>
            </w:pPr>
          </w:p>
        </w:tc>
        <w:tc>
          <w:tcPr>
            <w:tcW w:w="0" w:type="auto"/>
            <w:shd w:val="clear" w:color="auto" w:fill="auto"/>
          </w:tcPr>
          <w:p w14:paraId="1D0268E5" w14:textId="77777777" w:rsidR="004421F6" w:rsidRDefault="004421F6">
            <w:pPr>
              <w:rPr>
                <w:rFonts w:ascii="宋体"/>
              </w:rPr>
            </w:pPr>
          </w:p>
        </w:tc>
        <w:tc>
          <w:tcPr>
            <w:tcW w:w="0" w:type="auto"/>
            <w:shd w:val="clear" w:color="auto" w:fill="auto"/>
          </w:tcPr>
          <w:p w14:paraId="1D0268E6" w14:textId="77777777" w:rsidR="004421F6" w:rsidRDefault="004421F6">
            <w:pPr>
              <w:rPr>
                <w:rFonts w:ascii="宋体"/>
              </w:rPr>
            </w:pPr>
          </w:p>
        </w:tc>
        <w:tc>
          <w:tcPr>
            <w:tcW w:w="0" w:type="auto"/>
            <w:shd w:val="clear" w:color="auto" w:fill="auto"/>
          </w:tcPr>
          <w:p w14:paraId="1D0268E7" w14:textId="77777777" w:rsidR="004421F6" w:rsidRDefault="004421F6">
            <w:pPr>
              <w:rPr>
                <w:rFonts w:ascii="宋体"/>
              </w:rPr>
            </w:pPr>
          </w:p>
        </w:tc>
        <w:tc>
          <w:tcPr>
            <w:tcW w:w="0" w:type="auto"/>
            <w:shd w:val="clear" w:color="auto" w:fill="auto"/>
          </w:tcPr>
          <w:p w14:paraId="1D0268E8" w14:textId="77777777" w:rsidR="004421F6" w:rsidRDefault="004421F6">
            <w:pPr>
              <w:rPr>
                <w:rFonts w:ascii="宋体"/>
              </w:rPr>
            </w:pPr>
          </w:p>
        </w:tc>
      </w:tr>
      <w:tr w:rsidR="004421F6" w14:paraId="1D0268F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8EA" w14:textId="77777777" w:rsidR="004421F6" w:rsidRDefault="00F15622">
            <w:pPr>
              <w:textAlignment w:val="bottom"/>
            </w:pPr>
            <w:r>
              <w:rPr>
                <w:rFonts w:ascii="Arial" w:eastAsia="宋体" w:hAnsi="Arial" w:cs="Arial"/>
                <w:b/>
                <w:bCs/>
                <w:i/>
                <w:iCs/>
                <w:color w:val="000000"/>
                <w:sz w:val="17"/>
                <w:szCs w:val="17"/>
              </w:rPr>
              <w:t>Supplemental NIKE Brand Revenues Details:</w:t>
            </w:r>
          </w:p>
        </w:tc>
        <w:tc>
          <w:tcPr>
            <w:tcW w:w="0" w:type="auto"/>
            <w:gridSpan w:val="3"/>
            <w:tcBorders>
              <w:top w:val="single" w:sz="8" w:space="0" w:color="E87722"/>
            </w:tcBorders>
            <w:shd w:val="clear" w:color="auto" w:fill="FFF1E7"/>
            <w:tcMar>
              <w:left w:w="20" w:type="dxa"/>
              <w:right w:w="20" w:type="dxa"/>
            </w:tcMar>
            <w:vAlign w:val="bottom"/>
          </w:tcPr>
          <w:p w14:paraId="1D0268EB"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8EC"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8ED"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8EE" w14:textId="77777777" w:rsidR="004421F6" w:rsidRDefault="004421F6">
            <w:pPr>
              <w:rPr>
                <w:rFonts w:ascii="宋体"/>
              </w:rPr>
            </w:pPr>
          </w:p>
        </w:tc>
        <w:tc>
          <w:tcPr>
            <w:tcW w:w="0" w:type="auto"/>
            <w:shd w:val="clear" w:color="auto" w:fill="auto"/>
          </w:tcPr>
          <w:p w14:paraId="1D0268EF" w14:textId="77777777" w:rsidR="004421F6" w:rsidRDefault="004421F6">
            <w:pPr>
              <w:rPr>
                <w:rFonts w:ascii="宋体"/>
              </w:rPr>
            </w:pPr>
          </w:p>
        </w:tc>
        <w:tc>
          <w:tcPr>
            <w:tcW w:w="0" w:type="auto"/>
            <w:shd w:val="clear" w:color="auto" w:fill="auto"/>
          </w:tcPr>
          <w:p w14:paraId="1D0268F0" w14:textId="77777777" w:rsidR="004421F6" w:rsidRDefault="004421F6">
            <w:pPr>
              <w:rPr>
                <w:rFonts w:ascii="宋体"/>
              </w:rPr>
            </w:pPr>
          </w:p>
        </w:tc>
        <w:tc>
          <w:tcPr>
            <w:tcW w:w="0" w:type="auto"/>
            <w:shd w:val="clear" w:color="auto" w:fill="auto"/>
          </w:tcPr>
          <w:p w14:paraId="1D0268F1" w14:textId="77777777" w:rsidR="004421F6" w:rsidRDefault="004421F6">
            <w:pPr>
              <w:rPr>
                <w:rFonts w:ascii="宋体"/>
              </w:rPr>
            </w:pPr>
          </w:p>
        </w:tc>
        <w:tc>
          <w:tcPr>
            <w:tcW w:w="0" w:type="auto"/>
            <w:shd w:val="clear" w:color="auto" w:fill="auto"/>
          </w:tcPr>
          <w:p w14:paraId="1D0268F2" w14:textId="77777777" w:rsidR="004421F6" w:rsidRDefault="004421F6">
            <w:pPr>
              <w:rPr>
                <w:rFonts w:ascii="宋体"/>
              </w:rPr>
            </w:pPr>
          </w:p>
        </w:tc>
        <w:tc>
          <w:tcPr>
            <w:tcW w:w="0" w:type="auto"/>
            <w:shd w:val="clear" w:color="auto" w:fill="auto"/>
          </w:tcPr>
          <w:p w14:paraId="1D0268F3" w14:textId="77777777" w:rsidR="004421F6" w:rsidRDefault="004421F6">
            <w:pPr>
              <w:rPr>
                <w:rFonts w:ascii="宋体"/>
              </w:rPr>
            </w:pPr>
          </w:p>
        </w:tc>
        <w:tc>
          <w:tcPr>
            <w:tcW w:w="0" w:type="auto"/>
            <w:shd w:val="clear" w:color="auto" w:fill="auto"/>
          </w:tcPr>
          <w:p w14:paraId="1D0268F4" w14:textId="77777777" w:rsidR="004421F6" w:rsidRDefault="004421F6">
            <w:pPr>
              <w:rPr>
                <w:rFonts w:ascii="宋体"/>
              </w:rPr>
            </w:pPr>
          </w:p>
        </w:tc>
        <w:tc>
          <w:tcPr>
            <w:tcW w:w="0" w:type="auto"/>
            <w:shd w:val="clear" w:color="auto" w:fill="auto"/>
          </w:tcPr>
          <w:p w14:paraId="1D0268F5" w14:textId="77777777" w:rsidR="004421F6" w:rsidRDefault="004421F6">
            <w:pPr>
              <w:rPr>
                <w:rFonts w:ascii="宋体"/>
              </w:rPr>
            </w:pPr>
          </w:p>
        </w:tc>
        <w:tc>
          <w:tcPr>
            <w:tcW w:w="0" w:type="auto"/>
            <w:shd w:val="clear" w:color="auto" w:fill="auto"/>
          </w:tcPr>
          <w:p w14:paraId="1D0268F6" w14:textId="77777777" w:rsidR="004421F6" w:rsidRDefault="004421F6">
            <w:pPr>
              <w:rPr>
                <w:rFonts w:ascii="宋体"/>
              </w:rPr>
            </w:pPr>
          </w:p>
        </w:tc>
        <w:tc>
          <w:tcPr>
            <w:tcW w:w="0" w:type="auto"/>
            <w:shd w:val="clear" w:color="auto" w:fill="auto"/>
          </w:tcPr>
          <w:p w14:paraId="1D0268F7" w14:textId="77777777" w:rsidR="004421F6" w:rsidRDefault="004421F6">
            <w:pPr>
              <w:rPr>
                <w:rFonts w:ascii="宋体"/>
              </w:rPr>
            </w:pPr>
          </w:p>
        </w:tc>
      </w:tr>
      <w:tr w:rsidR="004421F6" w14:paraId="1D02690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8F9" w14:textId="77777777" w:rsidR="004421F6" w:rsidRDefault="00F15622">
            <w:pPr>
              <w:textAlignment w:val="bottom"/>
            </w:pPr>
            <w:r>
              <w:rPr>
                <w:rFonts w:ascii="Arial" w:eastAsia="宋体" w:hAnsi="Arial" w:cs="Arial"/>
                <w:b/>
                <w:bCs/>
                <w:color w:val="000000"/>
                <w:sz w:val="17"/>
                <w:szCs w:val="17"/>
              </w:rPr>
              <w:t>NIKE Brand Revenues by:</w:t>
            </w:r>
          </w:p>
        </w:tc>
        <w:tc>
          <w:tcPr>
            <w:tcW w:w="0" w:type="auto"/>
            <w:gridSpan w:val="3"/>
            <w:tcBorders>
              <w:top w:val="single" w:sz="8" w:space="0" w:color="808080"/>
            </w:tcBorders>
            <w:shd w:val="clear" w:color="auto" w:fill="FFF1E7"/>
            <w:tcMar>
              <w:left w:w="20" w:type="dxa"/>
              <w:right w:w="20" w:type="dxa"/>
            </w:tcMar>
            <w:vAlign w:val="bottom"/>
          </w:tcPr>
          <w:p w14:paraId="1D0268FA"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8FB"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8FC" w14:textId="77777777" w:rsidR="004421F6" w:rsidRDefault="004421F6">
            <w:pPr>
              <w:rPr>
                <w:rFonts w:ascii="宋体"/>
              </w:rPr>
            </w:pPr>
          </w:p>
        </w:tc>
        <w:tc>
          <w:tcPr>
            <w:tcW w:w="0" w:type="auto"/>
            <w:gridSpan w:val="3"/>
            <w:tcBorders>
              <w:top w:val="single" w:sz="8" w:space="0" w:color="808080"/>
            </w:tcBorders>
            <w:shd w:val="clear" w:color="auto" w:fill="auto"/>
            <w:tcMar>
              <w:left w:w="20" w:type="dxa"/>
              <w:right w:w="20" w:type="dxa"/>
            </w:tcMar>
            <w:vAlign w:val="bottom"/>
          </w:tcPr>
          <w:p w14:paraId="1D0268FD" w14:textId="77777777" w:rsidR="004421F6" w:rsidRDefault="004421F6">
            <w:pPr>
              <w:rPr>
                <w:rFonts w:ascii="宋体"/>
              </w:rPr>
            </w:pPr>
          </w:p>
        </w:tc>
        <w:tc>
          <w:tcPr>
            <w:tcW w:w="0" w:type="auto"/>
            <w:shd w:val="clear" w:color="auto" w:fill="auto"/>
          </w:tcPr>
          <w:p w14:paraId="1D0268FE" w14:textId="77777777" w:rsidR="004421F6" w:rsidRDefault="004421F6">
            <w:pPr>
              <w:rPr>
                <w:rFonts w:ascii="宋体"/>
              </w:rPr>
            </w:pPr>
          </w:p>
        </w:tc>
        <w:tc>
          <w:tcPr>
            <w:tcW w:w="0" w:type="auto"/>
            <w:shd w:val="clear" w:color="auto" w:fill="auto"/>
          </w:tcPr>
          <w:p w14:paraId="1D0268FF" w14:textId="77777777" w:rsidR="004421F6" w:rsidRDefault="004421F6">
            <w:pPr>
              <w:rPr>
                <w:rFonts w:ascii="宋体"/>
              </w:rPr>
            </w:pPr>
          </w:p>
        </w:tc>
        <w:tc>
          <w:tcPr>
            <w:tcW w:w="0" w:type="auto"/>
            <w:shd w:val="clear" w:color="auto" w:fill="auto"/>
          </w:tcPr>
          <w:p w14:paraId="1D026900" w14:textId="77777777" w:rsidR="004421F6" w:rsidRDefault="004421F6">
            <w:pPr>
              <w:rPr>
                <w:rFonts w:ascii="宋体"/>
              </w:rPr>
            </w:pPr>
          </w:p>
        </w:tc>
        <w:tc>
          <w:tcPr>
            <w:tcW w:w="0" w:type="auto"/>
            <w:shd w:val="clear" w:color="auto" w:fill="auto"/>
          </w:tcPr>
          <w:p w14:paraId="1D026901" w14:textId="77777777" w:rsidR="004421F6" w:rsidRDefault="004421F6">
            <w:pPr>
              <w:rPr>
                <w:rFonts w:ascii="宋体"/>
              </w:rPr>
            </w:pPr>
          </w:p>
        </w:tc>
        <w:tc>
          <w:tcPr>
            <w:tcW w:w="0" w:type="auto"/>
            <w:shd w:val="clear" w:color="auto" w:fill="auto"/>
          </w:tcPr>
          <w:p w14:paraId="1D026902" w14:textId="77777777" w:rsidR="004421F6" w:rsidRDefault="004421F6">
            <w:pPr>
              <w:rPr>
                <w:rFonts w:ascii="宋体"/>
              </w:rPr>
            </w:pPr>
          </w:p>
        </w:tc>
        <w:tc>
          <w:tcPr>
            <w:tcW w:w="0" w:type="auto"/>
            <w:shd w:val="clear" w:color="auto" w:fill="auto"/>
          </w:tcPr>
          <w:p w14:paraId="1D026903" w14:textId="77777777" w:rsidR="004421F6" w:rsidRDefault="004421F6">
            <w:pPr>
              <w:rPr>
                <w:rFonts w:ascii="宋体"/>
              </w:rPr>
            </w:pPr>
          </w:p>
        </w:tc>
        <w:tc>
          <w:tcPr>
            <w:tcW w:w="0" w:type="auto"/>
            <w:shd w:val="clear" w:color="auto" w:fill="auto"/>
          </w:tcPr>
          <w:p w14:paraId="1D026904" w14:textId="77777777" w:rsidR="004421F6" w:rsidRDefault="004421F6">
            <w:pPr>
              <w:rPr>
                <w:rFonts w:ascii="宋体"/>
              </w:rPr>
            </w:pPr>
          </w:p>
        </w:tc>
        <w:tc>
          <w:tcPr>
            <w:tcW w:w="0" w:type="auto"/>
            <w:shd w:val="clear" w:color="auto" w:fill="auto"/>
          </w:tcPr>
          <w:p w14:paraId="1D026905" w14:textId="77777777" w:rsidR="004421F6" w:rsidRDefault="004421F6">
            <w:pPr>
              <w:rPr>
                <w:rFonts w:ascii="宋体"/>
              </w:rPr>
            </w:pPr>
          </w:p>
        </w:tc>
        <w:tc>
          <w:tcPr>
            <w:tcW w:w="0" w:type="auto"/>
            <w:shd w:val="clear" w:color="auto" w:fill="auto"/>
          </w:tcPr>
          <w:p w14:paraId="1D026906" w14:textId="77777777" w:rsidR="004421F6" w:rsidRDefault="004421F6">
            <w:pPr>
              <w:rPr>
                <w:rFonts w:ascii="宋体"/>
              </w:rPr>
            </w:pPr>
          </w:p>
        </w:tc>
      </w:tr>
      <w:tr w:rsidR="004421F6" w14:paraId="1D02691C"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908" w14:textId="77777777" w:rsidR="004421F6" w:rsidRDefault="00F1562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tcMar>
            <w:vAlign w:val="bottom"/>
          </w:tcPr>
          <w:p w14:paraId="1D026909"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90A" w14:textId="77777777" w:rsidR="004421F6" w:rsidRDefault="00F15622">
            <w:pPr>
              <w:jc w:val="right"/>
              <w:textAlignment w:val="bottom"/>
            </w:pPr>
            <w:r>
              <w:rPr>
                <w:rFonts w:ascii="Arial" w:eastAsia="宋体" w:hAnsi="Arial" w:cs="Arial"/>
                <w:color w:val="000000"/>
                <w:sz w:val="17"/>
                <w:szCs w:val="17"/>
              </w:rPr>
              <w:t>6,364 </w:t>
            </w:r>
          </w:p>
        </w:tc>
        <w:tc>
          <w:tcPr>
            <w:tcW w:w="0" w:type="auto"/>
            <w:tcBorders>
              <w:top w:val="single" w:sz="8" w:space="0" w:color="808080"/>
            </w:tcBorders>
            <w:shd w:val="clear" w:color="auto" w:fill="FFF1E7"/>
            <w:tcMar>
              <w:top w:w="40" w:type="dxa"/>
              <w:bottom w:w="40" w:type="dxa"/>
              <w:right w:w="20" w:type="dxa"/>
            </w:tcMar>
            <w:vAlign w:val="bottom"/>
          </w:tcPr>
          <w:p w14:paraId="1D02690B"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90C"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90D" w14:textId="77777777" w:rsidR="004421F6" w:rsidRDefault="00F15622">
            <w:pPr>
              <w:jc w:val="right"/>
              <w:textAlignment w:val="bottom"/>
            </w:pPr>
            <w:r>
              <w:rPr>
                <w:rFonts w:ascii="Arial" w:eastAsia="宋体" w:hAnsi="Arial" w:cs="Arial"/>
                <w:color w:val="000000"/>
                <w:sz w:val="17"/>
                <w:szCs w:val="17"/>
              </w:rPr>
              <w:t>6,842 </w:t>
            </w:r>
          </w:p>
        </w:tc>
        <w:tc>
          <w:tcPr>
            <w:tcW w:w="0" w:type="auto"/>
            <w:tcBorders>
              <w:top w:val="single" w:sz="8" w:space="0" w:color="808080"/>
            </w:tcBorders>
            <w:shd w:val="clear" w:color="auto" w:fill="auto"/>
            <w:tcMar>
              <w:top w:w="40" w:type="dxa"/>
              <w:bottom w:w="40" w:type="dxa"/>
              <w:right w:w="20" w:type="dxa"/>
            </w:tcMar>
            <w:vAlign w:val="bottom"/>
          </w:tcPr>
          <w:p w14:paraId="1D02690E"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90F" w14:textId="77777777" w:rsidR="004421F6" w:rsidRDefault="00F15622">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auto"/>
            <w:tcMar>
              <w:top w:w="40" w:type="dxa"/>
              <w:bottom w:w="40" w:type="dxa"/>
              <w:right w:w="20" w:type="dxa"/>
            </w:tcMar>
            <w:vAlign w:val="bottom"/>
          </w:tcPr>
          <w:p w14:paraId="1D026910"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911" w14:textId="77777777" w:rsidR="004421F6" w:rsidRDefault="00F1562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bottom w:w="40" w:type="dxa"/>
              <w:right w:w="20" w:type="dxa"/>
            </w:tcMar>
            <w:vAlign w:val="bottom"/>
          </w:tcPr>
          <w:p w14:paraId="1D026912"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913" w14:textId="77777777" w:rsidR="004421F6" w:rsidRDefault="004421F6">
            <w:pPr>
              <w:rPr>
                <w:rFonts w:ascii="宋体"/>
              </w:rPr>
            </w:pPr>
          </w:p>
        </w:tc>
        <w:tc>
          <w:tcPr>
            <w:tcW w:w="0" w:type="auto"/>
            <w:shd w:val="clear" w:color="auto" w:fill="auto"/>
          </w:tcPr>
          <w:p w14:paraId="1D026914" w14:textId="77777777" w:rsidR="004421F6" w:rsidRDefault="004421F6">
            <w:pPr>
              <w:rPr>
                <w:rFonts w:ascii="宋体"/>
              </w:rPr>
            </w:pPr>
          </w:p>
        </w:tc>
        <w:tc>
          <w:tcPr>
            <w:tcW w:w="0" w:type="auto"/>
            <w:shd w:val="clear" w:color="auto" w:fill="auto"/>
          </w:tcPr>
          <w:p w14:paraId="1D026915" w14:textId="77777777" w:rsidR="004421F6" w:rsidRDefault="004421F6">
            <w:pPr>
              <w:rPr>
                <w:rFonts w:ascii="宋体"/>
              </w:rPr>
            </w:pPr>
          </w:p>
        </w:tc>
        <w:tc>
          <w:tcPr>
            <w:tcW w:w="0" w:type="auto"/>
            <w:shd w:val="clear" w:color="auto" w:fill="auto"/>
          </w:tcPr>
          <w:p w14:paraId="1D026916" w14:textId="77777777" w:rsidR="004421F6" w:rsidRDefault="004421F6">
            <w:pPr>
              <w:rPr>
                <w:rFonts w:ascii="宋体"/>
              </w:rPr>
            </w:pPr>
          </w:p>
        </w:tc>
        <w:tc>
          <w:tcPr>
            <w:tcW w:w="0" w:type="auto"/>
            <w:shd w:val="clear" w:color="auto" w:fill="auto"/>
          </w:tcPr>
          <w:p w14:paraId="1D026917" w14:textId="77777777" w:rsidR="004421F6" w:rsidRDefault="004421F6">
            <w:pPr>
              <w:rPr>
                <w:rFonts w:ascii="宋体"/>
              </w:rPr>
            </w:pPr>
          </w:p>
        </w:tc>
        <w:tc>
          <w:tcPr>
            <w:tcW w:w="0" w:type="auto"/>
            <w:shd w:val="clear" w:color="auto" w:fill="auto"/>
          </w:tcPr>
          <w:p w14:paraId="1D026918" w14:textId="77777777" w:rsidR="004421F6" w:rsidRDefault="004421F6">
            <w:pPr>
              <w:rPr>
                <w:rFonts w:ascii="宋体"/>
              </w:rPr>
            </w:pPr>
          </w:p>
        </w:tc>
        <w:tc>
          <w:tcPr>
            <w:tcW w:w="0" w:type="auto"/>
            <w:shd w:val="clear" w:color="auto" w:fill="auto"/>
          </w:tcPr>
          <w:p w14:paraId="1D026919" w14:textId="77777777" w:rsidR="004421F6" w:rsidRDefault="004421F6">
            <w:pPr>
              <w:rPr>
                <w:rFonts w:ascii="宋体"/>
              </w:rPr>
            </w:pPr>
          </w:p>
        </w:tc>
        <w:tc>
          <w:tcPr>
            <w:tcW w:w="0" w:type="auto"/>
            <w:shd w:val="clear" w:color="auto" w:fill="auto"/>
          </w:tcPr>
          <w:p w14:paraId="1D02691A" w14:textId="77777777" w:rsidR="004421F6" w:rsidRDefault="004421F6">
            <w:pPr>
              <w:rPr>
                <w:rFonts w:ascii="宋体"/>
              </w:rPr>
            </w:pPr>
          </w:p>
        </w:tc>
        <w:tc>
          <w:tcPr>
            <w:tcW w:w="0" w:type="auto"/>
            <w:shd w:val="clear" w:color="auto" w:fill="auto"/>
          </w:tcPr>
          <w:p w14:paraId="1D02691B" w14:textId="77777777" w:rsidR="004421F6" w:rsidRDefault="004421F6">
            <w:pPr>
              <w:rPr>
                <w:rFonts w:ascii="宋体"/>
              </w:rPr>
            </w:pPr>
          </w:p>
        </w:tc>
      </w:tr>
      <w:tr w:rsidR="004421F6" w14:paraId="1D02692F"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91D" w14:textId="77777777" w:rsidR="004421F6" w:rsidRDefault="00F15622">
            <w:pPr>
              <w:textAlignment w:val="bottom"/>
            </w:pPr>
            <w:r>
              <w:rPr>
                <w:rFonts w:ascii="Arial" w:eastAsia="宋体" w:hAnsi="Arial" w:cs="Arial"/>
                <w:color w:val="000000"/>
                <w:sz w:val="17"/>
                <w:szCs w:val="17"/>
              </w:rPr>
              <w:t>Sales through NIKE Direct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91E" w14:textId="77777777" w:rsidR="004421F6" w:rsidRDefault="00F15622">
            <w:pPr>
              <w:jc w:val="right"/>
              <w:textAlignment w:val="bottom"/>
            </w:pPr>
            <w:r>
              <w:rPr>
                <w:rFonts w:ascii="Arial" w:eastAsia="宋体" w:hAnsi="Arial" w:cs="Arial"/>
                <w:color w:val="000000"/>
                <w:sz w:val="17"/>
                <w:szCs w:val="17"/>
              </w:rPr>
              <w:t>3,650 </w:t>
            </w:r>
          </w:p>
        </w:tc>
        <w:tc>
          <w:tcPr>
            <w:tcW w:w="0" w:type="auto"/>
            <w:tcBorders>
              <w:top w:val="single" w:sz="8" w:space="0" w:color="808080"/>
            </w:tcBorders>
            <w:shd w:val="clear" w:color="auto" w:fill="FFF1E7"/>
            <w:tcMar>
              <w:top w:w="40" w:type="dxa"/>
              <w:bottom w:w="40" w:type="dxa"/>
              <w:right w:w="20" w:type="dxa"/>
            </w:tcMar>
            <w:vAlign w:val="bottom"/>
          </w:tcPr>
          <w:p w14:paraId="1D02691F"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920" w14:textId="77777777" w:rsidR="004421F6" w:rsidRDefault="00F15622">
            <w:pPr>
              <w:jc w:val="right"/>
              <w:textAlignment w:val="bottom"/>
            </w:pPr>
            <w:r>
              <w:rPr>
                <w:rFonts w:ascii="Arial" w:eastAsia="宋体" w:hAnsi="Arial" w:cs="Arial"/>
                <w:color w:val="000000"/>
                <w:sz w:val="17"/>
                <w:szCs w:val="17"/>
              </w:rPr>
              <w:t>3,248 </w:t>
            </w:r>
          </w:p>
        </w:tc>
        <w:tc>
          <w:tcPr>
            <w:tcW w:w="0" w:type="auto"/>
            <w:tcBorders>
              <w:top w:val="single" w:sz="8" w:space="0" w:color="808080"/>
            </w:tcBorders>
            <w:shd w:val="clear" w:color="auto" w:fill="auto"/>
            <w:tcMar>
              <w:top w:w="40" w:type="dxa"/>
              <w:bottom w:w="40" w:type="dxa"/>
              <w:right w:w="20" w:type="dxa"/>
            </w:tcMar>
            <w:vAlign w:val="bottom"/>
          </w:tcPr>
          <w:p w14:paraId="1D02692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922" w14:textId="77777777" w:rsidR="004421F6" w:rsidRDefault="00F1562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bottom w:w="40" w:type="dxa"/>
              <w:right w:w="20" w:type="dxa"/>
            </w:tcMar>
            <w:vAlign w:val="bottom"/>
          </w:tcPr>
          <w:p w14:paraId="1D026923"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924" w14:textId="77777777" w:rsidR="004421F6" w:rsidRDefault="00F15622">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auto"/>
            <w:tcMar>
              <w:top w:w="40" w:type="dxa"/>
              <w:bottom w:w="40" w:type="dxa"/>
              <w:right w:w="20" w:type="dxa"/>
            </w:tcMar>
            <w:vAlign w:val="bottom"/>
          </w:tcPr>
          <w:p w14:paraId="1D026925"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926" w14:textId="77777777" w:rsidR="004421F6" w:rsidRDefault="004421F6">
            <w:pPr>
              <w:rPr>
                <w:rFonts w:ascii="宋体"/>
              </w:rPr>
            </w:pPr>
          </w:p>
        </w:tc>
        <w:tc>
          <w:tcPr>
            <w:tcW w:w="0" w:type="auto"/>
            <w:shd w:val="clear" w:color="auto" w:fill="auto"/>
          </w:tcPr>
          <w:p w14:paraId="1D026927" w14:textId="77777777" w:rsidR="004421F6" w:rsidRDefault="004421F6">
            <w:pPr>
              <w:rPr>
                <w:rFonts w:ascii="宋体"/>
              </w:rPr>
            </w:pPr>
          </w:p>
        </w:tc>
        <w:tc>
          <w:tcPr>
            <w:tcW w:w="0" w:type="auto"/>
            <w:shd w:val="clear" w:color="auto" w:fill="auto"/>
          </w:tcPr>
          <w:p w14:paraId="1D026928" w14:textId="77777777" w:rsidR="004421F6" w:rsidRDefault="004421F6">
            <w:pPr>
              <w:rPr>
                <w:rFonts w:ascii="宋体"/>
              </w:rPr>
            </w:pPr>
          </w:p>
        </w:tc>
        <w:tc>
          <w:tcPr>
            <w:tcW w:w="0" w:type="auto"/>
            <w:shd w:val="clear" w:color="auto" w:fill="auto"/>
          </w:tcPr>
          <w:p w14:paraId="1D026929" w14:textId="77777777" w:rsidR="004421F6" w:rsidRDefault="004421F6">
            <w:pPr>
              <w:rPr>
                <w:rFonts w:ascii="宋体"/>
              </w:rPr>
            </w:pPr>
          </w:p>
        </w:tc>
        <w:tc>
          <w:tcPr>
            <w:tcW w:w="0" w:type="auto"/>
            <w:shd w:val="clear" w:color="auto" w:fill="auto"/>
          </w:tcPr>
          <w:p w14:paraId="1D02692A" w14:textId="77777777" w:rsidR="004421F6" w:rsidRDefault="004421F6">
            <w:pPr>
              <w:rPr>
                <w:rFonts w:ascii="宋体"/>
              </w:rPr>
            </w:pPr>
          </w:p>
        </w:tc>
        <w:tc>
          <w:tcPr>
            <w:tcW w:w="0" w:type="auto"/>
            <w:shd w:val="clear" w:color="auto" w:fill="auto"/>
          </w:tcPr>
          <w:p w14:paraId="1D02692B" w14:textId="77777777" w:rsidR="004421F6" w:rsidRDefault="004421F6">
            <w:pPr>
              <w:rPr>
                <w:rFonts w:ascii="宋体"/>
              </w:rPr>
            </w:pPr>
          </w:p>
        </w:tc>
        <w:tc>
          <w:tcPr>
            <w:tcW w:w="0" w:type="auto"/>
            <w:shd w:val="clear" w:color="auto" w:fill="auto"/>
          </w:tcPr>
          <w:p w14:paraId="1D02692C" w14:textId="77777777" w:rsidR="004421F6" w:rsidRDefault="004421F6">
            <w:pPr>
              <w:rPr>
                <w:rFonts w:ascii="宋体"/>
              </w:rPr>
            </w:pPr>
          </w:p>
        </w:tc>
        <w:tc>
          <w:tcPr>
            <w:tcW w:w="0" w:type="auto"/>
            <w:shd w:val="clear" w:color="auto" w:fill="auto"/>
          </w:tcPr>
          <w:p w14:paraId="1D02692D" w14:textId="77777777" w:rsidR="004421F6" w:rsidRDefault="004421F6">
            <w:pPr>
              <w:rPr>
                <w:rFonts w:ascii="宋体"/>
              </w:rPr>
            </w:pPr>
          </w:p>
        </w:tc>
        <w:tc>
          <w:tcPr>
            <w:tcW w:w="0" w:type="auto"/>
            <w:shd w:val="clear" w:color="auto" w:fill="auto"/>
          </w:tcPr>
          <w:p w14:paraId="1D02692E" w14:textId="77777777" w:rsidR="004421F6" w:rsidRDefault="004421F6">
            <w:pPr>
              <w:rPr>
                <w:rFonts w:ascii="宋体"/>
              </w:rPr>
            </w:pPr>
          </w:p>
        </w:tc>
      </w:tr>
      <w:tr w:rsidR="004421F6" w14:paraId="1D026942"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930" w14:textId="77777777" w:rsidR="004421F6" w:rsidRDefault="00F15622">
            <w:pPr>
              <w:textAlignment w:val="bottom"/>
            </w:pPr>
            <w:r>
              <w:rPr>
                <w:rFonts w:ascii="Arial" w:eastAsia="宋体" w:hAnsi="Arial" w:cs="Arial"/>
                <w:color w:val="000000"/>
                <w:sz w:val="17"/>
                <w:szCs w:val="17"/>
              </w:rPr>
              <w:t>Global Brand Divisions</w:t>
            </w:r>
            <w:r>
              <w:rPr>
                <w:rFonts w:ascii="Arial" w:eastAsia="宋体" w:hAnsi="Arial" w:cs="Arial"/>
                <w:color w:val="000000"/>
                <w:sz w:val="9"/>
                <w:szCs w:val="9"/>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931" w14:textId="77777777" w:rsidR="004421F6" w:rsidRDefault="00F1562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FFF1E7"/>
            <w:tcMar>
              <w:top w:w="40" w:type="dxa"/>
              <w:bottom w:w="40" w:type="dxa"/>
              <w:right w:w="20" w:type="dxa"/>
            </w:tcMar>
            <w:vAlign w:val="bottom"/>
          </w:tcPr>
          <w:p w14:paraId="1D026932"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933" w14:textId="77777777" w:rsidR="004421F6" w:rsidRDefault="00F1562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bottom w:w="40" w:type="dxa"/>
              <w:right w:w="20" w:type="dxa"/>
            </w:tcMar>
            <w:vAlign w:val="bottom"/>
          </w:tcPr>
          <w:p w14:paraId="1D026934"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935" w14:textId="77777777" w:rsidR="004421F6" w:rsidRDefault="00F15622">
            <w:pPr>
              <w:jc w:val="right"/>
              <w:textAlignment w:val="bottom"/>
            </w:pPr>
            <w:r>
              <w:rPr>
                <w:rFonts w:ascii="Arial" w:eastAsia="宋体" w:hAnsi="Arial" w:cs="Arial"/>
                <w:color w:val="000000"/>
                <w:sz w:val="17"/>
                <w:szCs w:val="17"/>
              </w:rPr>
              <w:t>-33 </w:t>
            </w:r>
          </w:p>
        </w:tc>
        <w:tc>
          <w:tcPr>
            <w:tcW w:w="0" w:type="auto"/>
            <w:tcBorders>
              <w:top w:val="single" w:sz="8" w:space="0" w:color="808080"/>
            </w:tcBorders>
            <w:shd w:val="clear" w:color="auto" w:fill="auto"/>
            <w:tcMar>
              <w:top w:w="40" w:type="dxa"/>
              <w:bottom w:w="40" w:type="dxa"/>
              <w:right w:w="20" w:type="dxa"/>
            </w:tcMar>
            <w:vAlign w:val="bottom"/>
          </w:tcPr>
          <w:p w14:paraId="1D026936"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937" w14:textId="77777777" w:rsidR="004421F6" w:rsidRDefault="00F15622">
            <w:pPr>
              <w:jc w:val="right"/>
              <w:textAlignment w:val="bottom"/>
            </w:pPr>
            <w:r>
              <w:rPr>
                <w:rFonts w:ascii="Arial" w:eastAsia="宋体" w:hAnsi="Arial" w:cs="Arial"/>
                <w:color w:val="000000"/>
                <w:sz w:val="17"/>
                <w:szCs w:val="17"/>
              </w:rPr>
              <w:t>-31 </w:t>
            </w:r>
          </w:p>
        </w:tc>
        <w:tc>
          <w:tcPr>
            <w:tcW w:w="0" w:type="auto"/>
            <w:tcBorders>
              <w:top w:val="single" w:sz="8" w:space="0" w:color="808080"/>
            </w:tcBorders>
            <w:shd w:val="clear" w:color="auto" w:fill="auto"/>
            <w:tcMar>
              <w:top w:w="40" w:type="dxa"/>
              <w:bottom w:w="40" w:type="dxa"/>
              <w:right w:w="20" w:type="dxa"/>
            </w:tcMar>
            <w:vAlign w:val="bottom"/>
          </w:tcPr>
          <w:p w14:paraId="1D026938"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939" w14:textId="77777777" w:rsidR="004421F6" w:rsidRDefault="004421F6">
            <w:pPr>
              <w:rPr>
                <w:rFonts w:ascii="宋体"/>
              </w:rPr>
            </w:pPr>
          </w:p>
        </w:tc>
        <w:tc>
          <w:tcPr>
            <w:tcW w:w="0" w:type="auto"/>
            <w:shd w:val="clear" w:color="auto" w:fill="auto"/>
          </w:tcPr>
          <w:p w14:paraId="1D02693A" w14:textId="77777777" w:rsidR="004421F6" w:rsidRDefault="004421F6">
            <w:pPr>
              <w:rPr>
                <w:rFonts w:ascii="宋体"/>
              </w:rPr>
            </w:pPr>
          </w:p>
        </w:tc>
        <w:tc>
          <w:tcPr>
            <w:tcW w:w="0" w:type="auto"/>
            <w:shd w:val="clear" w:color="auto" w:fill="auto"/>
          </w:tcPr>
          <w:p w14:paraId="1D02693B" w14:textId="77777777" w:rsidR="004421F6" w:rsidRDefault="004421F6">
            <w:pPr>
              <w:rPr>
                <w:rFonts w:ascii="宋体"/>
              </w:rPr>
            </w:pPr>
          </w:p>
        </w:tc>
        <w:tc>
          <w:tcPr>
            <w:tcW w:w="0" w:type="auto"/>
            <w:shd w:val="clear" w:color="auto" w:fill="auto"/>
          </w:tcPr>
          <w:p w14:paraId="1D02693C" w14:textId="77777777" w:rsidR="004421F6" w:rsidRDefault="004421F6">
            <w:pPr>
              <w:rPr>
                <w:rFonts w:ascii="宋体"/>
              </w:rPr>
            </w:pPr>
          </w:p>
        </w:tc>
        <w:tc>
          <w:tcPr>
            <w:tcW w:w="0" w:type="auto"/>
            <w:shd w:val="clear" w:color="auto" w:fill="auto"/>
          </w:tcPr>
          <w:p w14:paraId="1D02693D" w14:textId="77777777" w:rsidR="004421F6" w:rsidRDefault="004421F6">
            <w:pPr>
              <w:rPr>
                <w:rFonts w:ascii="宋体"/>
              </w:rPr>
            </w:pPr>
          </w:p>
        </w:tc>
        <w:tc>
          <w:tcPr>
            <w:tcW w:w="0" w:type="auto"/>
            <w:shd w:val="clear" w:color="auto" w:fill="auto"/>
          </w:tcPr>
          <w:p w14:paraId="1D02693E" w14:textId="77777777" w:rsidR="004421F6" w:rsidRDefault="004421F6">
            <w:pPr>
              <w:rPr>
                <w:rFonts w:ascii="宋体"/>
              </w:rPr>
            </w:pPr>
          </w:p>
        </w:tc>
        <w:tc>
          <w:tcPr>
            <w:tcW w:w="0" w:type="auto"/>
            <w:shd w:val="clear" w:color="auto" w:fill="auto"/>
          </w:tcPr>
          <w:p w14:paraId="1D02693F" w14:textId="77777777" w:rsidR="004421F6" w:rsidRDefault="004421F6">
            <w:pPr>
              <w:rPr>
                <w:rFonts w:ascii="宋体"/>
              </w:rPr>
            </w:pPr>
          </w:p>
        </w:tc>
        <w:tc>
          <w:tcPr>
            <w:tcW w:w="0" w:type="auto"/>
            <w:shd w:val="clear" w:color="auto" w:fill="auto"/>
          </w:tcPr>
          <w:p w14:paraId="1D026940" w14:textId="77777777" w:rsidR="004421F6" w:rsidRDefault="004421F6">
            <w:pPr>
              <w:rPr>
                <w:rFonts w:ascii="宋体"/>
              </w:rPr>
            </w:pPr>
          </w:p>
        </w:tc>
        <w:tc>
          <w:tcPr>
            <w:tcW w:w="0" w:type="auto"/>
            <w:shd w:val="clear" w:color="auto" w:fill="auto"/>
          </w:tcPr>
          <w:p w14:paraId="1D026941" w14:textId="77777777" w:rsidR="004421F6" w:rsidRDefault="004421F6">
            <w:pPr>
              <w:rPr>
                <w:rFonts w:ascii="宋体"/>
              </w:rPr>
            </w:pPr>
          </w:p>
        </w:tc>
      </w:tr>
      <w:tr w:rsidR="004421F6" w14:paraId="1D02695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6943" w14:textId="77777777" w:rsidR="004421F6" w:rsidRDefault="00F15622">
            <w:pPr>
              <w:textAlignment w:val="bottom"/>
            </w:pPr>
            <w:r>
              <w:rPr>
                <w:rFonts w:ascii="Arial" w:eastAsia="宋体" w:hAnsi="Arial" w:cs="Arial"/>
                <w:b/>
                <w:bCs/>
                <w:color w:val="000000"/>
                <w:sz w:val="17"/>
                <w:szCs w:val="17"/>
              </w:rPr>
              <w:t>TOTAL NIKE BRAND REVENUES</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944"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945" w14:textId="77777777" w:rsidR="004421F6" w:rsidRDefault="00F15622">
            <w:pPr>
              <w:jc w:val="right"/>
              <w:textAlignment w:val="bottom"/>
            </w:pPr>
            <w:r>
              <w:rPr>
                <w:rFonts w:ascii="Arial" w:eastAsia="宋体" w:hAnsi="Arial" w:cs="Arial"/>
                <w:b/>
                <w:bCs/>
                <w:color w:val="000000"/>
                <w:sz w:val="17"/>
                <w:szCs w:val="17"/>
              </w:rPr>
              <w:t>10,018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946"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947"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948" w14:textId="77777777" w:rsidR="004421F6" w:rsidRDefault="00F15622">
            <w:pPr>
              <w:jc w:val="right"/>
              <w:textAlignment w:val="bottom"/>
            </w:pPr>
            <w:r>
              <w:rPr>
                <w:rFonts w:ascii="Arial" w:eastAsia="宋体" w:hAnsi="Arial" w:cs="Arial"/>
                <w:b/>
                <w:bCs/>
                <w:color w:val="000000"/>
                <w:sz w:val="17"/>
                <w:szCs w:val="17"/>
              </w:rPr>
              <w:t>10,096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949" w14:textId="77777777" w:rsidR="004421F6" w:rsidRDefault="004421F6">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D02694A" w14:textId="77777777" w:rsidR="004421F6" w:rsidRDefault="00F1562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94B"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D02694C" w14:textId="77777777" w:rsidR="004421F6" w:rsidRDefault="00F15622">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94D"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694E" w14:textId="77777777" w:rsidR="004421F6" w:rsidRDefault="004421F6">
            <w:pPr>
              <w:rPr>
                <w:rFonts w:ascii="宋体"/>
              </w:rPr>
            </w:pPr>
          </w:p>
        </w:tc>
        <w:tc>
          <w:tcPr>
            <w:tcW w:w="0" w:type="auto"/>
            <w:shd w:val="clear" w:color="auto" w:fill="auto"/>
          </w:tcPr>
          <w:p w14:paraId="1D02694F" w14:textId="77777777" w:rsidR="004421F6" w:rsidRDefault="004421F6">
            <w:pPr>
              <w:rPr>
                <w:rFonts w:ascii="宋体"/>
              </w:rPr>
            </w:pPr>
          </w:p>
        </w:tc>
        <w:tc>
          <w:tcPr>
            <w:tcW w:w="0" w:type="auto"/>
            <w:shd w:val="clear" w:color="auto" w:fill="auto"/>
          </w:tcPr>
          <w:p w14:paraId="1D026950" w14:textId="77777777" w:rsidR="004421F6" w:rsidRDefault="004421F6">
            <w:pPr>
              <w:rPr>
                <w:rFonts w:ascii="宋体"/>
              </w:rPr>
            </w:pPr>
          </w:p>
        </w:tc>
        <w:tc>
          <w:tcPr>
            <w:tcW w:w="0" w:type="auto"/>
            <w:shd w:val="clear" w:color="auto" w:fill="auto"/>
          </w:tcPr>
          <w:p w14:paraId="1D026951" w14:textId="77777777" w:rsidR="004421F6" w:rsidRDefault="004421F6">
            <w:pPr>
              <w:rPr>
                <w:rFonts w:ascii="宋体"/>
              </w:rPr>
            </w:pPr>
          </w:p>
        </w:tc>
        <w:tc>
          <w:tcPr>
            <w:tcW w:w="0" w:type="auto"/>
            <w:shd w:val="clear" w:color="auto" w:fill="auto"/>
          </w:tcPr>
          <w:p w14:paraId="1D026952" w14:textId="77777777" w:rsidR="004421F6" w:rsidRDefault="004421F6">
            <w:pPr>
              <w:rPr>
                <w:rFonts w:ascii="宋体"/>
              </w:rPr>
            </w:pPr>
          </w:p>
        </w:tc>
        <w:tc>
          <w:tcPr>
            <w:tcW w:w="0" w:type="auto"/>
            <w:shd w:val="clear" w:color="auto" w:fill="auto"/>
          </w:tcPr>
          <w:p w14:paraId="1D026953" w14:textId="77777777" w:rsidR="004421F6" w:rsidRDefault="004421F6">
            <w:pPr>
              <w:rPr>
                <w:rFonts w:ascii="宋体"/>
              </w:rPr>
            </w:pPr>
          </w:p>
        </w:tc>
        <w:tc>
          <w:tcPr>
            <w:tcW w:w="0" w:type="auto"/>
            <w:shd w:val="clear" w:color="auto" w:fill="auto"/>
          </w:tcPr>
          <w:p w14:paraId="1D026954" w14:textId="77777777" w:rsidR="004421F6" w:rsidRDefault="004421F6">
            <w:pPr>
              <w:rPr>
                <w:rFonts w:ascii="宋体"/>
              </w:rPr>
            </w:pPr>
          </w:p>
        </w:tc>
        <w:tc>
          <w:tcPr>
            <w:tcW w:w="0" w:type="auto"/>
            <w:shd w:val="clear" w:color="auto" w:fill="auto"/>
          </w:tcPr>
          <w:p w14:paraId="1D026955" w14:textId="77777777" w:rsidR="004421F6" w:rsidRDefault="004421F6">
            <w:pPr>
              <w:rPr>
                <w:rFonts w:ascii="宋体"/>
              </w:rPr>
            </w:pPr>
          </w:p>
        </w:tc>
        <w:tc>
          <w:tcPr>
            <w:tcW w:w="0" w:type="auto"/>
            <w:shd w:val="clear" w:color="auto" w:fill="auto"/>
          </w:tcPr>
          <w:p w14:paraId="1D026956" w14:textId="77777777" w:rsidR="004421F6" w:rsidRDefault="004421F6">
            <w:pPr>
              <w:rPr>
                <w:rFonts w:ascii="宋体"/>
              </w:rPr>
            </w:pPr>
          </w:p>
        </w:tc>
      </w:tr>
    </w:tbl>
    <w:p w14:paraId="1D026958" w14:textId="77777777" w:rsidR="004421F6" w:rsidRDefault="00F15622">
      <w:pPr>
        <w:spacing w:before="60" w:after="60"/>
        <w:ind w:hanging="360"/>
      </w:pPr>
      <w:r>
        <w:rPr>
          <w:rFonts w:ascii="Arial" w:eastAsia="宋体" w:hAnsi="Arial" w:cs="Arial"/>
          <w:i/>
          <w:iCs/>
          <w:color w:val="000000"/>
          <w:sz w:val="14"/>
          <w:szCs w:val="14"/>
        </w:rPr>
        <w:t>(1)The percent change excluding currency changes represents a non-GAAP financial measure. See "Use of Non-GAAP Financial Measures" for further information.</w:t>
      </w:r>
    </w:p>
    <w:p w14:paraId="1D026959" w14:textId="77777777" w:rsidR="004421F6" w:rsidRDefault="00F15622">
      <w:pPr>
        <w:spacing w:before="60" w:after="60"/>
        <w:ind w:hanging="360"/>
      </w:pPr>
      <w:r>
        <w:rPr>
          <w:rFonts w:ascii="Arial" w:eastAsia="宋体" w:hAnsi="Arial" w:cs="Arial"/>
          <w:i/>
          <w:iCs/>
          <w:color w:val="000000"/>
          <w:sz w:val="14"/>
          <w:szCs w:val="14"/>
        </w:rPr>
        <w:t>(2)Global Brand Divisions revenues are primarily attributable to NIK</w:t>
      </w:r>
      <w:r>
        <w:rPr>
          <w:rFonts w:ascii="Arial" w:eastAsia="宋体" w:hAnsi="Arial" w:cs="Arial"/>
          <w:i/>
          <w:iCs/>
          <w:color w:val="000000"/>
          <w:sz w:val="14"/>
          <w:szCs w:val="14"/>
        </w:rPr>
        <w:t xml:space="preserve">E Brand licensing businesses that are not part of a geographic operating segment. </w:t>
      </w:r>
    </w:p>
    <w:p w14:paraId="1D02695A" w14:textId="77777777" w:rsidR="004421F6" w:rsidRDefault="00F15622">
      <w:pPr>
        <w:spacing w:before="60" w:after="60"/>
        <w:ind w:hanging="360"/>
      </w:pPr>
      <w:r>
        <w:rPr>
          <w:rFonts w:ascii="Arial" w:eastAsia="宋体" w:hAnsi="Arial" w:cs="Arial"/>
          <w:i/>
          <w:iCs/>
          <w:color w:val="000000"/>
          <w:sz w:val="14"/>
          <w:szCs w:val="14"/>
        </w:rPr>
        <w:t>(3)Corporate revenues primarily consist of foreign currency hedge gains and losses related to revenues generated by entities within the NIKE Brand geographic operating segme</w:t>
      </w:r>
      <w:r>
        <w:rPr>
          <w:rFonts w:ascii="Arial" w:eastAsia="宋体" w:hAnsi="Arial" w:cs="Arial"/>
          <w:i/>
          <w:iCs/>
          <w:color w:val="000000"/>
          <w:sz w:val="14"/>
          <w:szCs w:val="14"/>
        </w:rPr>
        <w:t>nts and Converse, but managed through our central foreign exchange risk management program.</w:t>
      </w:r>
    </w:p>
    <w:p w14:paraId="1D02695B" w14:textId="77777777" w:rsidR="004421F6" w:rsidRDefault="00F15622">
      <w:pPr>
        <w:spacing w:before="120"/>
      </w:pPr>
      <w:r>
        <w:rPr>
          <w:rFonts w:ascii="sans-serif" w:eastAsia="sans-serif" w:hAnsi="sans-serif" w:cs="sans-serif"/>
          <w:b/>
          <w:bCs/>
          <w:color w:val="808080"/>
          <w:sz w:val="22"/>
          <w:szCs w:val="22"/>
        </w:rPr>
        <w:t>FIRST QUARTER OF FISCAL 2021 COMPARED TO FIRST QUARTER OF FISCAL 2020</w:t>
      </w:r>
    </w:p>
    <w:p w14:paraId="1D02695C" w14:textId="77777777" w:rsidR="004421F6" w:rsidRDefault="00F15622">
      <w:pPr>
        <w:spacing w:after="120"/>
      </w:pPr>
      <w:r>
        <w:rPr>
          <w:rFonts w:ascii="Arial" w:eastAsia="宋体" w:hAnsi="Arial" w:cs="Arial"/>
          <w:color w:val="000000"/>
          <w:sz w:val="17"/>
          <w:szCs w:val="17"/>
        </w:rPr>
        <w:t>On a currency-neutral basis, NIKE, Inc. Revenues were flat for the first quarter of fiscal 202</w:t>
      </w:r>
      <w:r>
        <w:rPr>
          <w:rFonts w:ascii="Arial" w:eastAsia="宋体" w:hAnsi="Arial" w:cs="Arial"/>
          <w:color w:val="000000"/>
          <w:sz w:val="17"/>
          <w:szCs w:val="17"/>
        </w:rPr>
        <w:t>1, as revenues within the NIKE Brand were relatively unchanged and Converse revenues increased slightly. Higher revenues in Greater China and EMEA each contributed approximately 1 percentage point of growth to NIKE, Inc.</w:t>
      </w:r>
      <w:r>
        <w:rPr>
          <w:rFonts w:ascii="Arial" w:eastAsia="宋体" w:hAnsi="Arial" w:cs="Arial"/>
          <w:i/>
          <w:iCs/>
          <w:color w:val="000000"/>
          <w:sz w:val="17"/>
          <w:szCs w:val="17"/>
        </w:rPr>
        <w:t xml:space="preserve"> </w:t>
      </w:r>
      <w:r>
        <w:rPr>
          <w:rFonts w:ascii="Arial" w:eastAsia="宋体" w:hAnsi="Arial" w:cs="Arial"/>
          <w:color w:val="000000"/>
          <w:sz w:val="17"/>
          <w:szCs w:val="17"/>
        </w:rPr>
        <w:t>Revenues, while lower revenues in A</w:t>
      </w:r>
      <w:r>
        <w:rPr>
          <w:rFonts w:ascii="Arial" w:eastAsia="宋体" w:hAnsi="Arial" w:cs="Arial"/>
          <w:color w:val="000000"/>
          <w:sz w:val="17"/>
          <w:szCs w:val="17"/>
        </w:rPr>
        <w:t>PLA and North America each reduced NIKE, Inc. Revenues by approximately 1 percentage point.</w:t>
      </w:r>
    </w:p>
    <w:p w14:paraId="1D02695D" w14:textId="77777777" w:rsidR="004421F6" w:rsidRDefault="00F15622">
      <w:pPr>
        <w:spacing w:before="120" w:after="120"/>
      </w:pPr>
      <w:r>
        <w:rPr>
          <w:rFonts w:ascii="Arial" w:eastAsia="宋体" w:hAnsi="Arial" w:cs="Arial"/>
          <w:color w:val="000000"/>
          <w:sz w:val="17"/>
          <w:szCs w:val="17"/>
        </w:rPr>
        <w:t xml:space="preserve">On a currency-neutral basis, NIKE Brand footwear revenues increased 5%, driven by growth in several key categories, primarily Sportswear and the Jordan Brand. Unit </w:t>
      </w:r>
      <w:r>
        <w:rPr>
          <w:rFonts w:ascii="Arial" w:eastAsia="宋体" w:hAnsi="Arial" w:cs="Arial"/>
          <w:color w:val="000000"/>
          <w:sz w:val="17"/>
          <w:szCs w:val="17"/>
        </w:rPr>
        <w:t>sales of footwear were flat, while higher average selling price (ASP) per pair contributed approximately 5 percentage points of footwear revenue growth, primarily due to higher full-price ASP, on a wholesale equivalent basis, as well as the favorable impac</w:t>
      </w:r>
      <w:r>
        <w:rPr>
          <w:rFonts w:ascii="Arial" w:eastAsia="宋体" w:hAnsi="Arial" w:cs="Arial"/>
          <w:color w:val="000000"/>
          <w:sz w:val="17"/>
          <w:szCs w:val="17"/>
        </w:rPr>
        <w:t>t of growth in our NIKE Direct business.</w:t>
      </w:r>
    </w:p>
    <w:p w14:paraId="1D02695E" w14:textId="77777777" w:rsidR="004421F6" w:rsidRDefault="00F15622">
      <w:pPr>
        <w:spacing w:before="120" w:after="120"/>
      </w:pPr>
      <w:r>
        <w:rPr>
          <w:rFonts w:ascii="Arial" w:eastAsia="宋体" w:hAnsi="Arial" w:cs="Arial"/>
          <w:color w:val="000000"/>
          <w:sz w:val="17"/>
          <w:szCs w:val="17"/>
        </w:rPr>
        <w:t>Currency-neutral NIKE Brand apparel revenues contracted 7%, reflecting lower revenues in several key categories, most notably Training, partially offset by growth in Football (Soccer). Unit sales of apparel decrease</w:t>
      </w:r>
      <w:r>
        <w:rPr>
          <w:rFonts w:ascii="Arial" w:eastAsia="宋体" w:hAnsi="Arial" w:cs="Arial"/>
          <w:color w:val="000000"/>
          <w:sz w:val="17"/>
          <w:szCs w:val="17"/>
        </w:rPr>
        <w:t>d 6% and lower ASP per unit reduced apparel revenues by approximately 1 percentage point. Lower ASP per unit was primarily due to lower full-price ASP and unfavorable full-price mix, partially offset by the favorable impact of growth in our NIKE Direct bus</w:t>
      </w:r>
      <w:r>
        <w:rPr>
          <w:rFonts w:ascii="Arial" w:eastAsia="宋体" w:hAnsi="Arial" w:cs="Arial"/>
          <w:color w:val="000000"/>
          <w:sz w:val="17"/>
          <w:szCs w:val="17"/>
        </w:rPr>
        <w:t>iness.</w:t>
      </w:r>
    </w:p>
    <w:p w14:paraId="1D02695F" w14:textId="77777777" w:rsidR="004421F6" w:rsidRDefault="00F15622">
      <w:pPr>
        <w:spacing w:before="120" w:after="120"/>
      </w:pPr>
      <w:r>
        <w:rPr>
          <w:rFonts w:ascii="Arial" w:eastAsia="宋体" w:hAnsi="Arial" w:cs="Arial"/>
          <w:color w:val="000000"/>
          <w:sz w:val="17"/>
          <w:szCs w:val="17"/>
        </w:rPr>
        <w:t>On a reported basis, NIKE Direct revenues represented approximately 36% of our total NIKE Brand revenues for the first quarter of fiscal 2021 compared to 32% for the first quarter of fiscal 2020. Digital commerce sales were $1.9 billion for the firs</w:t>
      </w:r>
      <w:r>
        <w:rPr>
          <w:rFonts w:ascii="Arial" w:eastAsia="宋体" w:hAnsi="Arial" w:cs="Arial"/>
          <w:color w:val="000000"/>
          <w:sz w:val="17"/>
          <w:szCs w:val="17"/>
        </w:rPr>
        <w:t>t quarter of fiscal 2021 compared to $1.1 billion for the first quarter of fiscal 2020. On a currency-neutral basis, NIKE Direct revenues increased 13%, driven by digital commerce sales growth of 83%, which more than offset comparable store sales contracti</w:t>
      </w:r>
      <w:r>
        <w:rPr>
          <w:rFonts w:ascii="Arial" w:eastAsia="宋体" w:hAnsi="Arial" w:cs="Arial"/>
          <w:color w:val="000000"/>
          <w:sz w:val="17"/>
          <w:szCs w:val="17"/>
        </w:rPr>
        <w:t xml:space="preserve">on of 20% </w:t>
      </w:r>
      <w:r>
        <w:rPr>
          <w:rFonts w:ascii="Arial" w:eastAsia="宋体" w:hAnsi="Arial" w:cs="Arial"/>
          <w:color w:val="212529"/>
          <w:sz w:val="17"/>
          <w:szCs w:val="17"/>
        </w:rPr>
        <w:t>primarily due to reduced physical retail traffic, in part resulting from safety-related measures in response to COVID-19</w:t>
      </w:r>
      <w:r>
        <w:rPr>
          <w:rFonts w:ascii="Arial" w:eastAsia="宋体" w:hAnsi="Arial" w:cs="Arial"/>
          <w:color w:val="000000"/>
          <w:sz w:val="17"/>
          <w:szCs w:val="17"/>
        </w:rPr>
        <w:t xml:space="preserve">. Comparable store sales, which exclude digital commerce sales, comprises revenues from NIKE-owned in-line and factory stores </w:t>
      </w:r>
      <w:r>
        <w:rPr>
          <w:rFonts w:ascii="Arial" w:eastAsia="宋体" w:hAnsi="Arial" w:cs="Arial"/>
          <w:color w:val="000000"/>
          <w:sz w:val="17"/>
          <w:szCs w:val="17"/>
        </w:rPr>
        <w:t>for which all three of the following requirements have been met: (1) the store has been open at least one year, (2) square footage has not changed by more than 15% within the past year and (3) the store has not been permanently repositioned within the past</w:t>
      </w:r>
      <w:r>
        <w:rPr>
          <w:rFonts w:ascii="Arial" w:eastAsia="宋体" w:hAnsi="Arial" w:cs="Arial"/>
          <w:color w:val="000000"/>
          <w:sz w:val="17"/>
          <w:szCs w:val="17"/>
        </w:rPr>
        <w:t xml:space="preserve"> year. Comparable store sales includes revenues from stores that were temporarily closed during the period as a result of COVID-19. Comparable store sales represents a performance measure that we believe is useful information for management and investors i</w:t>
      </w:r>
      <w:r>
        <w:rPr>
          <w:rFonts w:ascii="Arial" w:eastAsia="宋体" w:hAnsi="Arial" w:cs="Arial"/>
          <w:color w:val="000000"/>
          <w:sz w:val="17"/>
          <w:szCs w:val="17"/>
        </w:rPr>
        <w:t xml:space="preserve">n understanding the performance of our established NIKE-owned in-line and factory stores. Management considers this metric when making financial and </w:t>
      </w:r>
    </w:p>
    <w:p w14:paraId="1D026960" w14:textId="77777777" w:rsidR="004421F6" w:rsidRDefault="00F15622">
      <w:pPr>
        <w:spacing w:before="120" w:after="120"/>
      </w:pPr>
      <w:r>
        <w:rPr>
          <w:rFonts w:ascii="Arial" w:eastAsia="宋体" w:hAnsi="Arial" w:cs="Arial"/>
          <w:color w:val="E87722"/>
          <w:sz w:val="17"/>
          <w:szCs w:val="17"/>
        </w:rPr>
        <w:t>24</w:t>
      </w:r>
      <w:r>
        <w:rPr>
          <w:rFonts w:ascii="sans-serif" w:eastAsia="sans-serif" w:hAnsi="sans-serif" w:cs="sans-serif"/>
          <w:color w:val="000000"/>
          <w:sz w:val="17"/>
          <w:szCs w:val="17"/>
        </w:rPr>
        <w:t xml:space="preserve"> </w:t>
      </w:r>
    </w:p>
    <w:p w14:paraId="1D026961" w14:textId="77777777" w:rsidR="004421F6" w:rsidRDefault="00F15622">
      <w:r>
        <w:pict w14:anchorId="1D027293">
          <v:rect id="_x0000_i1050" style="width:415.3pt;height:1.5pt" o:hralign="center" o:hrstd="t" o:hr="t" fillcolor="#a0a0a0" stroked="f"/>
        </w:pict>
      </w:r>
    </w:p>
    <w:p w14:paraId="1D026962" w14:textId="77777777" w:rsidR="004421F6" w:rsidRDefault="004421F6"/>
    <w:p w14:paraId="1D026963" w14:textId="77777777" w:rsidR="004421F6" w:rsidRDefault="00F15622">
      <w:hyperlink r:id="rId95" w:anchor="i3e524f2e23844e81ba9d33a05ac3917c_7" w:history="1">
        <w:r>
          <w:rPr>
            <w:rStyle w:val="a5"/>
            <w:rFonts w:ascii="sans-serif" w:eastAsia="sans-serif" w:hAnsi="sans-serif" w:cs="sans-serif"/>
            <w:sz w:val="17"/>
            <w:szCs w:val="17"/>
          </w:rPr>
          <w:t>Table of Contents</w:t>
        </w:r>
      </w:hyperlink>
    </w:p>
    <w:p w14:paraId="1D026964" w14:textId="77777777" w:rsidR="004421F6" w:rsidRDefault="004421F6"/>
    <w:p w14:paraId="1D026965" w14:textId="77777777" w:rsidR="004421F6" w:rsidRDefault="00F15622">
      <w:pPr>
        <w:spacing w:before="120" w:after="120"/>
      </w:pPr>
      <w:r>
        <w:rPr>
          <w:rFonts w:ascii="Arial" w:eastAsia="宋体" w:hAnsi="Arial" w:cs="Arial"/>
          <w:color w:val="000000"/>
          <w:sz w:val="17"/>
          <w:szCs w:val="17"/>
        </w:rPr>
        <w:t>operating decisions. The method of calculating comparable store sales varies across t</w:t>
      </w:r>
      <w:r>
        <w:rPr>
          <w:rFonts w:ascii="Arial" w:eastAsia="宋体" w:hAnsi="Arial" w:cs="Arial"/>
          <w:color w:val="000000"/>
          <w:sz w:val="17"/>
          <w:szCs w:val="17"/>
        </w:rPr>
        <w:t>he retail industry. As a result, our calculation of this metric may not be comparable to similarly titled measures used by other companies.</w:t>
      </w:r>
    </w:p>
    <w:p w14:paraId="1D026966" w14:textId="77777777" w:rsidR="004421F6" w:rsidRDefault="00F15622">
      <w:pPr>
        <w:spacing w:before="240" w:after="120"/>
      </w:pPr>
      <w:r>
        <w:rPr>
          <w:rFonts w:ascii="sans-serif" w:eastAsia="sans-serif" w:hAnsi="sans-serif" w:cs="sans-serif"/>
          <w:b/>
          <w:bCs/>
          <w:color w:val="000000"/>
          <w:sz w:val="28"/>
          <w:szCs w:val="28"/>
        </w:rPr>
        <w:t>GROSS MARGIN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890"/>
        <w:gridCol w:w="36"/>
        <w:gridCol w:w="130"/>
        <w:gridCol w:w="788"/>
        <w:gridCol w:w="187"/>
        <w:gridCol w:w="130"/>
        <w:gridCol w:w="788"/>
        <w:gridCol w:w="187"/>
        <w:gridCol w:w="53"/>
        <w:gridCol w:w="707"/>
        <w:gridCol w:w="187"/>
        <w:gridCol w:w="36"/>
        <w:gridCol w:w="36"/>
        <w:gridCol w:w="36"/>
        <w:gridCol w:w="36"/>
        <w:gridCol w:w="36"/>
        <w:gridCol w:w="36"/>
      </w:tblGrid>
      <w:tr w:rsidR="004421F6" w14:paraId="1D026973" w14:textId="77777777">
        <w:trPr>
          <w:gridAfter w:val="6"/>
          <w:jc w:val="center"/>
        </w:trPr>
        <w:tc>
          <w:tcPr>
            <w:tcW w:w="50" w:type="pct"/>
            <w:shd w:val="clear" w:color="auto" w:fill="auto"/>
          </w:tcPr>
          <w:p w14:paraId="1D026967" w14:textId="77777777" w:rsidR="004421F6" w:rsidRDefault="004421F6">
            <w:pPr>
              <w:rPr>
                <w:rFonts w:ascii="宋体"/>
              </w:rPr>
            </w:pPr>
          </w:p>
        </w:tc>
        <w:tc>
          <w:tcPr>
            <w:tcW w:w="3120" w:type="pct"/>
            <w:shd w:val="clear" w:color="auto" w:fill="auto"/>
          </w:tcPr>
          <w:p w14:paraId="1D026968" w14:textId="77777777" w:rsidR="004421F6" w:rsidRDefault="004421F6">
            <w:pPr>
              <w:rPr>
                <w:rFonts w:ascii="宋体"/>
              </w:rPr>
            </w:pPr>
          </w:p>
        </w:tc>
        <w:tc>
          <w:tcPr>
            <w:tcW w:w="5" w:type="pct"/>
            <w:shd w:val="clear" w:color="auto" w:fill="auto"/>
          </w:tcPr>
          <w:p w14:paraId="1D026969" w14:textId="77777777" w:rsidR="004421F6" w:rsidRDefault="004421F6">
            <w:pPr>
              <w:rPr>
                <w:rFonts w:ascii="宋体"/>
              </w:rPr>
            </w:pPr>
          </w:p>
        </w:tc>
        <w:tc>
          <w:tcPr>
            <w:tcW w:w="50" w:type="pct"/>
            <w:shd w:val="clear" w:color="auto" w:fill="auto"/>
          </w:tcPr>
          <w:p w14:paraId="1D02696A" w14:textId="77777777" w:rsidR="004421F6" w:rsidRDefault="004421F6">
            <w:pPr>
              <w:rPr>
                <w:rFonts w:ascii="宋体"/>
              </w:rPr>
            </w:pPr>
          </w:p>
        </w:tc>
        <w:tc>
          <w:tcPr>
            <w:tcW w:w="553" w:type="pct"/>
            <w:shd w:val="clear" w:color="auto" w:fill="auto"/>
          </w:tcPr>
          <w:p w14:paraId="1D02696B" w14:textId="77777777" w:rsidR="004421F6" w:rsidRDefault="004421F6">
            <w:pPr>
              <w:rPr>
                <w:rFonts w:ascii="宋体"/>
              </w:rPr>
            </w:pPr>
          </w:p>
        </w:tc>
        <w:tc>
          <w:tcPr>
            <w:tcW w:w="5" w:type="pct"/>
            <w:shd w:val="clear" w:color="auto" w:fill="auto"/>
          </w:tcPr>
          <w:p w14:paraId="1D02696C" w14:textId="77777777" w:rsidR="004421F6" w:rsidRDefault="004421F6">
            <w:pPr>
              <w:rPr>
                <w:rFonts w:ascii="宋体"/>
              </w:rPr>
            </w:pPr>
          </w:p>
        </w:tc>
        <w:tc>
          <w:tcPr>
            <w:tcW w:w="50" w:type="pct"/>
            <w:shd w:val="clear" w:color="auto" w:fill="auto"/>
          </w:tcPr>
          <w:p w14:paraId="1D02696D" w14:textId="77777777" w:rsidR="004421F6" w:rsidRDefault="004421F6">
            <w:pPr>
              <w:rPr>
                <w:rFonts w:ascii="宋体"/>
              </w:rPr>
            </w:pPr>
          </w:p>
        </w:tc>
        <w:tc>
          <w:tcPr>
            <w:tcW w:w="553" w:type="pct"/>
            <w:shd w:val="clear" w:color="auto" w:fill="auto"/>
          </w:tcPr>
          <w:p w14:paraId="1D02696E" w14:textId="77777777" w:rsidR="004421F6" w:rsidRDefault="004421F6">
            <w:pPr>
              <w:rPr>
                <w:rFonts w:ascii="宋体"/>
              </w:rPr>
            </w:pPr>
          </w:p>
        </w:tc>
        <w:tc>
          <w:tcPr>
            <w:tcW w:w="5" w:type="pct"/>
            <w:shd w:val="clear" w:color="auto" w:fill="auto"/>
          </w:tcPr>
          <w:p w14:paraId="1D02696F" w14:textId="77777777" w:rsidR="004421F6" w:rsidRDefault="004421F6">
            <w:pPr>
              <w:rPr>
                <w:rFonts w:ascii="宋体"/>
              </w:rPr>
            </w:pPr>
          </w:p>
        </w:tc>
        <w:tc>
          <w:tcPr>
            <w:tcW w:w="50" w:type="pct"/>
            <w:shd w:val="clear" w:color="auto" w:fill="auto"/>
          </w:tcPr>
          <w:p w14:paraId="1D026970" w14:textId="77777777" w:rsidR="004421F6" w:rsidRDefault="004421F6">
            <w:pPr>
              <w:rPr>
                <w:rFonts w:ascii="宋体"/>
              </w:rPr>
            </w:pPr>
          </w:p>
        </w:tc>
        <w:tc>
          <w:tcPr>
            <w:tcW w:w="553" w:type="pct"/>
            <w:shd w:val="clear" w:color="auto" w:fill="auto"/>
          </w:tcPr>
          <w:p w14:paraId="1D026971" w14:textId="77777777" w:rsidR="004421F6" w:rsidRDefault="004421F6">
            <w:pPr>
              <w:rPr>
                <w:rFonts w:ascii="宋体"/>
              </w:rPr>
            </w:pPr>
          </w:p>
        </w:tc>
        <w:tc>
          <w:tcPr>
            <w:tcW w:w="5" w:type="pct"/>
            <w:shd w:val="clear" w:color="auto" w:fill="auto"/>
          </w:tcPr>
          <w:p w14:paraId="1D026972" w14:textId="77777777" w:rsidR="004421F6" w:rsidRDefault="004421F6">
            <w:pPr>
              <w:rPr>
                <w:rFonts w:ascii="宋体"/>
              </w:rPr>
            </w:pPr>
          </w:p>
        </w:tc>
      </w:tr>
      <w:tr w:rsidR="004421F6" w14:paraId="1D026978" w14:textId="77777777">
        <w:trPr>
          <w:jc w:val="center"/>
        </w:trPr>
        <w:tc>
          <w:tcPr>
            <w:tcW w:w="0" w:type="auto"/>
            <w:gridSpan w:val="3"/>
            <w:shd w:val="clear" w:color="auto" w:fill="auto"/>
            <w:tcMar>
              <w:left w:w="20" w:type="dxa"/>
              <w:right w:w="20" w:type="dxa"/>
            </w:tcMar>
            <w:vAlign w:val="bottom"/>
          </w:tcPr>
          <w:p w14:paraId="1D026974" w14:textId="77777777" w:rsidR="004421F6" w:rsidRDefault="004421F6">
            <w:pPr>
              <w:rPr>
                <w:rFonts w:ascii="宋体"/>
              </w:rPr>
            </w:pPr>
          </w:p>
        </w:tc>
        <w:tc>
          <w:tcPr>
            <w:tcW w:w="0" w:type="auto"/>
            <w:gridSpan w:val="9"/>
            <w:shd w:val="clear" w:color="auto" w:fill="auto"/>
            <w:tcMar>
              <w:top w:w="40" w:type="dxa"/>
              <w:left w:w="20" w:type="dxa"/>
              <w:bottom w:w="40" w:type="dxa"/>
              <w:right w:w="20" w:type="dxa"/>
            </w:tcMar>
            <w:vAlign w:val="bottom"/>
          </w:tcPr>
          <w:p w14:paraId="1D026975"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6976" w14:textId="77777777" w:rsidR="004421F6" w:rsidRDefault="004421F6">
            <w:pPr>
              <w:rPr>
                <w:rFonts w:ascii="宋体"/>
                <w:vanish/>
              </w:rPr>
            </w:pPr>
          </w:p>
        </w:tc>
        <w:tc>
          <w:tcPr>
            <w:tcW w:w="0" w:type="auto"/>
            <w:gridSpan w:val="3"/>
            <w:shd w:val="clear" w:color="auto" w:fill="auto"/>
          </w:tcPr>
          <w:p w14:paraId="1D026977" w14:textId="77777777" w:rsidR="004421F6" w:rsidRDefault="004421F6">
            <w:pPr>
              <w:rPr>
                <w:rFonts w:ascii="宋体"/>
                <w:vanish/>
              </w:rPr>
            </w:pPr>
          </w:p>
        </w:tc>
      </w:tr>
      <w:tr w:rsidR="004421F6" w14:paraId="1D026983" w14:textId="77777777">
        <w:trPr>
          <w:jc w:val="center"/>
        </w:trPr>
        <w:tc>
          <w:tcPr>
            <w:tcW w:w="0" w:type="auto"/>
            <w:gridSpan w:val="3"/>
            <w:shd w:val="clear" w:color="auto" w:fill="auto"/>
            <w:tcMar>
              <w:top w:w="40" w:type="dxa"/>
              <w:left w:w="20" w:type="dxa"/>
              <w:bottom w:w="40" w:type="dxa"/>
              <w:right w:w="20" w:type="dxa"/>
            </w:tcMar>
            <w:vAlign w:val="bottom"/>
          </w:tcPr>
          <w:p w14:paraId="1D026979" w14:textId="77777777" w:rsidR="004421F6" w:rsidRDefault="00F15622">
            <w:pPr>
              <w:spacing w:before="120" w:after="120"/>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97A"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97B"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97C" w14:textId="77777777" w:rsidR="004421F6" w:rsidRDefault="00F15622">
            <w:pPr>
              <w:jc w:val="right"/>
              <w:textAlignment w:val="bottom"/>
            </w:pPr>
            <w:r>
              <w:rPr>
                <w:rFonts w:ascii="sans-serif" w:eastAsia="sans-serif" w:hAnsi="sans-serif" w:cs="sans-serif"/>
                <w:b/>
                <w:bCs/>
                <w:color w:val="000000"/>
                <w:sz w:val="17"/>
                <w:szCs w:val="17"/>
              </w:rPr>
              <w:t>% CHANGE</w:t>
            </w:r>
          </w:p>
        </w:tc>
        <w:tc>
          <w:tcPr>
            <w:tcW w:w="0" w:type="auto"/>
            <w:shd w:val="clear" w:color="auto" w:fill="auto"/>
          </w:tcPr>
          <w:p w14:paraId="1D02697D" w14:textId="77777777" w:rsidR="004421F6" w:rsidRDefault="004421F6">
            <w:pPr>
              <w:rPr>
                <w:rFonts w:ascii="宋体"/>
              </w:rPr>
            </w:pPr>
          </w:p>
        </w:tc>
        <w:tc>
          <w:tcPr>
            <w:tcW w:w="0" w:type="auto"/>
            <w:shd w:val="clear" w:color="auto" w:fill="auto"/>
          </w:tcPr>
          <w:p w14:paraId="1D02697E" w14:textId="77777777" w:rsidR="004421F6" w:rsidRDefault="004421F6">
            <w:pPr>
              <w:rPr>
                <w:rFonts w:ascii="宋体"/>
              </w:rPr>
            </w:pPr>
          </w:p>
        </w:tc>
        <w:tc>
          <w:tcPr>
            <w:tcW w:w="0" w:type="auto"/>
            <w:shd w:val="clear" w:color="auto" w:fill="auto"/>
          </w:tcPr>
          <w:p w14:paraId="1D02697F" w14:textId="77777777" w:rsidR="004421F6" w:rsidRDefault="004421F6">
            <w:pPr>
              <w:rPr>
                <w:rFonts w:ascii="宋体"/>
              </w:rPr>
            </w:pPr>
          </w:p>
        </w:tc>
        <w:tc>
          <w:tcPr>
            <w:tcW w:w="0" w:type="auto"/>
            <w:shd w:val="clear" w:color="auto" w:fill="auto"/>
          </w:tcPr>
          <w:p w14:paraId="1D026980" w14:textId="77777777" w:rsidR="004421F6" w:rsidRDefault="004421F6">
            <w:pPr>
              <w:rPr>
                <w:rFonts w:ascii="宋体"/>
              </w:rPr>
            </w:pPr>
          </w:p>
        </w:tc>
        <w:tc>
          <w:tcPr>
            <w:tcW w:w="0" w:type="auto"/>
            <w:shd w:val="clear" w:color="auto" w:fill="auto"/>
          </w:tcPr>
          <w:p w14:paraId="1D026981" w14:textId="77777777" w:rsidR="004421F6" w:rsidRDefault="004421F6">
            <w:pPr>
              <w:rPr>
                <w:rFonts w:ascii="宋体"/>
              </w:rPr>
            </w:pPr>
          </w:p>
        </w:tc>
        <w:tc>
          <w:tcPr>
            <w:tcW w:w="0" w:type="auto"/>
            <w:shd w:val="clear" w:color="auto" w:fill="auto"/>
          </w:tcPr>
          <w:p w14:paraId="1D026982" w14:textId="77777777" w:rsidR="004421F6" w:rsidRDefault="004421F6">
            <w:pPr>
              <w:rPr>
                <w:rFonts w:ascii="宋体"/>
              </w:rPr>
            </w:pPr>
          </w:p>
        </w:tc>
      </w:tr>
      <w:tr w:rsidR="004421F6" w14:paraId="1D026993"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984" w14:textId="77777777" w:rsidR="004421F6" w:rsidRDefault="00F15622">
            <w:pPr>
              <w:textAlignment w:val="bottom"/>
            </w:pPr>
            <w:r>
              <w:rPr>
                <w:rFonts w:ascii="Arial" w:eastAsia="宋体" w:hAnsi="Arial" w:cs="Arial"/>
                <w:color w:val="000000"/>
                <w:sz w:val="17"/>
                <w:szCs w:val="17"/>
              </w:rPr>
              <w:t>Gross Profit</w:t>
            </w:r>
          </w:p>
        </w:tc>
        <w:tc>
          <w:tcPr>
            <w:tcW w:w="0" w:type="auto"/>
            <w:tcBorders>
              <w:top w:val="single" w:sz="8" w:space="0" w:color="E87722"/>
            </w:tcBorders>
            <w:shd w:val="clear" w:color="auto" w:fill="FFF1E7"/>
            <w:tcMar>
              <w:top w:w="40" w:type="dxa"/>
              <w:left w:w="20" w:type="dxa"/>
              <w:bottom w:w="40" w:type="dxa"/>
            </w:tcMar>
            <w:vAlign w:val="bottom"/>
          </w:tcPr>
          <w:p w14:paraId="1D026985"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986" w14:textId="77777777" w:rsidR="004421F6" w:rsidRDefault="00F15622">
            <w:pPr>
              <w:jc w:val="right"/>
              <w:textAlignment w:val="bottom"/>
            </w:pPr>
            <w:r>
              <w:rPr>
                <w:rFonts w:ascii="Arial" w:eastAsia="宋体" w:hAnsi="Arial" w:cs="Arial"/>
                <w:color w:val="000000"/>
                <w:sz w:val="17"/>
                <w:szCs w:val="17"/>
              </w:rPr>
              <w:t>4,741 </w:t>
            </w:r>
          </w:p>
        </w:tc>
        <w:tc>
          <w:tcPr>
            <w:tcW w:w="0" w:type="auto"/>
            <w:tcBorders>
              <w:top w:val="single" w:sz="8" w:space="0" w:color="E87722"/>
            </w:tcBorders>
            <w:shd w:val="clear" w:color="auto" w:fill="FFF1E7"/>
            <w:tcMar>
              <w:top w:w="40" w:type="dxa"/>
              <w:bottom w:w="40" w:type="dxa"/>
              <w:right w:w="20" w:type="dxa"/>
            </w:tcMar>
            <w:vAlign w:val="bottom"/>
          </w:tcPr>
          <w:p w14:paraId="1D026987"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988"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989" w14:textId="77777777" w:rsidR="004421F6" w:rsidRDefault="00F15622">
            <w:pPr>
              <w:jc w:val="right"/>
              <w:textAlignment w:val="bottom"/>
            </w:pPr>
            <w:r>
              <w:rPr>
                <w:rFonts w:ascii="Arial" w:eastAsia="宋体" w:hAnsi="Arial" w:cs="Arial"/>
                <w:color w:val="000000"/>
                <w:sz w:val="17"/>
                <w:szCs w:val="17"/>
              </w:rPr>
              <w:t>4,871 </w:t>
            </w:r>
          </w:p>
        </w:tc>
        <w:tc>
          <w:tcPr>
            <w:tcW w:w="0" w:type="auto"/>
            <w:tcBorders>
              <w:top w:val="single" w:sz="8" w:space="0" w:color="E87722"/>
            </w:tcBorders>
            <w:shd w:val="clear" w:color="auto" w:fill="auto"/>
            <w:tcMar>
              <w:top w:w="40" w:type="dxa"/>
              <w:bottom w:w="40" w:type="dxa"/>
              <w:right w:w="20" w:type="dxa"/>
            </w:tcMar>
            <w:vAlign w:val="bottom"/>
          </w:tcPr>
          <w:p w14:paraId="1D02698A"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98B" w14:textId="77777777" w:rsidR="004421F6" w:rsidRDefault="00F15622">
            <w:pPr>
              <w:jc w:val="right"/>
              <w:textAlignment w:val="bottom"/>
            </w:pPr>
            <w:r>
              <w:rPr>
                <w:rFonts w:ascii="Arial" w:eastAsia="宋体" w:hAnsi="Arial" w:cs="Arial"/>
                <w:color w:val="000000"/>
                <w:sz w:val="17"/>
                <w:szCs w:val="17"/>
              </w:rPr>
              <w:t>-3 </w:t>
            </w:r>
          </w:p>
        </w:tc>
        <w:tc>
          <w:tcPr>
            <w:tcW w:w="0" w:type="auto"/>
            <w:tcBorders>
              <w:top w:val="single" w:sz="8" w:space="0" w:color="E87722"/>
            </w:tcBorders>
            <w:shd w:val="clear" w:color="auto" w:fill="auto"/>
            <w:tcMar>
              <w:top w:w="40" w:type="dxa"/>
              <w:bottom w:w="40" w:type="dxa"/>
              <w:right w:w="20" w:type="dxa"/>
            </w:tcMar>
            <w:vAlign w:val="bottom"/>
          </w:tcPr>
          <w:p w14:paraId="1D02698C" w14:textId="77777777" w:rsidR="004421F6" w:rsidRDefault="00F15622">
            <w:pPr>
              <w:textAlignment w:val="bottom"/>
            </w:pPr>
            <w:r>
              <w:rPr>
                <w:rFonts w:ascii="Arial" w:eastAsia="宋体" w:hAnsi="Arial" w:cs="Arial"/>
                <w:color w:val="000000"/>
                <w:sz w:val="17"/>
                <w:szCs w:val="17"/>
              </w:rPr>
              <w:t>%</w:t>
            </w:r>
          </w:p>
        </w:tc>
        <w:tc>
          <w:tcPr>
            <w:tcW w:w="0" w:type="auto"/>
            <w:shd w:val="clear" w:color="auto" w:fill="auto"/>
          </w:tcPr>
          <w:p w14:paraId="1D02698D" w14:textId="77777777" w:rsidR="004421F6" w:rsidRDefault="004421F6">
            <w:pPr>
              <w:rPr>
                <w:rFonts w:ascii="宋体"/>
              </w:rPr>
            </w:pPr>
          </w:p>
        </w:tc>
        <w:tc>
          <w:tcPr>
            <w:tcW w:w="0" w:type="auto"/>
            <w:shd w:val="clear" w:color="auto" w:fill="auto"/>
          </w:tcPr>
          <w:p w14:paraId="1D02698E" w14:textId="77777777" w:rsidR="004421F6" w:rsidRDefault="004421F6">
            <w:pPr>
              <w:rPr>
                <w:rFonts w:ascii="宋体"/>
              </w:rPr>
            </w:pPr>
          </w:p>
        </w:tc>
        <w:tc>
          <w:tcPr>
            <w:tcW w:w="0" w:type="auto"/>
            <w:shd w:val="clear" w:color="auto" w:fill="auto"/>
          </w:tcPr>
          <w:p w14:paraId="1D02698F" w14:textId="77777777" w:rsidR="004421F6" w:rsidRDefault="004421F6">
            <w:pPr>
              <w:rPr>
                <w:rFonts w:ascii="宋体"/>
              </w:rPr>
            </w:pPr>
          </w:p>
        </w:tc>
        <w:tc>
          <w:tcPr>
            <w:tcW w:w="0" w:type="auto"/>
            <w:shd w:val="clear" w:color="auto" w:fill="auto"/>
          </w:tcPr>
          <w:p w14:paraId="1D026990" w14:textId="77777777" w:rsidR="004421F6" w:rsidRDefault="004421F6">
            <w:pPr>
              <w:rPr>
                <w:rFonts w:ascii="宋体"/>
              </w:rPr>
            </w:pPr>
          </w:p>
        </w:tc>
        <w:tc>
          <w:tcPr>
            <w:tcW w:w="0" w:type="auto"/>
            <w:shd w:val="clear" w:color="auto" w:fill="auto"/>
          </w:tcPr>
          <w:p w14:paraId="1D026991" w14:textId="77777777" w:rsidR="004421F6" w:rsidRDefault="004421F6">
            <w:pPr>
              <w:rPr>
                <w:rFonts w:ascii="宋体"/>
              </w:rPr>
            </w:pPr>
          </w:p>
        </w:tc>
        <w:tc>
          <w:tcPr>
            <w:tcW w:w="0" w:type="auto"/>
            <w:shd w:val="clear" w:color="auto" w:fill="auto"/>
          </w:tcPr>
          <w:p w14:paraId="1D026992" w14:textId="77777777" w:rsidR="004421F6" w:rsidRDefault="004421F6">
            <w:pPr>
              <w:rPr>
                <w:rFonts w:ascii="宋体"/>
              </w:rPr>
            </w:pPr>
          </w:p>
        </w:tc>
      </w:tr>
      <w:tr w:rsidR="004421F6" w14:paraId="1D0269A0" w14:textId="77777777">
        <w:trPr>
          <w:jc w:val="center"/>
        </w:trPr>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1D026994" w14:textId="77777777" w:rsidR="004421F6" w:rsidRDefault="00F15622">
            <w:pPr>
              <w:textAlignment w:val="bottom"/>
            </w:pPr>
            <w:r>
              <w:rPr>
                <w:rFonts w:ascii="Arial" w:eastAsia="宋体" w:hAnsi="Arial" w:cs="Arial"/>
                <w:color w:val="000000"/>
                <w:sz w:val="17"/>
                <w:szCs w:val="17"/>
              </w:rPr>
              <w:t>Gross Margin</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1D026995" w14:textId="77777777" w:rsidR="004421F6" w:rsidRDefault="00F15622">
            <w:pPr>
              <w:jc w:val="right"/>
              <w:textAlignment w:val="bottom"/>
            </w:pPr>
            <w:r>
              <w:rPr>
                <w:rFonts w:ascii="Arial" w:eastAsia="宋体" w:hAnsi="Arial" w:cs="Arial"/>
                <w:color w:val="000000"/>
                <w:sz w:val="17"/>
                <w:szCs w:val="17"/>
              </w:rPr>
              <w:t>44.8 </w:t>
            </w:r>
          </w:p>
        </w:tc>
        <w:tc>
          <w:tcPr>
            <w:tcW w:w="0" w:type="auto"/>
            <w:tcBorders>
              <w:top w:val="single" w:sz="8" w:space="0" w:color="808080"/>
              <w:bottom w:val="single" w:sz="8" w:space="0" w:color="E87722"/>
            </w:tcBorders>
            <w:shd w:val="clear" w:color="auto" w:fill="FFF1E7"/>
            <w:tcMar>
              <w:top w:w="40" w:type="dxa"/>
              <w:bottom w:w="40" w:type="dxa"/>
              <w:right w:w="20" w:type="dxa"/>
            </w:tcMar>
            <w:vAlign w:val="bottom"/>
          </w:tcPr>
          <w:p w14:paraId="1D026996"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1D026997" w14:textId="77777777" w:rsidR="004421F6" w:rsidRDefault="00F15622">
            <w:pPr>
              <w:jc w:val="right"/>
              <w:textAlignment w:val="bottom"/>
            </w:pPr>
            <w:r>
              <w:rPr>
                <w:rFonts w:ascii="Arial" w:eastAsia="宋体" w:hAnsi="Arial" w:cs="Arial"/>
                <w:color w:val="000000"/>
                <w:sz w:val="17"/>
                <w:szCs w:val="17"/>
              </w:rPr>
              <w:t>45.7 </w:t>
            </w:r>
          </w:p>
        </w:tc>
        <w:tc>
          <w:tcPr>
            <w:tcW w:w="0" w:type="auto"/>
            <w:tcBorders>
              <w:top w:val="single" w:sz="8" w:space="0" w:color="808080"/>
              <w:bottom w:val="single" w:sz="8" w:space="0" w:color="E87722"/>
            </w:tcBorders>
            <w:shd w:val="clear" w:color="auto" w:fill="auto"/>
            <w:tcMar>
              <w:top w:w="40" w:type="dxa"/>
              <w:bottom w:w="40" w:type="dxa"/>
              <w:right w:w="20" w:type="dxa"/>
            </w:tcMar>
            <w:vAlign w:val="bottom"/>
          </w:tcPr>
          <w:p w14:paraId="1D026998" w14:textId="77777777" w:rsidR="004421F6" w:rsidRDefault="00F15622">
            <w:pPr>
              <w:jc w:val="right"/>
              <w:textAlignment w:val="bottom"/>
            </w:pPr>
            <w:r>
              <w:rPr>
                <w:rFonts w:ascii="Arial" w:eastAsia="宋体" w:hAnsi="Arial" w:cs="Arial"/>
                <w:color w:val="000000"/>
                <w:sz w:val="17"/>
                <w:szCs w:val="17"/>
              </w:rPr>
              <w:t>%</w:t>
            </w: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tcPr>
          <w:p w14:paraId="1D026999" w14:textId="77777777" w:rsidR="004421F6" w:rsidRDefault="00F15622">
            <w:pPr>
              <w:jc w:val="right"/>
              <w:textAlignment w:val="top"/>
            </w:pPr>
            <w:r>
              <w:rPr>
                <w:rFonts w:ascii="Arial" w:eastAsia="宋体" w:hAnsi="Arial" w:cs="Arial"/>
                <w:color w:val="000000"/>
                <w:sz w:val="17"/>
                <w:szCs w:val="17"/>
              </w:rPr>
              <w:t>(90) bps</w:t>
            </w:r>
          </w:p>
        </w:tc>
        <w:tc>
          <w:tcPr>
            <w:tcW w:w="0" w:type="auto"/>
            <w:shd w:val="clear" w:color="auto" w:fill="auto"/>
          </w:tcPr>
          <w:p w14:paraId="1D02699A" w14:textId="77777777" w:rsidR="004421F6" w:rsidRDefault="004421F6">
            <w:pPr>
              <w:rPr>
                <w:rFonts w:ascii="宋体"/>
              </w:rPr>
            </w:pPr>
          </w:p>
        </w:tc>
        <w:tc>
          <w:tcPr>
            <w:tcW w:w="0" w:type="auto"/>
            <w:shd w:val="clear" w:color="auto" w:fill="auto"/>
          </w:tcPr>
          <w:p w14:paraId="1D02699B" w14:textId="77777777" w:rsidR="004421F6" w:rsidRDefault="004421F6">
            <w:pPr>
              <w:rPr>
                <w:rFonts w:ascii="宋体"/>
              </w:rPr>
            </w:pPr>
          </w:p>
        </w:tc>
        <w:tc>
          <w:tcPr>
            <w:tcW w:w="0" w:type="auto"/>
            <w:shd w:val="clear" w:color="auto" w:fill="auto"/>
          </w:tcPr>
          <w:p w14:paraId="1D02699C" w14:textId="77777777" w:rsidR="004421F6" w:rsidRDefault="004421F6">
            <w:pPr>
              <w:rPr>
                <w:rFonts w:ascii="宋体"/>
              </w:rPr>
            </w:pPr>
          </w:p>
        </w:tc>
        <w:tc>
          <w:tcPr>
            <w:tcW w:w="0" w:type="auto"/>
            <w:shd w:val="clear" w:color="auto" w:fill="auto"/>
          </w:tcPr>
          <w:p w14:paraId="1D02699D" w14:textId="77777777" w:rsidR="004421F6" w:rsidRDefault="004421F6">
            <w:pPr>
              <w:rPr>
                <w:rFonts w:ascii="宋体"/>
              </w:rPr>
            </w:pPr>
          </w:p>
        </w:tc>
        <w:tc>
          <w:tcPr>
            <w:tcW w:w="0" w:type="auto"/>
            <w:shd w:val="clear" w:color="auto" w:fill="auto"/>
          </w:tcPr>
          <w:p w14:paraId="1D02699E" w14:textId="77777777" w:rsidR="004421F6" w:rsidRDefault="004421F6">
            <w:pPr>
              <w:rPr>
                <w:rFonts w:ascii="宋体"/>
              </w:rPr>
            </w:pPr>
          </w:p>
        </w:tc>
        <w:tc>
          <w:tcPr>
            <w:tcW w:w="0" w:type="auto"/>
            <w:shd w:val="clear" w:color="auto" w:fill="auto"/>
          </w:tcPr>
          <w:p w14:paraId="1D02699F" w14:textId="77777777" w:rsidR="004421F6" w:rsidRDefault="004421F6">
            <w:pPr>
              <w:rPr>
                <w:rFonts w:ascii="宋体"/>
              </w:rPr>
            </w:pPr>
          </w:p>
        </w:tc>
      </w:tr>
    </w:tbl>
    <w:p w14:paraId="1D0269A1" w14:textId="77777777" w:rsidR="004421F6" w:rsidRDefault="00F15622">
      <w:pPr>
        <w:spacing w:before="120" w:after="120"/>
      </w:pPr>
      <w:r>
        <w:rPr>
          <w:rFonts w:ascii="Arial" w:eastAsia="宋体" w:hAnsi="Arial" w:cs="Arial"/>
          <w:color w:val="000000"/>
          <w:sz w:val="17"/>
          <w:szCs w:val="17"/>
        </w:rPr>
        <w:t xml:space="preserve">For the first quarter of fiscal 2021, our consolidated gross margin was 90 basis points lower than the respective prior year period and reflected </w:t>
      </w:r>
      <w:r>
        <w:rPr>
          <w:rFonts w:ascii="Arial" w:eastAsia="宋体" w:hAnsi="Arial" w:cs="Arial"/>
          <w:color w:val="000000"/>
          <w:sz w:val="17"/>
          <w:szCs w:val="17"/>
        </w:rPr>
        <w:t>unfavorable impacts from COVID-19. The change in gross margin primarily reflected the following factors:</w:t>
      </w:r>
    </w:p>
    <w:p w14:paraId="1D0269A2" w14:textId="77777777" w:rsidR="004421F6" w:rsidRDefault="00F1562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Lower margin in our NIKE Direct business, reflecting higher promotions to reduce excess inventory (decreasing gross margin 150 basis points);</w:t>
      </w:r>
    </w:p>
    <w:p w14:paraId="1D0269A3" w14:textId="77777777" w:rsidR="004421F6" w:rsidRDefault="00F1562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Higher </w:t>
      </w:r>
      <w:r>
        <w:rPr>
          <w:rFonts w:ascii="Arial" w:eastAsia="宋体" w:hAnsi="Arial" w:cs="Arial"/>
          <w:color w:val="000000"/>
          <w:sz w:val="17"/>
          <w:szCs w:val="17"/>
        </w:rPr>
        <w:t>NIKE Brand product costs, on a wholesale equivalent basis, in part due to incremental tariffs in North America (decreasing gross margin approximately 120 basis points);</w:t>
      </w:r>
    </w:p>
    <w:p w14:paraId="1D0269A4" w14:textId="77777777" w:rsidR="004421F6" w:rsidRDefault="00F1562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Unfavorable changes in net foreign currency exchange rates, including hedges, </w:t>
      </w:r>
      <w:r>
        <w:rPr>
          <w:rFonts w:ascii="Arial" w:eastAsia="宋体" w:hAnsi="Arial" w:cs="Arial"/>
          <w:color w:val="000000"/>
          <w:sz w:val="17"/>
          <w:szCs w:val="17"/>
        </w:rPr>
        <w:t>(decreasing gross margin approximately 30 basis points);</w:t>
      </w:r>
    </w:p>
    <w:p w14:paraId="1D0269A5" w14:textId="77777777" w:rsidR="004421F6" w:rsidRDefault="00F1562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NIKE Brand full-price ASP, net of discounts, (increasing gross margin approximately 200 basis points); and</w:t>
      </w:r>
    </w:p>
    <w:p w14:paraId="1D0269A6" w14:textId="77777777" w:rsidR="004421F6" w:rsidRDefault="00F1562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Lower other costs, in part reflecting the favorable impact from the release of fact</w:t>
      </w:r>
      <w:r>
        <w:rPr>
          <w:rFonts w:ascii="Arial" w:eastAsia="宋体" w:hAnsi="Arial" w:cs="Arial"/>
          <w:color w:val="000000"/>
          <w:sz w:val="17"/>
          <w:szCs w:val="17"/>
        </w:rPr>
        <w:t>ory cancellation cost accruals due to higher than anticipated consumer demand, partially offset by higher supply chain costs (increasing gross margin approximately 20 basis points).</w:t>
      </w:r>
    </w:p>
    <w:p w14:paraId="1D0269A7" w14:textId="77777777" w:rsidR="004421F6" w:rsidRDefault="00F15622">
      <w:pPr>
        <w:spacing w:before="240" w:after="120"/>
      </w:pPr>
      <w:r>
        <w:rPr>
          <w:rFonts w:ascii="sans-serif" w:eastAsia="sans-serif" w:hAnsi="sans-serif" w:cs="sans-serif"/>
          <w:b/>
          <w:bCs/>
          <w:color w:val="000000"/>
          <w:sz w:val="28"/>
          <w:szCs w:val="28"/>
        </w:rPr>
        <w:t>TOTAL SELLING AND ADMINISTRATIVE EXPENSE</w:t>
      </w:r>
    </w:p>
    <w:tbl>
      <w:tblPr>
        <w:tblW w:w="5000" w:type="pct"/>
        <w:tblCellMar>
          <w:top w:w="15" w:type="dxa"/>
          <w:left w:w="15" w:type="dxa"/>
          <w:bottom w:w="15" w:type="dxa"/>
          <w:right w:w="15" w:type="dxa"/>
        </w:tblCellMar>
        <w:tblLook w:val="04A0" w:firstRow="1" w:lastRow="0" w:firstColumn="1" w:lastColumn="0" w:noHBand="0" w:noVBand="1"/>
      </w:tblPr>
      <w:tblGrid>
        <w:gridCol w:w="39"/>
        <w:gridCol w:w="4887"/>
        <w:gridCol w:w="38"/>
        <w:gridCol w:w="130"/>
        <w:gridCol w:w="788"/>
        <w:gridCol w:w="187"/>
        <w:gridCol w:w="130"/>
        <w:gridCol w:w="788"/>
        <w:gridCol w:w="187"/>
        <w:gridCol w:w="53"/>
        <w:gridCol w:w="706"/>
        <w:gridCol w:w="187"/>
        <w:gridCol w:w="36"/>
        <w:gridCol w:w="36"/>
        <w:gridCol w:w="36"/>
        <w:gridCol w:w="36"/>
        <w:gridCol w:w="36"/>
        <w:gridCol w:w="36"/>
      </w:tblGrid>
      <w:tr w:rsidR="004421F6" w14:paraId="1D0269B4" w14:textId="77777777">
        <w:trPr>
          <w:gridAfter w:val="6"/>
        </w:trPr>
        <w:tc>
          <w:tcPr>
            <w:tcW w:w="50" w:type="pct"/>
            <w:shd w:val="clear" w:color="auto" w:fill="auto"/>
          </w:tcPr>
          <w:p w14:paraId="1D0269A8" w14:textId="77777777" w:rsidR="004421F6" w:rsidRDefault="004421F6">
            <w:pPr>
              <w:rPr>
                <w:rFonts w:ascii="宋体"/>
              </w:rPr>
            </w:pPr>
          </w:p>
        </w:tc>
        <w:tc>
          <w:tcPr>
            <w:tcW w:w="3120" w:type="pct"/>
            <w:shd w:val="clear" w:color="auto" w:fill="auto"/>
          </w:tcPr>
          <w:p w14:paraId="1D0269A9" w14:textId="77777777" w:rsidR="004421F6" w:rsidRDefault="004421F6">
            <w:pPr>
              <w:rPr>
                <w:rFonts w:ascii="宋体"/>
              </w:rPr>
            </w:pPr>
          </w:p>
        </w:tc>
        <w:tc>
          <w:tcPr>
            <w:tcW w:w="5" w:type="pct"/>
            <w:shd w:val="clear" w:color="auto" w:fill="auto"/>
          </w:tcPr>
          <w:p w14:paraId="1D0269AA" w14:textId="77777777" w:rsidR="004421F6" w:rsidRDefault="004421F6">
            <w:pPr>
              <w:rPr>
                <w:rFonts w:ascii="宋体"/>
              </w:rPr>
            </w:pPr>
          </w:p>
        </w:tc>
        <w:tc>
          <w:tcPr>
            <w:tcW w:w="50" w:type="pct"/>
            <w:shd w:val="clear" w:color="auto" w:fill="auto"/>
          </w:tcPr>
          <w:p w14:paraId="1D0269AB" w14:textId="77777777" w:rsidR="004421F6" w:rsidRDefault="004421F6">
            <w:pPr>
              <w:rPr>
                <w:rFonts w:ascii="宋体"/>
              </w:rPr>
            </w:pPr>
          </w:p>
        </w:tc>
        <w:tc>
          <w:tcPr>
            <w:tcW w:w="553" w:type="pct"/>
            <w:shd w:val="clear" w:color="auto" w:fill="auto"/>
          </w:tcPr>
          <w:p w14:paraId="1D0269AC" w14:textId="77777777" w:rsidR="004421F6" w:rsidRDefault="004421F6">
            <w:pPr>
              <w:rPr>
                <w:rFonts w:ascii="宋体"/>
              </w:rPr>
            </w:pPr>
          </w:p>
        </w:tc>
        <w:tc>
          <w:tcPr>
            <w:tcW w:w="5" w:type="pct"/>
            <w:shd w:val="clear" w:color="auto" w:fill="auto"/>
          </w:tcPr>
          <w:p w14:paraId="1D0269AD" w14:textId="77777777" w:rsidR="004421F6" w:rsidRDefault="004421F6">
            <w:pPr>
              <w:rPr>
                <w:rFonts w:ascii="宋体"/>
              </w:rPr>
            </w:pPr>
          </w:p>
        </w:tc>
        <w:tc>
          <w:tcPr>
            <w:tcW w:w="50" w:type="pct"/>
            <w:shd w:val="clear" w:color="auto" w:fill="auto"/>
          </w:tcPr>
          <w:p w14:paraId="1D0269AE" w14:textId="77777777" w:rsidR="004421F6" w:rsidRDefault="004421F6">
            <w:pPr>
              <w:rPr>
                <w:rFonts w:ascii="宋体"/>
              </w:rPr>
            </w:pPr>
          </w:p>
        </w:tc>
        <w:tc>
          <w:tcPr>
            <w:tcW w:w="553" w:type="pct"/>
            <w:shd w:val="clear" w:color="auto" w:fill="auto"/>
          </w:tcPr>
          <w:p w14:paraId="1D0269AF" w14:textId="77777777" w:rsidR="004421F6" w:rsidRDefault="004421F6">
            <w:pPr>
              <w:rPr>
                <w:rFonts w:ascii="宋体"/>
              </w:rPr>
            </w:pPr>
          </w:p>
        </w:tc>
        <w:tc>
          <w:tcPr>
            <w:tcW w:w="5" w:type="pct"/>
            <w:shd w:val="clear" w:color="auto" w:fill="auto"/>
          </w:tcPr>
          <w:p w14:paraId="1D0269B0" w14:textId="77777777" w:rsidR="004421F6" w:rsidRDefault="004421F6">
            <w:pPr>
              <w:rPr>
                <w:rFonts w:ascii="宋体"/>
              </w:rPr>
            </w:pPr>
          </w:p>
        </w:tc>
        <w:tc>
          <w:tcPr>
            <w:tcW w:w="50" w:type="pct"/>
            <w:shd w:val="clear" w:color="auto" w:fill="auto"/>
          </w:tcPr>
          <w:p w14:paraId="1D0269B1" w14:textId="77777777" w:rsidR="004421F6" w:rsidRDefault="004421F6">
            <w:pPr>
              <w:rPr>
                <w:rFonts w:ascii="宋体"/>
              </w:rPr>
            </w:pPr>
          </w:p>
        </w:tc>
        <w:tc>
          <w:tcPr>
            <w:tcW w:w="553" w:type="pct"/>
            <w:shd w:val="clear" w:color="auto" w:fill="auto"/>
          </w:tcPr>
          <w:p w14:paraId="1D0269B2" w14:textId="77777777" w:rsidR="004421F6" w:rsidRDefault="004421F6">
            <w:pPr>
              <w:rPr>
                <w:rFonts w:ascii="宋体"/>
              </w:rPr>
            </w:pPr>
          </w:p>
        </w:tc>
        <w:tc>
          <w:tcPr>
            <w:tcW w:w="5" w:type="pct"/>
            <w:shd w:val="clear" w:color="auto" w:fill="auto"/>
          </w:tcPr>
          <w:p w14:paraId="1D0269B3" w14:textId="77777777" w:rsidR="004421F6" w:rsidRDefault="004421F6">
            <w:pPr>
              <w:rPr>
                <w:rFonts w:ascii="宋体"/>
              </w:rPr>
            </w:pPr>
          </w:p>
        </w:tc>
      </w:tr>
      <w:tr w:rsidR="004421F6" w14:paraId="1D0269B9" w14:textId="77777777">
        <w:tc>
          <w:tcPr>
            <w:tcW w:w="0" w:type="auto"/>
            <w:gridSpan w:val="3"/>
            <w:shd w:val="clear" w:color="auto" w:fill="auto"/>
            <w:tcMar>
              <w:left w:w="20" w:type="dxa"/>
              <w:right w:w="20" w:type="dxa"/>
            </w:tcMar>
            <w:vAlign w:val="bottom"/>
          </w:tcPr>
          <w:p w14:paraId="1D0269B5" w14:textId="77777777" w:rsidR="004421F6" w:rsidRDefault="004421F6">
            <w:pPr>
              <w:rPr>
                <w:rFonts w:ascii="宋体"/>
              </w:rPr>
            </w:pPr>
          </w:p>
        </w:tc>
        <w:tc>
          <w:tcPr>
            <w:tcW w:w="0" w:type="auto"/>
            <w:gridSpan w:val="9"/>
            <w:shd w:val="clear" w:color="auto" w:fill="auto"/>
            <w:tcMar>
              <w:top w:w="40" w:type="dxa"/>
              <w:left w:w="20" w:type="dxa"/>
              <w:bottom w:w="40" w:type="dxa"/>
              <w:right w:w="20" w:type="dxa"/>
            </w:tcMar>
            <w:vAlign w:val="bottom"/>
          </w:tcPr>
          <w:p w14:paraId="1D0269B6" w14:textId="77777777" w:rsidR="004421F6" w:rsidRDefault="00F15622">
            <w:pPr>
              <w:jc w:val="center"/>
              <w:textAlignment w:val="bottom"/>
            </w:pPr>
            <w:r>
              <w:rPr>
                <w:rFonts w:ascii="sans-serif" w:eastAsia="sans-serif" w:hAnsi="sans-serif" w:cs="sans-serif"/>
                <w:b/>
                <w:bCs/>
                <w:color w:val="000000"/>
                <w:sz w:val="17"/>
                <w:szCs w:val="17"/>
              </w:rPr>
              <w:t xml:space="preserve">THREE MONTHS </w:t>
            </w:r>
            <w:r>
              <w:rPr>
                <w:rFonts w:ascii="sans-serif" w:eastAsia="sans-serif" w:hAnsi="sans-serif" w:cs="sans-serif"/>
                <w:b/>
                <w:bCs/>
                <w:color w:val="000000"/>
                <w:sz w:val="17"/>
                <w:szCs w:val="17"/>
              </w:rPr>
              <w:t>ENDED AUGUST 31,</w:t>
            </w:r>
          </w:p>
        </w:tc>
        <w:tc>
          <w:tcPr>
            <w:tcW w:w="0" w:type="auto"/>
            <w:gridSpan w:val="3"/>
            <w:shd w:val="clear" w:color="auto" w:fill="auto"/>
          </w:tcPr>
          <w:p w14:paraId="1D0269B7" w14:textId="77777777" w:rsidR="004421F6" w:rsidRDefault="004421F6">
            <w:pPr>
              <w:rPr>
                <w:rFonts w:ascii="宋体"/>
                <w:vanish/>
              </w:rPr>
            </w:pPr>
          </w:p>
        </w:tc>
        <w:tc>
          <w:tcPr>
            <w:tcW w:w="0" w:type="auto"/>
            <w:gridSpan w:val="3"/>
            <w:shd w:val="clear" w:color="auto" w:fill="auto"/>
          </w:tcPr>
          <w:p w14:paraId="1D0269B8" w14:textId="77777777" w:rsidR="004421F6" w:rsidRDefault="004421F6">
            <w:pPr>
              <w:rPr>
                <w:rFonts w:ascii="宋体"/>
                <w:vanish/>
              </w:rPr>
            </w:pPr>
          </w:p>
        </w:tc>
      </w:tr>
      <w:tr w:rsidR="004421F6" w14:paraId="1D0269C4" w14:textId="77777777">
        <w:tc>
          <w:tcPr>
            <w:tcW w:w="0" w:type="auto"/>
            <w:gridSpan w:val="3"/>
            <w:shd w:val="clear" w:color="auto" w:fill="auto"/>
            <w:tcMar>
              <w:top w:w="40" w:type="dxa"/>
              <w:left w:w="20" w:type="dxa"/>
              <w:bottom w:w="40" w:type="dxa"/>
              <w:right w:w="20" w:type="dxa"/>
            </w:tcMar>
            <w:vAlign w:val="bottom"/>
          </w:tcPr>
          <w:p w14:paraId="1D0269BA"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9BB"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9BC"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9BD" w14:textId="77777777" w:rsidR="004421F6" w:rsidRDefault="00F15622">
            <w:pPr>
              <w:jc w:val="right"/>
              <w:textAlignment w:val="bottom"/>
            </w:pPr>
            <w:r>
              <w:rPr>
                <w:rFonts w:ascii="sans-serif" w:eastAsia="sans-serif" w:hAnsi="sans-serif" w:cs="sans-serif"/>
                <w:b/>
                <w:bCs/>
                <w:color w:val="000000"/>
                <w:sz w:val="17"/>
                <w:szCs w:val="17"/>
              </w:rPr>
              <w:t>% CHANGE</w:t>
            </w:r>
          </w:p>
        </w:tc>
        <w:tc>
          <w:tcPr>
            <w:tcW w:w="0" w:type="auto"/>
            <w:shd w:val="clear" w:color="auto" w:fill="auto"/>
          </w:tcPr>
          <w:p w14:paraId="1D0269BE" w14:textId="77777777" w:rsidR="004421F6" w:rsidRDefault="004421F6">
            <w:pPr>
              <w:rPr>
                <w:rFonts w:ascii="宋体"/>
              </w:rPr>
            </w:pPr>
          </w:p>
        </w:tc>
        <w:tc>
          <w:tcPr>
            <w:tcW w:w="0" w:type="auto"/>
            <w:shd w:val="clear" w:color="auto" w:fill="auto"/>
          </w:tcPr>
          <w:p w14:paraId="1D0269BF" w14:textId="77777777" w:rsidR="004421F6" w:rsidRDefault="004421F6">
            <w:pPr>
              <w:rPr>
                <w:rFonts w:ascii="宋体"/>
              </w:rPr>
            </w:pPr>
          </w:p>
        </w:tc>
        <w:tc>
          <w:tcPr>
            <w:tcW w:w="0" w:type="auto"/>
            <w:shd w:val="clear" w:color="auto" w:fill="auto"/>
          </w:tcPr>
          <w:p w14:paraId="1D0269C0" w14:textId="77777777" w:rsidR="004421F6" w:rsidRDefault="004421F6">
            <w:pPr>
              <w:rPr>
                <w:rFonts w:ascii="宋体"/>
              </w:rPr>
            </w:pPr>
          </w:p>
        </w:tc>
        <w:tc>
          <w:tcPr>
            <w:tcW w:w="0" w:type="auto"/>
            <w:shd w:val="clear" w:color="auto" w:fill="auto"/>
          </w:tcPr>
          <w:p w14:paraId="1D0269C1" w14:textId="77777777" w:rsidR="004421F6" w:rsidRDefault="004421F6">
            <w:pPr>
              <w:rPr>
                <w:rFonts w:ascii="宋体"/>
              </w:rPr>
            </w:pPr>
          </w:p>
        </w:tc>
        <w:tc>
          <w:tcPr>
            <w:tcW w:w="0" w:type="auto"/>
            <w:shd w:val="clear" w:color="auto" w:fill="auto"/>
          </w:tcPr>
          <w:p w14:paraId="1D0269C2" w14:textId="77777777" w:rsidR="004421F6" w:rsidRDefault="004421F6">
            <w:pPr>
              <w:rPr>
                <w:rFonts w:ascii="宋体"/>
              </w:rPr>
            </w:pPr>
          </w:p>
        </w:tc>
        <w:tc>
          <w:tcPr>
            <w:tcW w:w="0" w:type="auto"/>
            <w:shd w:val="clear" w:color="auto" w:fill="auto"/>
          </w:tcPr>
          <w:p w14:paraId="1D0269C3" w14:textId="77777777" w:rsidR="004421F6" w:rsidRDefault="004421F6">
            <w:pPr>
              <w:rPr>
                <w:rFonts w:ascii="宋体"/>
              </w:rPr>
            </w:pPr>
          </w:p>
        </w:tc>
      </w:tr>
      <w:tr w:rsidR="004421F6" w14:paraId="1D0269D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9C5" w14:textId="77777777" w:rsidR="004421F6" w:rsidRDefault="00F15622">
            <w:pPr>
              <w:textAlignment w:val="bottom"/>
            </w:pPr>
            <w:r>
              <w:rPr>
                <w:rFonts w:ascii="Arial" w:eastAsia="宋体" w:hAnsi="Arial" w:cs="Arial"/>
                <w:color w:val="000000"/>
                <w:sz w:val="17"/>
                <w:szCs w:val="17"/>
              </w:rPr>
              <w:t>Demand creation expense</w:t>
            </w:r>
            <w:r>
              <w:rPr>
                <w:rFonts w:ascii="Arial" w:eastAsia="宋体" w:hAnsi="Arial" w:cs="Arial"/>
                <w:color w:val="000000"/>
                <w:sz w:val="9"/>
                <w:szCs w:val="9"/>
              </w:rPr>
              <w:t>(1)</w:t>
            </w:r>
          </w:p>
        </w:tc>
        <w:tc>
          <w:tcPr>
            <w:tcW w:w="0" w:type="auto"/>
            <w:tcBorders>
              <w:top w:val="single" w:sz="8" w:space="0" w:color="E87722"/>
            </w:tcBorders>
            <w:shd w:val="clear" w:color="auto" w:fill="FFF1E7"/>
            <w:tcMar>
              <w:top w:w="40" w:type="dxa"/>
              <w:left w:w="20" w:type="dxa"/>
              <w:bottom w:w="40" w:type="dxa"/>
            </w:tcMar>
            <w:vAlign w:val="bottom"/>
          </w:tcPr>
          <w:p w14:paraId="1D0269C6"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9C7" w14:textId="77777777" w:rsidR="004421F6" w:rsidRDefault="00F15622">
            <w:pPr>
              <w:jc w:val="right"/>
              <w:textAlignment w:val="bottom"/>
            </w:pPr>
            <w:r>
              <w:rPr>
                <w:rFonts w:ascii="Arial" w:eastAsia="宋体" w:hAnsi="Arial" w:cs="Arial"/>
                <w:color w:val="000000"/>
                <w:sz w:val="17"/>
                <w:szCs w:val="17"/>
              </w:rPr>
              <w:t>677 </w:t>
            </w:r>
          </w:p>
        </w:tc>
        <w:tc>
          <w:tcPr>
            <w:tcW w:w="0" w:type="auto"/>
            <w:tcBorders>
              <w:top w:val="single" w:sz="8" w:space="0" w:color="E87722"/>
            </w:tcBorders>
            <w:shd w:val="clear" w:color="auto" w:fill="FFF1E7"/>
            <w:tcMar>
              <w:top w:w="40" w:type="dxa"/>
              <w:bottom w:w="40" w:type="dxa"/>
              <w:right w:w="20" w:type="dxa"/>
            </w:tcMar>
            <w:vAlign w:val="bottom"/>
          </w:tcPr>
          <w:p w14:paraId="1D0269C8"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9C9"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9CA" w14:textId="77777777" w:rsidR="004421F6" w:rsidRDefault="00F15622">
            <w:pPr>
              <w:jc w:val="right"/>
              <w:textAlignment w:val="bottom"/>
            </w:pPr>
            <w:r>
              <w:rPr>
                <w:rFonts w:ascii="Arial" w:eastAsia="宋体" w:hAnsi="Arial" w:cs="Arial"/>
                <w:color w:val="000000"/>
                <w:sz w:val="17"/>
                <w:szCs w:val="17"/>
              </w:rPr>
              <w:t>1,018 </w:t>
            </w:r>
          </w:p>
        </w:tc>
        <w:tc>
          <w:tcPr>
            <w:tcW w:w="0" w:type="auto"/>
            <w:tcBorders>
              <w:top w:val="single" w:sz="8" w:space="0" w:color="E87722"/>
            </w:tcBorders>
            <w:shd w:val="clear" w:color="auto" w:fill="auto"/>
            <w:tcMar>
              <w:top w:w="40" w:type="dxa"/>
              <w:bottom w:w="40" w:type="dxa"/>
              <w:right w:w="20" w:type="dxa"/>
            </w:tcMar>
            <w:vAlign w:val="bottom"/>
          </w:tcPr>
          <w:p w14:paraId="1D0269CB"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9CC" w14:textId="77777777" w:rsidR="004421F6" w:rsidRDefault="00F15622">
            <w:pPr>
              <w:jc w:val="right"/>
              <w:textAlignment w:val="bottom"/>
            </w:pPr>
            <w:r>
              <w:rPr>
                <w:rFonts w:ascii="Arial" w:eastAsia="宋体" w:hAnsi="Arial" w:cs="Arial"/>
                <w:color w:val="000000"/>
                <w:sz w:val="17"/>
                <w:szCs w:val="17"/>
              </w:rPr>
              <w:t>-33 </w:t>
            </w:r>
          </w:p>
        </w:tc>
        <w:tc>
          <w:tcPr>
            <w:tcW w:w="0" w:type="auto"/>
            <w:tcBorders>
              <w:top w:val="single" w:sz="8" w:space="0" w:color="E87722"/>
            </w:tcBorders>
            <w:shd w:val="clear" w:color="auto" w:fill="auto"/>
            <w:tcMar>
              <w:top w:w="40" w:type="dxa"/>
              <w:bottom w:w="40" w:type="dxa"/>
              <w:right w:w="20" w:type="dxa"/>
            </w:tcMar>
            <w:vAlign w:val="bottom"/>
          </w:tcPr>
          <w:p w14:paraId="1D0269CD" w14:textId="77777777" w:rsidR="004421F6" w:rsidRDefault="00F15622">
            <w:pPr>
              <w:textAlignment w:val="bottom"/>
            </w:pPr>
            <w:r>
              <w:rPr>
                <w:rFonts w:ascii="Arial" w:eastAsia="宋体" w:hAnsi="Arial" w:cs="Arial"/>
                <w:color w:val="000000"/>
                <w:sz w:val="17"/>
                <w:szCs w:val="17"/>
              </w:rPr>
              <w:t>%</w:t>
            </w:r>
          </w:p>
        </w:tc>
        <w:tc>
          <w:tcPr>
            <w:tcW w:w="0" w:type="auto"/>
            <w:shd w:val="clear" w:color="auto" w:fill="auto"/>
          </w:tcPr>
          <w:p w14:paraId="1D0269CE" w14:textId="77777777" w:rsidR="004421F6" w:rsidRDefault="004421F6">
            <w:pPr>
              <w:rPr>
                <w:rFonts w:ascii="宋体"/>
              </w:rPr>
            </w:pPr>
          </w:p>
        </w:tc>
        <w:tc>
          <w:tcPr>
            <w:tcW w:w="0" w:type="auto"/>
            <w:shd w:val="clear" w:color="auto" w:fill="auto"/>
          </w:tcPr>
          <w:p w14:paraId="1D0269CF" w14:textId="77777777" w:rsidR="004421F6" w:rsidRDefault="004421F6">
            <w:pPr>
              <w:rPr>
                <w:rFonts w:ascii="宋体"/>
              </w:rPr>
            </w:pPr>
          </w:p>
        </w:tc>
        <w:tc>
          <w:tcPr>
            <w:tcW w:w="0" w:type="auto"/>
            <w:shd w:val="clear" w:color="auto" w:fill="auto"/>
          </w:tcPr>
          <w:p w14:paraId="1D0269D0" w14:textId="77777777" w:rsidR="004421F6" w:rsidRDefault="004421F6">
            <w:pPr>
              <w:rPr>
                <w:rFonts w:ascii="宋体"/>
              </w:rPr>
            </w:pPr>
          </w:p>
        </w:tc>
        <w:tc>
          <w:tcPr>
            <w:tcW w:w="0" w:type="auto"/>
            <w:shd w:val="clear" w:color="auto" w:fill="auto"/>
          </w:tcPr>
          <w:p w14:paraId="1D0269D1" w14:textId="77777777" w:rsidR="004421F6" w:rsidRDefault="004421F6">
            <w:pPr>
              <w:rPr>
                <w:rFonts w:ascii="宋体"/>
              </w:rPr>
            </w:pPr>
          </w:p>
        </w:tc>
        <w:tc>
          <w:tcPr>
            <w:tcW w:w="0" w:type="auto"/>
            <w:shd w:val="clear" w:color="auto" w:fill="auto"/>
          </w:tcPr>
          <w:p w14:paraId="1D0269D2" w14:textId="77777777" w:rsidR="004421F6" w:rsidRDefault="004421F6">
            <w:pPr>
              <w:rPr>
                <w:rFonts w:ascii="宋体"/>
              </w:rPr>
            </w:pPr>
          </w:p>
        </w:tc>
        <w:tc>
          <w:tcPr>
            <w:tcW w:w="0" w:type="auto"/>
            <w:shd w:val="clear" w:color="auto" w:fill="auto"/>
          </w:tcPr>
          <w:p w14:paraId="1D0269D3" w14:textId="77777777" w:rsidR="004421F6" w:rsidRDefault="004421F6">
            <w:pPr>
              <w:rPr>
                <w:rFonts w:ascii="宋体"/>
              </w:rPr>
            </w:pPr>
          </w:p>
        </w:tc>
      </w:tr>
      <w:tr w:rsidR="004421F6" w14:paraId="1D0269E2"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9D5" w14:textId="77777777" w:rsidR="004421F6" w:rsidRDefault="00F15622">
            <w:pPr>
              <w:textAlignment w:val="bottom"/>
            </w:pPr>
            <w:r>
              <w:rPr>
                <w:rFonts w:ascii="Arial" w:eastAsia="宋体" w:hAnsi="Arial" w:cs="Arial"/>
                <w:color w:val="000000"/>
                <w:sz w:val="17"/>
                <w:szCs w:val="17"/>
              </w:rPr>
              <w:t>Operating overhead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9D6" w14:textId="77777777" w:rsidR="004421F6" w:rsidRDefault="00F15622">
            <w:pPr>
              <w:jc w:val="right"/>
              <w:textAlignment w:val="bottom"/>
            </w:pPr>
            <w:r>
              <w:rPr>
                <w:rFonts w:ascii="Arial" w:eastAsia="宋体" w:hAnsi="Arial" w:cs="Arial"/>
                <w:color w:val="000000"/>
                <w:sz w:val="17"/>
                <w:szCs w:val="17"/>
              </w:rPr>
              <w:t>2,298 </w:t>
            </w:r>
          </w:p>
        </w:tc>
        <w:tc>
          <w:tcPr>
            <w:tcW w:w="0" w:type="auto"/>
            <w:tcBorders>
              <w:top w:val="single" w:sz="8" w:space="0" w:color="808080"/>
            </w:tcBorders>
            <w:shd w:val="clear" w:color="auto" w:fill="FFF1E7"/>
            <w:tcMar>
              <w:top w:w="40" w:type="dxa"/>
              <w:bottom w:w="40" w:type="dxa"/>
              <w:right w:w="20" w:type="dxa"/>
            </w:tcMar>
            <w:vAlign w:val="bottom"/>
          </w:tcPr>
          <w:p w14:paraId="1D0269D7"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9D8" w14:textId="77777777" w:rsidR="004421F6" w:rsidRDefault="00F15622">
            <w:pPr>
              <w:jc w:val="right"/>
              <w:textAlignment w:val="bottom"/>
            </w:pPr>
            <w:r>
              <w:rPr>
                <w:rFonts w:ascii="Arial" w:eastAsia="宋体" w:hAnsi="Arial" w:cs="Arial"/>
                <w:color w:val="000000"/>
                <w:sz w:val="17"/>
                <w:szCs w:val="17"/>
              </w:rPr>
              <w:t>2,310 </w:t>
            </w:r>
          </w:p>
        </w:tc>
        <w:tc>
          <w:tcPr>
            <w:tcW w:w="0" w:type="auto"/>
            <w:tcBorders>
              <w:top w:val="single" w:sz="8" w:space="0" w:color="808080"/>
            </w:tcBorders>
            <w:shd w:val="clear" w:color="auto" w:fill="auto"/>
            <w:tcMar>
              <w:top w:w="40" w:type="dxa"/>
              <w:bottom w:w="40" w:type="dxa"/>
              <w:right w:w="20" w:type="dxa"/>
            </w:tcMar>
            <w:vAlign w:val="bottom"/>
          </w:tcPr>
          <w:p w14:paraId="1D0269D9"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9DA"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bottom w:w="40" w:type="dxa"/>
              <w:right w:w="20" w:type="dxa"/>
            </w:tcMar>
            <w:vAlign w:val="bottom"/>
          </w:tcPr>
          <w:p w14:paraId="1D0269DB" w14:textId="77777777" w:rsidR="004421F6" w:rsidRDefault="00F15622">
            <w:pPr>
              <w:textAlignment w:val="bottom"/>
            </w:pPr>
            <w:r>
              <w:rPr>
                <w:rFonts w:ascii="Arial" w:eastAsia="宋体" w:hAnsi="Arial" w:cs="Arial"/>
                <w:color w:val="000000"/>
                <w:sz w:val="17"/>
                <w:szCs w:val="17"/>
              </w:rPr>
              <w:t>%</w:t>
            </w:r>
          </w:p>
        </w:tc>
        <w:tc>
          <w:tcPr>
            <w:tcW w:w="0" w:type="auto"/>
            <w:shd w:val="clear" w:color="auto" w:fill="auto"/>
          </w:tcPr>
          <w:p w14:paraId="1D0269DC" w14:textId="77777777" w:rsidR="004421F6" w:rsidRDefault="004421F6">
            <w:pPr>
              <w:rPr>
                <w:rFonts w:ascii="宋体"/>
              </w:rPr>
            </w:pPr>
          </w:p>
        </w:tc>
        <w:tc>
          <w:tcPr>
            <w:tcW w:w="0" w:type="auto"/>
            <w:shd w:val="clear" w:color="auto" w:fill="auto"/>
          </w:tcPr>
          <w:p w14:paraId="1D0269DD" w14:textId="77777777" w:rsidR="004421F6" w:rsidRDefault="004421F6">
            <w:pPr>
              <w:rPr>
                <w:rFonts w:ascii="宋体"/>
              </w:rPr>
            </w:pPr>
          </w:p>
        </w:tc>
        <w:tc>
          <w:tcPr>
            <w:tcW w:w="0" w:type="auto"/>
            <w:shd w:val="clear" w:color="auto" w:fill="auto"/>
          </w:tcPr>
          <w:p w14:paraId="1D0269DE" w14:textId="77777777" w:rsidR="004421F6" w:rsidRDefault="004421F6">
            <w:pPr>
              <w:rPr>
                <w:rFonts w:ascii="宋体"/>
              </w:rPr>
            </w:pPr>
          </w:p>
        </w:tc>
        <w:tc>
          <w:tcPr>
            <w:tcW w:w="0" w:type="auto"/>
            <w:shd w:val="clear" w:color="auto" w:fill="auto"/>
          </w:tcPr>
          <w:p w14:paraId="1D0269DF" w14:textId="77777777" w:rsidR="004421F6" w:rsidRDefault="004421F6">
            <w:pPr>
              <w:rPr>
                <w:rFonts w:ascii="宋体"/>
              </w:rPr>
            </w:pPr>
          </w:p>
        </w:tc>
        <w:tc>
          <w:tcPr>
            <w:tcW w:w="0" w:type="auto"/>
            <w:shd w:val="clear" w:color="auto" w:fill="auto"/>
          </w:tcPr>
          <w:p w14:paraId="1D0269E0" w14:textId="77777777" w:rsidR="004421F6" w:rsidRDefault="004421F6">
            <w:pPr>
              <w:rPr>
                <w:rFonts w:ascii="宋体"/>
              </w:rPr>
            </w:pPr>
          </w:p>
        </w:tc>
        <w:tc>
          <w:tcPr>
            <w:tcW w:w="0" w:type="auto"/>
            <w:shd w:val="clear" w:color="auto" w:fill="auto"/>
          </w:tcPr>
          <w:p w14:paraId="1D0269E1" w14:textId="77777777" w:rsidR="004421F6" w:rsidRDefault="004421F6">
            <w:pPr>
              <w:rPr>
                <w:rFonts w:ascii="宋体"/>
              </w:rPr>
            </w:pPr>
          </w:p>
        </w:tc>
      </w:tr>
      <w:tr w:rsidR="004421F6" w14:paraId="1D0269F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9E3" w14:textId="77777777" w:rsidR="004421F6" w:rsidRDefault="00F15622">
            <w:pPr>
              <w:textAlignment w:val="bottom"/>
            </w:pPr>
            <w:r>
              <w:rPr>
                <w:rFonts w:ascii="Arial" w:eastAsia="宋体" w:hAnsi="Arial" w:cs="Arial"/>
                <w:color w:val="000000"/>
                <w:sz w:val="17"/>
                <w:szCs w:val="17"/>
              </w:rPr>
              <w:t>Total selling and administrative expense</w:t>
            </w:r>
          </w:p>
        </w:tc>
        <w:tc>
          <w:tcPr>
            <w:tcW w:w="0" w:type="auto"/>
            <w:tcBorders>
              <w:top w:val="single" w:sz="8" w:space="0" w:color="E87722"/>
            </w:tcBorders>
            <w:shd w:val="clear" w:color="auto" w:fill="FFF1E7"/>
            <w:tcMar>
              <w:top w:w="40" w:type="dxa"/>
              <w:left w:w="20" w:type="dxa"/>
              <w:bottom w:w="40" w:type="dxa"/>
            </w:tcMar>
            <w:vAlign w:val="bottom"/>
          </w:tcPr>
          <w:p w14:paraId="1D0269E4"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9E5" w14:textId="77777777" w:rsidR="004421F6" w:rsidRDefault="00F15622">
            <w:pPr>
              <w:jc w:val="right"/>
              <w:textAlignment w:val="bottom"/>
            </w:pPr>
            <w:r>
              <w:rPr>
                <w:rFonts w:ascii="Arial" w:eastAsia="宋体" w:hAnsi="Arial" w:cs="Arial"/>
                <w:color w:val="000000"/>
                <w:sz w:val="17"/>
                <w:szCs w:val="17"/>
              </w:rPr>
              <w:t>2,975 </w:t>
            </w:r>
          </w:p>
        </w:tc>
        <w:tc>
          <w:tcPr>
            <w:tcW w:w="0" w:type="auto"/>
            <w:tcBorders>
              <w:top w:val="single" w:sz="8" w:space="0" w:color="E87722"/>
            </w:tcBorders>
            <w:shd w:val="clear" w:color="auto" w:fill="FFF1E7"/>
            <w:tcMar>
              <w:top w:w="40" w:type="dxa"/>
              <w:bottom w:w="40" w:type="dxa"/>
              <w:right w:w="20" w:type="dxa"/>
            </w:tcMar>
            <w:vAlign w:val="bottom"/>
          </w:tcPr>
          <w:p w14:paraId="1D0269E6"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9E7"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9E8" w14:textId="77777777" w:rsidR="004421F6" w:rsidRDefault="00F15622">
            <w:pPr>
              <w:jc w:val="right"/>
              <w:textAlignment w:val="bottom"/>
            </w:pPr>
            <w:r>
              <w:rPr>
                <w:rFonts w:ascii="Arial" w:eastAsia="宋体" w:hAnsi="Arial" w:cs="Arial"/>
                <w:color w:val="000000"/>
                <w:sz w:val="17"/>
                <w:szCs w:val="17"/>
              </w:rPr>
              <w:t>3,328 </w:t>
            </w:r>
          </w:p>
        </w:tc>
        <w:tc>
          <w:tcPr>
            <w:tcW w:w="0" w:type="auto"/>
            <w:tcBorders>
              <w:top w:val="single" w:sz="8" w:space="0" w:color="E87722"/>
            </w:tcBorders>
            <w:shd w:val="clear" w:color="auto" w:fill="auto"/>
            <w:tcMar>
              <w:top w:w="40" w:type="dxa"/>
              <w:bottom w:w="40" w:type="dxa"/>
              <w:right w:w="20" w:type="dxa"/>
            </w:tcMar>
            <w:vAlign w:val="bottom"/>
          </w:tcPr>
          <w:p w14:paraId="1D0269E9"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9EA" w14:textId="77777777" w:rsidR="004421F6" w:rsidRDefault="00F15622">
            <w:pPr>
              <w:jc w:val="right"/>
              <w:textAlignment w:val="bottom"/>
            </w:pPr>
            <w:r>
              <w:rPr>
                <w:rFonts w:ascii="Arial" w:eastAsia="宋体" w:hAnsi="Arial" w:cs="Arial"/>
                <w:color w:val="000000"/>
                <w:sz w:val="17"/>
                <w:szCs w:val="17"/>
              </w:rPr>
              <w:t>-11 </w:t>
            </w:r>
          </w:p>
        </w:tc>
        <w:tc>
          <w:tcPr>
            <w:tcW w:w="0" w:type="auto"/>
            <w:tcBorders>
              <w:top w:val="single" w:sz="8" w:space="0" w:color="E87722"/>
            </w:tcBorders>
            <w:shd w:val="clear" w:color="auto" w:fill="auto"/>
            <w:tcMar>
              <w:top w:w="40" w:type="dxa"/>
              <w:bottom w:w="40" w:type="dxa"/>
              <w:right w:w="20" w:type="dxa"/>
            </w:tcMar>
            <w:vAlign w:val="bottom"/>
          </w:tcPr>
          <w:p w14:paraId="1D0269EB"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9EC" w14:textId="77777777" w:rsidR="004421F6" w:rsidRDefault="004421F6">
            <w:pPr>
              <w:rPr>
                <w:rFonts w:ascii="宋体"/>
              </w:rPr>
            </w:pPr>
          </w:p>
        </w:tc>
        <w:tc>
          <w:tcPr>
            <w:tcW w:w="0" w:type="auto"/>
            <w:shd w:val="clear" w:color="auto" w:fill="auto"/>
          </w:tcPr>
          <w:p w14:paraId="1D0269ED" w14:textId="77777777" w:rsidR="004421F6" w:rsidRDefault="004421F6">
            <w:pPr>
              <w:rPr>
                <w:rFonts w:ascii="宋体"/>
              </w:rPr>
            </w:pPr>
          </w:p>
        </w:tc>
        <w:tc>
          <w:tcPr>
            <w:tcW w:w="0" w:type="auto"/>
            <w:shd w:val="clear" w:color="auto" w:fill="auto"/>
          </w:tcPr>
          <w:p w14:paraId="1D0269EE" w14:textId="77777777" w:rsidR="004421F6" w:rsidRDefault="004421F6">
            <w:pPr>
              <w:rPr>
                <w:rFonts w:ascii="宋体"/>
              </w:rPr>
            </w:pPr>
          </w:p>
        </w:tc>
        <w:tc>
          <w:tcPr>
            <w:tcW w:w="0" w:type="auto"/>
            <w:shd w:val="clear" w:color="auto" w:fill="auto"/>
          </w:tcPr>
          <w:p w14:paraId="1D0269EF" w14:textId="77777777" w:rsidR="004421F6" w:rsidRDefault="004421F6">
            <w:pPr>
              <w:rPr>
                <w:rFonts w:ascii="宋体"/>
              </w:rPr>
            </w:pPr>
          </w:p>
        </w:tc>
        <w:tc>
          <w:tcPr>
            <w:tcW w:w="0" w:type="auto"/>
            <w:shd w:val="clear" w:color="auto" w:fill="auto"/>
          </w:tcPr>
          <w:p w14:paraId="1D0269F0" w14:textId="77777777" w:rsidR="004421F6" w:rsidRDefault="004421F6">
            <w:pPr>
              <w:rPr>
                <w:rFonts w:ascii="宋体"/>
              </w:rPr>
            </w:pPr>
          </w:p>
        </w:tc>
        <w:tc>
          <w:tcPr>
            <w:tcW w:w="0" w:type="auto"/>
            <w:shd w:val="clear" w:color="auto" w:fill="auto"/>
          </w:tcPr>
          <w:p w14:paraId="1D0269F1" w14:textId="77777777" w:rsidR="004421F6" w:rsidRDefault="004421F6">
            <w:pPr>
              <w:rPr>
                <w:rFonts w:ascii="宋体"/>
              </w:rPr>
            </w:pPr>
          </w:p>
        </w:tc>
      </w:tr>
      <w:tr w:rsidR="004421F6" w14:paraId="1D0269FF" w14:textId="77777777">
        <w:tc>
          <w:tcPr>
            <w:tcW w:w="0" w:type="auto"/>
            <w:gridSpan w:val="3"/>
            <w:tcBorders>
              <w:top w:val="single" w:sz="8" w:space="0" w:color="808080"/>
              <w:bottom w:val="single" w:sz="8" w:space="0" w:color="E87722"/>
            </w:tcBorders>
            <w:shd w:val="clear" w:color="auto" w:fill="auto"/>
            <w:tcMar>
              <w:top w:w="40" w:type="dxa"/>
              <w:left w:w="135" w:type="dxa"/>
              <w:bottom w:w="40" w:type="dxa"/>
              <w:right w:w="20" w:type="dxa"/>
            </w:tcMar>
            <w:vAlign w:val="bottom"/>
          </w:tcPr>
          <w:p w14:paraId="1D0269F3" w14:textId="77777777" w:rsidR="004421F6" w:rsidRDefault="00F15622">
            <w:pPr>
              <w:textAlignment w:val="bottom"/>
            </w:pPr>
            <w:r>
              <w:rPr>
                <w:rFonts w:ascii="Arial" w:eastAsia="宋体" w:hAnsi="Arial" w:cs="Arial"/>
                <w:color w:val="000000"/>
                <w:sz w:val="17"/>
                <w:szCs w:val="17"/>
              </w:rPr>
              <w:t>% of revenues</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1D0269F4" w14:textId="77777777" w:rsidR="004421F6" w:rsidRDefault="00F15622">
            <w:pPr>
              <w:jc w:val="right"/>
              <w:textAlignment w:val="bottom"/>
            </w:pPr>
            <w:r>
              <w:rPr>
                <w:rFonts w:ascii="Arial" w:eastAsia="宋体" w:hAnsi="Arial" w:cs="Arial"/>
                <w:color w:val="000000"/>
                <w:sz w:val="17"/>
                <w:szCs w:val="17"/>
              </w:rPr>
              <w:t>28.1 </w:t>
            </w:r>
          </w:p>
        </w:tc>
        <w:tc>
          <w:tcPr>
            <w:tcW w:w="0" w:type="auto"/>
            <w:tcBorders>
              <w:top w:val="single" w:sz="8" w:space="0" w:color="808080"/>
              <w:bottom w:val="single" w:sz="8" w:space="0" w:color="E87722"/>
            </w:tcBorders>
            <w:shd w:val="clear" w:color="auto" w:fill="FFF1E7"/>
            <w:tcMar>
              <w:top w:w="40" w:type="dxa"/>
              <w:bottom w:w="40" w:type="dxa"/>
              <w:right w:w="20" w:type="dxa"/>
            </w:tcMar>
            <w:vAlign w:val="bottom"/>
          </w:tcPr>
          <w:p w14:paraId="1D0269F5"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1D0269F6" w14:textId="77777777" w:rsidR="004421F6" w:rsidRDefault="00F15622">
            <w:pPr>
              <w:jc w:val="right"/>
              <w:textAlignment w:val="bottom"/>
            </w:pPr>
            <w:r>
              <w:rPr>
                <w:rFonts w:ascii="Arial" w:eastAsia="宋体" w:hAnsi="Arial" w:cs="Arial"/>
                <w:color w:val="000000"/>
                <w:sz w:val="17"/>
                <w:szCs w:val="17"/>
              </w:rPr>
              <w:t>31.2 </w:t>
            </w:r>
          </w:p>
        </w:tc>
        <w:tc>
          <w:tcPr>
            <w:tcW w:w="0" w:type="auto"/>
            <w:tcBorders>
              <w:top w:val="single" w:sz="8" w:space="0" w:color="808080"/>
              <w:bottom w:val="single" w:sz="8" w:space="0" w:color="E87722"/>
            </w:tcBorders>
            <w:shd w:val="clear" w:color="auto" w:fill="auto"/>
            <w:tcMar>
              <w:top w:w="40" w:type="dxa"/>
              <w:bottom w:w="40" w:type="dxa"/>
              <w:right w:w="20" w:type="dxa"/>
            </w:tcMar>
            <w:vAlign w:val="bottom"/>
          </w:tcPr>
          <w:p w14:paraId="1D0269F7" w14:textId="77777777" w:rsidR="004421F6" w:rsidRDefault="00F15622">
            <w:pPr>
              <w:jc w:val="right"/>
              <w:textAlignment w:val="bottom"/>
            </w:pPr>
            <w:r>
              <w:rPr>
                <w:rFonts w:ascii="Arial" w:eastAsia="宋体" w:hAnsi="Arial" w:cs="Arial"/>
                <w:color w:val="000000"/>
                <w:sz w:val="17"/>
                <w:szCs w:val="17"/>
              </w:rPr>
              <w:t>%</w:t>
            </w: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tcPr>
          <w:p w14:paraId="1D0269F8" w14:textId="77777777" w:rsidR="004421F6" w:rsidRDefault="00F15622">
            <w:pPr>
              <w:jc w:val="right"/>
              <w:textAlignment w:val="top"/>
            </w:pPr>
            <w:r>
              <w:rPr>
                <w:rFonts w:ascii="Arial" w:eastAsia="宋体" w:hAnsi="Arial" w:cs="Arial"/>
                <w:color w:val="000000"/>
                <w:sz w:val="17"/>
                <w:szCs w:val="17"/>
              </w:rPr>
              <w:t>(310) bps</w:t>
            </w:r>
          </w:p>
        </w:tc>
        <w:tc>
          <w:tcPr>
            <w:tcW w:w="0" w:type="auto"/>
            <w:shd w:val="clear" w:color="auto" w:fill="auto"/>
          </w:tcPr>
          <w:p w14:paraId="1D0269F9" w14:textId="77777777" w:rsidR="004421F6" w:rsidRDefault="004421F6">
            <w:pPr>
              <w:rPr>
                <w:rFonts w:ascii="宋体"/>
              </w:rPr>
            </w:pPr>
          </w:p>
        </w:tc>
        <w:tc>
          <w:tcPr>
            <w:tcW w:w="0" w:type="auto"/>
            <w:shd w:val="clear" w:color="auto" w:fill="auto"/>
          </w:tcPr>
          <w:p w14:paraId="1D0269FA" w14:textId="77777777" w:rsidR="004421F6" w:rsidRDefault="004421F6">
            <w:pPr>
              <w:rPr>
                <w:rFonts w:ascii="宋体"/>
              </w:rPr>
            </w:pPr>
          </w:p>
        </w:tc>
        <w:tc>
          <w:tcPr>
            <w:tcW w:w="0" w:type="auto"/>
            <w:shd w:val="clear" w:color="auto" w:fill="auto"/>
          </w:tcPr>
          <w:p w14:paraId="1D0269FB" w14:textId="77777777" w:rsidR="004421F6" w:rsidRDefault="004421F6">
            <w:pPr>
              <w:rPr>
                <w:rFonts w:ascii="宋体"/>
              </w:rPr>
            </w:pPr>
          </w:p>
        </w:tc>
        <w:tc>
          <w:tcPr>
            <w:tcW w:w="0" w:type="auto"/>
            <w:shd w:val="clear" w:color="auto" w:fill="auto"/>
          </w:tcPr>
          <w:p w14:paraId="1D0269FC" w14:textId="77777777" w:rsidR="004421F6" w:rsidRDefault="004421F6">
            <w:pPr>
              <w:rPr>
                <w:rFonts w:ascii="宋体"/>
              </w:rPr>
            </w:pPr>
          </w:p>
        </w:tc>
        <w:tc>
          <w:tcPr>
            <w:tcW w:w="0" w:type="auto"/>
            <w:shd w:val="clear" w:color="auto" w:fill="auto"/>
          </w:tcPr>
          <w:p w14:paraId="1D0269FD" w14:textId="77777777" w:rsidR="004421F6" w:rsidRDefault="004421F6">
            <w:pPr>
              <w:rPr>
                <w:rFonts w:ascii="宋体"/>
              </w:rPr>
            </w:pPr>
          </w:p>
        </w:tc>
        <w:tc>
          <w:tcPr>
            <w:tcW w:w="0" w:type="auto"/>
            <w:shd w:val="clear" w:color="auto" w:fill="auto"/>
          </w:tcPr>
          <w:p w14:paraId="1D0269FE" w14:textId="77777777" w:rsidR="004421F6" w:rsidRDefault="004421F6">
            <w:pPr>
              <w:rPr>
                <w:rFonts w:ascii="宋体"/>
              </w:rPr>
            </w:pPr>
          </w:p>
        </w:tc>
      </w:tr>
    </w:tbl>
    <w:p w14:paraId="1D026A00" w14:textId="77777777" w:rsidR="004421F6" w:rsidRDefault="00F15622">
      <w:pPr>
        <w:spacing w:before="60" w:after="60"/>
        <w:ind w:hanging="360"/>
      </w:pPr>
      <w:r>
        <w:rPr>
          <w:rFonts w:ascii="Arial" w:eastAsia="宋体" w:hAnsi="Arial" w:cs="Arial"/>
          <w:i/>
          <w:iCs/>
          <w:color w:val="000000"/>
          <w:sz w:val="14"/>
          <w:szCs w:val="14"/>
        </w:rPr>
        <w:t xml:space="preserve">(1)Demand creation expense consists of advertising and promotion costs, including costs of endorsement contracts, complimentary product, television, digital and print advertising and media costs, brand </w:t>
      </w:r>
      <w:r>
        <w:rPr>
          <w:rFonts w:ascii="Arial" w:eastAsia="宋体" w:hAnsi="Arial" w:cs="Arial"/>
          <w:i/>
          <w:iCs/>
          <w:color w:val="000000"/>
          <w:sz w:val="14"/>
          <w:szCs w:val="14"/>
        </w:rPr>
        <w:t>events and retail brand presentation.</w:t>
      </w:r>
    </w:p>
    <w:p w14:paraId="1D026A01" w14:textId="77777777" w:rsidR="004421F6" w:rsidRDefault="00F15622">
      <w:pPr>
        <w:spacing w:before="120"/>
      </w:pPr>
      <w:r>
        <w:rPr>
          <w:rFonts w:ascii="sans-serif" w:eastAsia="sans-serif" w:hAnsi="sans-serif" w:cs="sans-serif"/>
          <w:b/>
          <w:bCs/>
          <w:color w:val="808080"/>
          <w:sz w:val="22"/>
          <w:szCs w:val="22"/>
        </w:rPr>
        <w:t>FIRST QUARTER OF FISCAL 2021 COMPARED TO FIRST QUARTER OF FISCAL 2020</w:t>
      </w:r>
    </w:p>
    <w:p w14:paraId="1D026A02" w14:textId="77777777" w:rsidR="004421F6" w:rsidRDefault="00F15622">
      <w:r>
        <w:rPr>
          <w:rFonts w:ascii="Arial" w:eastAsia="宋体" w:hAnsi="Arial" w:cs="Arial"/>
          <w:color w:val="000000"/>
          <w:sz w:val="17"/>
          <w:szCs w:val="17"/>
        </w:rPr>
        <w:t xml:space="preserve">Demand creation expense decreased 33% for the first quarter of fiscal 2021, primarily driven by lower advertising and marketing costs, as well as </w:t>
      </w:r>
      <w:r>
        <w:rPr>
          <w:rFonts w:ascii="Arial" w:eastAsia="宋体" w:hAnsi="Arial" w:cs="Arial"/>
          <w:color w:val="000000"/>
          <w:sz w:val="17"/>
          <w:szCs w:val="17"/>
        </w:rPr>
        <w:t xml:space="preserve">lower sports marketing expenses, due to live sporting events being predominately postponed or cancelled, and a decline in retail brand presentation costs. This activity was partially offset by an increase in digital marketing to support heightened digital </w:t>
      </w:r>
      <w:r>
        <w:rPr>
          <w:rFonts w:ascii="Arial" w:eastAsia="宋体" w:hAnsi="Arial" w:cs="Arial"/>
          <w:color w:val="000000"/>
          <w:sz w:val="17"/>
          <w:szCs w:val="17"/>
        </w:rPr>
        <w:t>demand. Changes in foreign currency exchange rates decreased Demand creation expense by approximately 1 percentage point.</w:t>
      </w:r>
    </w:p>
    <w:p w14:paraId="1D026A03" w14:textId="77777777" w:rsidR="004421F6" w:rsidRDefault="00F15622">
      <w:pPr>
        <w:spacing w:before="120" w:after="120"/>
      </w:pPr>
      <w:r>
        <w:rPr>
          <w:rFonts w:ascii="Arial" w:eastAsia="宋体" w:hAnsi="Arial" w:cs="Arial"/>
          <w:color w:val="000000"/>
          <w:sz w:val="17"/>
          <w:szCs w:val="17"/>
        </w:rPr>
        <w:t xml:space="preserve">Operating overhead expense decreased 1% driven by lower travel and related expenses, partially offset by continued </w:t>
      </w:r>
      <w:r>
        <w:rPr>
          <w:rFonts w:ascii="Arial" w:eastAsia="宋体" w:hAnsi="Arial" w:cs="Arial"/>
          <w:color w:val="000000"/>
          <w:sz w:val="17"/>
          <w:szCs w:val="17"/>
        </w:rPr>
        <w:t>investments in digital capabilities and restructuring costs associated with changes to our organization model announced in July 2020. Changes in foreign currency exchange rates decreased Operating overhead expense by approximately 1 percentage point.</w:t>
      </w:r>
    </w:p>
    <w:p w14:paraId="1D026A04" w14:textId="77777777" w:rsidR="004421F6" w:rsidRDefault="00F15622">
      <w:pPr>
        <w:spacing w:before="240" w:after="120"/>
      </w:pPr>
      <w:r>
        <w:rPr>
          <w:rFonts w:ascii="sans-serif" w:eastAsia="sans-serif" w:hAnsi="sans-serif" w:cs="sans-serif"/>
          <w:b/>
          <w:bCs/>
          <w:color w:val="000000"/>
          <w:sz w:val="28"/>
          <w:szCs w:val="28"/>
        </w:rPr>
        <w:t>OTHER</w:t>
      </w:r>
      <w:r>
        <w:rPr>
          <w:rFonts w:ascii="sans-serif" w:eastAsia="sans-serif" w:hAnsi="sans-serif" w:cs="sans-serif"/>
          <w:b/>
          <w:bCs/>
          <w:color w:val="000000"/>
          <w:sz w:val="28"/>
          <w:szCs w:val="28"/>
        </w:rPr>
        <w:t xml:space="preserve"> (INCOME) EXPENSE, NET</w:t>
      </w:r>
    </w:p>
    <w:tbl>
      <w:tblPr>
        <w:tblW w:w="5000" w:type="pct"/>
        <w:tblCellMar>
          <w:top w:w="15" w:type="dxa"/>
          <w:left w:w="15" w:type="dxa"/>
          <w:bottom w:w="15" w:type="dxa"/>
          <w:right w:w="15" w:type="dxa"/>
        </w:tblCellMar>
        <w:tblLook w:val="04A0" w:firstRow="1" w:lastRow="0" w:firstColumn="1" w:lastColumn="0" w:noHBand="0" w:noVBand="1"/>
      </w:tblPr>
      <w:tblGrid>
        <w:gridCol w:w="38"/>
        <w:gridCol w:w="6085"/>
        <w:gridCol w:w="37"/>
        <w:gridCol w:w="130"/>
        <w:gridCol w:w="863"/>
        <w:gridCol w:w="41"/>
        <w:gridCol w:w="130"/>
        <w:gridCol w:w="863"/>
        <w:gridCol w:w="41"/>
        <w:gridCol w:w="36"/>
        <w:gridCol w:w="36"/>
        <w:gridCol w:w="36"/>
      </w:tblGrid>
      <w:tr w:rsidR="004421F6" w14:paraId="1D026A0E" w14:textId="77777777">
        <w:trPr>
          <w:gridAfter w:val="3"/>
        </w:trPr>
        <w:tc>
          <w:tcPr>
            <w:tcW w:w="50" w:type="pct"/>
            <w:shd w:val="clear" w:color="auto" w:fill="auto"/>
          </w:tcPr>
          <w:p w14:paraId="1D026A05" w14:textId="77777777" w:rsidR="004421F6" w:rsidRDefault="004421F6">
            <w:pPr>
              <w:rPr>
                <w:rFonts w:ascii="宋体"/>
              </w:rPr>
            </w:pPr>
          </w:p>
        </w:tc>
        <w:tc>
          <w:tcPr>
            <w:tcW w:w="3728" w:type="pct"/>
            <w:shd w:val="clear" w:color="auto" w:fill="auto"/>
          </w:tcPr>
          <w:p w14:paraId="1D026A06" w14:textId="77777777" w:rsidR="004421F6" w:rsidRDefault="004421F6">
            <w:pPr>
              <w:rPr>
                <w:rFonts w:ascii="宋体"/>
              </w:rPr>
            </w:pPr>
          </w:p>
        </w:tc>
        <w:tc>
          <w:tcPr>
            <w:tcW w:w="5" w:type="pct"/>
            <w:shd w:val="clear" w:color="auto" w:fill="auto"/>
          </w:tcPr>
          <w:p w14:paraId="1D026A07" w14:textId="77777777" w:rsidR="004421F6" w:rsidRDefault="004421F6">
            <w:pPr>
              <w:rPr>
                <w:rFonts w:ascii="宋体"/>
              </w:rPr>
            </w:pPr>
          </w:p>
        </w:tc>
        <w:tc>
          <w:tcPr>
            <w:tcW w:w="50" w:type="pct"/>
            <w:shd w:val="clear" w:color="auto" w:fill="auto"/>
          </w:tcPr>
          <w:p w14:paraId="1D026A08" w14:textId="77777777" w:rsidR="004421F6" w:rsidRDefault="004421F6">
            <w:pPr>
              <w:rPr>
                <w:rFonts w:ascii="宋体"/>
              </w:rPr>
            </w:pPr>
          </w:p>
        </w:tc>
        <w:tc>
          <w:tcPr>
            <w:tcW w:w="553" w:type="pct"/>
            <w:shd w:val="clear" w:color="auto" w:fill="auto"/>
          </w:tcPr>
          <w:p w14:paraId="1D026A09" w14:textId="77777777" w:rsidR="004421F6" w:rsidRDefault="004421F6">
            <w:pPr>
              <w:rPr>
                <w:rFonts w:ascii="宋体"/>
              </w:rPr>
            </w:pPr>
          </w:p>
        </w:tc>
        <w:tc>
          <w:tcPr>
            <w:tcW w:w="5" w:type="pct"/>
            <w:shd w:val="clear" w:color="auto" w:fill="auto"/>
          </w:tcPr>
          <w:p w14:paraId="1D026A0A" w14:textId="77777777" w:rsidR="004421F6" w:rsidRDefault="004421F6">
            <w:pPr>
              <w:rPr>
                <w:rFonts w:ascii="宋体"/>
              </w:rPr>
            </w:pPr>
          </w:p>
        </w:tc>
        <w:tc>
          <w:tcPr>
            <w:tcW w:w="50" w:type="pct"/>
            <w:shd w:val="clear" w:color="auto" w:fill="auto"/>
          </w:tcPr>
          <w:p w14:paraId="1D026A0B" w14:textId="77777777" w:rsidR="004421F6" w:rsidRDefault="004421F6">
            <w:pPr>
              <w:rPr>
                <w:rFonts w:ascii="宋体"/>
              </w:rPr>
            </w:pPr>
          </w:p>
        </w:tc>
        <w:tc>
          <w:tcPr>
            <w:tcW w:w="553" w:type="pct"/>
            <w:shd w:val="clear" w:color="auto" w:fill="auto"/>
          </w:tcPr>
          <w:p w14:paraId="1D026A0C" w14:textId="77777777" w:rsidR="004421F6" w:rsidRDefault="004421F6">
            <w:pPr>
              <w:rPr>
                <w:rFonts w:ascii="宋体"/>
              </w:rPr>
            </w:pPr>
          </w:p>
        </w:tc>
        <w:tc>
          <w:tcPr>
            <w:tcW w:w="5" w:type="pct"/>
            <w:shd w:val="clear" w:color="auto" w:fill="auto"/>
          </w:tcPr>
          <w:p w14:paraId="1D026A0D" w14:textId="77777777" w:rsidR="004421F6" w:rsidRDefault="004421F6">
            <w:pPr>
              <w:rPr>
                <w:rFonts w:ascii="宋体"/>
              </w:rPr>
            </w:pPr>
          </w:p>
        </w:tc>
      </w:tr>
      <w:tr w:rsidR="004421F6" w14:paraId="1D026A12" w14:textId="77777777">
        <w:tc>
          <w:tcPr>
            <w:tcW w:w="0" w:type="auto"/>
            <w:gridSpan w:val="3"/>
            <w:shd w:val="clear" w:color="auto" w:fill="auto"/>
            <w:tcMar>
              <w:left w:w="20" w:type="dxa"/>
              <w:right w:w="20" w:type="dxa"/>
            </w:tcMar>
            <w:vAlign w:val="bottom"/>
          </w:tcPr>
          <w:p w14:paraId="1D026A0F" w14:textId="77777777" w:rsidR="004421F6" w:rsidRDefault="004421F6">
            <w:pPr>
              <w:rPr>
                <w:rFonts w:ascii="宋体"/>
              </w:rPr>
            </w:pPr>
          </w:p>
        </w:tc>
        <w:tc>
          <w:tcPr>
            <w:tcW w:w="0" w:type="auto"/>
            <w:gridSpan w:val="6"/>
            <w:shd w:val="clear" w:color="auto" w:fill="auto"/>
            <w:tcMar>
              <w:top w:w="40" w:type="dxa"/>
              <w:left w:w="20" w:type="dxa"/>
              <w:bottom w:w="40" w:type="dxa"/>
              <w:right w:w="20" w:type="dxa"/>
            </w:tcMar>
            <w:vAlign w:val="bottom"/>
          </w:tcPr>
          <w:p w14:paraId="1D026A10"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6A11" w14:textId="77777777" w:rsidR="004421F6" w:rsidRDefault="004421F6">
            <w:pPr>
              <w:rPr>
                <w:rFonts w:ascii="宋体"/>
                <w:vanish/>
              </w:rPr>
            </w:pPr>
          </w:p>
        </w:tc>
      </w:tr>
      <w:tr w:rsidR="004421F6" w14:paraId="1D026A19" w14:textId="77777777">
        <w:tc>
          <w:tcPr>
            <w:tcW w:w="0" w:type="auto"/>
            <w:gridSpan w:val="3"/>
            <w:shd w:val="clear" w:color="auto" w:fill="auto"/>
            <w:tcMar>
              <w:top w:w="40" w:type="dxa"/>
              <w:left w:w="20" w:type="dxa"/>
              <w:bottom w:w="40" w:type="dxa"/>
              <w:right w:w="20" w:type="dxa"/>
            </w:tcMar>
            <w:vAlign w:val="bottom"/>
          </w:tcPr>
          <w:p w14:paraId="1D026A13"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A14"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A15"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shd w:val="clear" w:color="auto" w:fill="auto"/>
          </w:tcPr>
          <w:p w14:paraId="1D026A16" w14:textId="77777777" w:rsidR="004421F6" w:rsidRDefault="004421F6">
            <w:pPr>
              <w:rPr>
                <w:rFonts w:ascii="宋体"/>
              </w:rPr>
            </w:pPr>
          </w:p>
        </w:tc>
        <w:tc>
          <w:tcPr>
            <w:tcW w:w="0" w:type="auto"/>
            <w:shd w:val="clear" w:color="auto" w:fill="auto"/>
          </w:tcPr>
          <w:p w14:paraId="1D026A17" w14:textId="77777777" w:rsidR="004421F6" w:rsidRDefault="004421F6">
            <w:pPr>
              <w:rPr>
                <w:rFonts w:ascii="宋体"/>
              </w:rPr>
            </w:pPr>
          </w:p>
        </w:tc>
        <w:tc>
          <w:tcPr>
            <w:tcW w:w="0" w:type="auto"/>
            <w:shd w:val="clear" w:color="auto" w:fill="auto"/>
          </w:tcPr>
          <w:p w14:paraId="1D026A18" w14:textId="77777777" w:rsidR="004421F6" w:rsidRDefault="004421F6">
            <w:pPr>
              <w:rPr>
                <w:rFonts w:ascii="宋体"/>
              </w:rPr>
            </w:pPr>
          </w:p>
        </w:tc>
      </w:tr>
      <w:tr w:rsidR="004421F6" w14:paraId="1D026A2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6A1A" w14:textId="77777777" w:rsidR="004421F6" w:rsidRDefault="00F15622">
            <w:pPr>
              <w:textAlignment w:val="bottom"/>
            </w:pPr>
            <w:r>
              <w:rPr>
                <w:rFonts w:ascii="Arial" w:eastAsia="宋体" w:hAnsi="Arial" w:cs="Arial"/>
                <w:color w:val="000000"/>
                <w:sz w:val="17"/>
                <w:szCs w:val="17"/>
              </w:rPr>
              <w:t>Other (income) expense, net</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A1B"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A1C" w14:textId="77777777" w:rsidR="004421F6" w:rsidRDefault="00F15622">
            <w:pPr>
              <w:jc w:val="right"/>
              <w:textAlignment w:val="bottom"/>
            </w:pPr>
            <w:r>
              <w:rPr>
                <w:rFonts w:ascii="Arial" w:eastAsia="宋体" w:hAnsi="Arial" w:cs="Arial"/>
                <w:color w:val="000000"/>
                <w:sz w:val="17"/>
                <w:szCs w:val="17"/>
              </w:rPr>
              <w:t>(14)</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A1D"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A1E"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A1F" w14:textId="77777777" w:rsidR="004421F6" w:rsidRDefault="00F15622">
            <w:pPr>
              <w:jc w:val="right"/>
              <w:textAlignment w:val="bottom"/>
            </w:pPr>
            <w:r>
              <w:rPr>
                <w:rFonts w:ascii="Arial" w:eastAsia="宋体" w:hAnsi="Arial" w:cs="Arial"/>
                <w:color w:val="000000"/>
                <w:sz w:val="17"/>
                <w:szCs w:val="17"/>
              </w:rPr>
              <w:t>(33)</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A20" w14:textId="77777777" w:rsidR="004421F6" w:rsidRDefault="004421F6">
            <w:pPr>
              <w:jc w:val="right"/>
              <w:rPr>
                <w:rFonts w:ascii="宋体"/>
              </w:rPr>
            </w:pPr>
          </w:p>
        </w:tc>
        <w:tc>
          <w:tcPr>
            <w:tcW w:w="0" w:type="auto"/>
            <w:shd w:val="clear" w:color="auto" w:fill="auto"/>
          </w:tcPr>
          <w:p w14:paraId="1D026A21" w14:textId="77777777" w:rsidR="004421F6" w:rsidRDefault="004421F6">
            <w:pPr>
              <w:rPr>
                <w:rFonts w:ascii="宋体"/>
              </w:rPr>
            </w:pPr>
          </w:p>
        </w:tc>
        <w:tc>
          <w:tcPr>
            <w:tcW w:w="0" w:type="auto"/>
            <w:shd w:val="clear" w:color="auto" w:fill="auto"/>
          </w:tcPr>
          <w:p w14:paraId="1D026A22" w14:textId="77777777" w:rsidR="004421F6" w:rsidRDefault="004421F6">
            <w:pPr>
              <w:rPr>
                <w:rFonts w:ascii="宋体"/>
              </w:rPr>
            </w:pPr>
          </w:p>
        </w:tc>
        <w:tc>
          <w:tcPr>
            <w:tcW w:w="0" w:type="auto"/>
            <w:shd w:val="clear" w:color="auto" w:fill="auto"/>
          </w:tcPr>
          <w:p w14:paraId="1D026A23" w14:textId="77777777" w:rsidR="004421F6" w:rsidRDefault="004421F6">
            <w:pPr>
              <w:rPr>
                <w:rFonts w:ascii="宋体"/>
              </w:rPr>
            </w:pPr>
          </w:p>
        </w:tc>
      </w:tr>
    </w:tbl>
    <w:p w14:paraId="1D026A25" w14:textId="77777777" w:rsidR="004421F6" w:rsidRDefault="00F15622">
      <w:pPr>
        <w:spacing w:before="120" w:after="120"/>
      </w:pPr>
      <w:r>
        <w:rPr>
          <w:rFonts w:ascii="Arial" w:eastAsia="宋体" w:hAnsi="Arial" w:cs="Arial"/>
          <w:color w:val="000000"/>
          <w:sz w:val="17"/>
          <w:szCs w:val="17"/>
        </w:rPr>
        <w:t xml:space="preserve">Other (income) expense, net comprises foreign currency conversion gains and losses from the </w:t>
      </w:r>
      <w:r>
        <w:rPr>
          <w:rFonts w:ascii="Arial" w:eastAsia="宋体" w:hAnsi="Arial" w:cs="Arial"/>
          <w:color w:val="000000"/>
          <w:sz w:val="17"/>
          <w:szCs w:val="17"/>
        </w:rPr>
        <w:t>re-measurement of monetary assets and liabilities denominated in non-functional currencies and the impact of certain foreign currency derivative instruments, as well as unusual or non-operating transactions that are outside the normal course of business.</w:t>
      </w:r>
    </w:p>
    <w:p w14:paraId="1D026A26" w14:textId="77777777" w:rsidR="004421F6" w:rsidRDefault="00F15622">
      <w:pPr>
        <w:spacing w:before="120" w:after="120"/>
      </w:pPr>
      <w:r>
        <w:rPr>
          <w:rFonts w:ascii="Arial" w:eastAsia="宋体" w:hAnsi="Arial" w:cs="Arial"/>
          <w:color w:val="000000"/>
          <w:sz w:val="17"/>
          <w:szCs w:val="17"/>
          <w:shd w:val="clear" w:color="auto" w:fill="FFFFFF"/>
        </w:rPr>
        <w:t>F</w:t>
      </w:r>
      <w:r>
        <w:rPr>
          <w:rFonts w:ascii="Arial" w:eastAsia="宋体" w:hAnsi="Arial" w:cs="Arial"/>
          <w:color w:val="000000"/>
          <w:sz w:val="17"/>
          <w:szCs w:val="17"/>
          <w:shd w:val="clear" w:color="auto" w:fill="FFFFFF"/>
        </w:rPr>
        <w:t xml:space="preserve">or the first quarter of fiscal 2021, Other (income) expense, net decreased from </w:t>
      </w:r>
      <w:r>
        <w:rPr>
          <w:rFonts w:ascii="Arial" w:eastAsia="宋体" w:hAnsi="Arial" w:cs="Arial"/>
          <w:color w:val="000000"/>
          <w:sz w:val="17"/>
          <w:szCs w:val="17"/>
        </w:rPr>
        <w:t>$33 million</w:t>
      </w:r>
      <w:r>
        <w:rPr>
          <w:rFonts w:ascii="Arial" w:eastAsia="宋体" w:hAnsi="Arial" w:cs="Arial"/>
          <w:color w:val="000000"/>
          <w:sz w:val="17"/>
          <w:szCs w:val="17"/>
          <w:shd w:val="clear" w:color="auto" w:fill="FFFFFF"/>
        </w:rPr>
        <w:t xml:space="preserve"> of other income, net to </w:t>
      </w:r>
      <w:r>
        <w:rPr>
          <w:rFonts w:ascii="Arial" w:eastAsia="宋体" w:hAnsi="Arial" w:cs="Arial"/>
          <w:color w:val="000000"/>
          <w:sz w:val="17"/>
          <w:szCs w:val="17"/>
        </w:rPr>
        <w:t xml:space="preserve">$14 million </w:t>
      </w:r>
      <w:r>
        <w:rPr>
          <w:rFonts w:ascii="Arial" w:eastAsia="宋体" w:hAnsi="Arial" w:cs="Arial"/>
          <w:color w:val="000000"/>
          <w:sz w:val="17"/>
          <w:szCs w:val="17"/>
          <w:shd w:val="clear" w:color="auto" w:fill="FFFFFF"/>
        </w:rPr>
        <w:t xml:space="preserve">in the current year, primarily due to an incremental </w:t>
      </w:r>
      <w:r>
        <w:rPr>
          <w:rFonts w:ascii="Arial" w:eastAsia="宋体" w:hAnsi="Arial" w:cs="Arial"/>
          <w:color w:val="000000"/>
          <w:sz w:val="17"/>
          <w:szCs w:val="17"/>
        </w:rPr>
        <w:t>charge related to our planned, strategic distributor partnership transition</w:t>
      </w:r>
      <w:r>
        <w:rPr>
          <w:rFonts w:ascii="Arial" w:eastAsia="宋体" w:hAnsi="Arial" w:cs="Arial"/>
          <w:color w:val="000000"/>
          <w:sz w:val="17"/>
          <w:szCs w:val="17"/>
        </w:rPr>
        <w:t xml:space="preserve"> within APLA. For more information see Note 13 — Acquisitions and Divestitures within the accompanying Notes to the Unaudited Condensed Consolidated Financial Statements. </w:t>
      </w:r>
    </w:p>
    <w:p w14:paraId="1D026A27" w14:textId="77777777" w:rsidR="004421F6" w:rsidRDefault="00F15622">
      <w:pPr>
        <w:spacing w:before="120" w:after="120"/>
        <w:jc w:val="right"/>
      </w:pPr>
      <w:r>
        <w:rPr>
          <w:rFonts w:ascii="Arial" w:eastAsia="宋体" w:hAnsi="Arial" w:cs="Arial"/>
          <w:color w:val="E87722"/>
          <w:sz w:val="17"/>
          <w:szCs w:val="17"/>
        </w:rPr>
        <w:t>25</w:t>
      </w:r>
    </w:p>
    <w:p w14:paraId="1D026A28" w14:textId="77777777" w:rsidR="004421F6" w:rsidRDefault="00F15622">
      <w:r>
        <w:pict w14:anchorId="1D027294">
          <v:rect id="_x0000_i1051" style="width:415.3pt;height:1.5pt" o:hralign="center" o:hrstd="t" o:hr="t" fillcolor="#a0a0a0" stroked="f"/>
        </w:pict>
      </w:r>
    </w:p>
    <w:p w14:paraId="1D026A29" w14:textId="77777777" w:rsidR="004421F6" w:rsidRDefault="004421F6"/>
    <w:p w14:paraId="1D026A2A" w14:textId="77777777" w:rsidR="004421F6" w:rsidRDefault="00F15622">
      <w:hyperlink r:id="rId96" w:anchor="i3e524f2e23844e81ba9d33a05ac3917c_7" w:history="1">
        <w:r>
          <w:rPr>
            <w:rStyle w:val="a5"/>
            <w:rFonts w:ascii="sans-serif" w:eastAsia="sans-serif" w:hAnsi="sans-serif" w:cs="sans-serif"/>
            <w:sz w:val="17"/>
            <w:szCs w:val="17"/>
          </w:rPr>
          <w:t>Table of Contents</w:t>
        </w:r>
      </w:hyperlink>
    </w:p>
    <w:p w14:paraId="1D026A2B" w14:textId="77777777" w:rsidR="004421F6" w:rsidRDefault="004421F6"/>
    <w:p w14:paraId="1D026A2C" w14:textId="77777777" w:rsidR="004421F6" w:rsidRDefault="00F15622">
      <w:pPr>
        <w:spacing w:before="120" w:after="120"/>
      </w:pPr>
      <w:r>
        <w:rPr>
          <w:rFonts w:ascii="Arial" w:eastAsia="宋体" w:hAnsi="Arial" w:cs="Arial"/>
          <w:color w:val="000000"/>
          <w:sz w:val="17"/>
          <w:szCs w:val="17"/>
          <w:shd w:val="clear" w:color="auto" w:fill="FFFFFF"/>
        </w:rPr>
        <w:t>We estimate the combination of the translation of foreign currency-denominated profit</w:t>
      </w:r>
      <w:r>
        <w:rPr>
          <w:rFonts w:ascii="Arial" w:eastAsia="宋体" w:hAnsi="Arial" w:cs="Arial"/>
          <w:color w:val="000000"/>
          <w:sz w:val="17"/>
          <w:szCs w:val="17"/>
          <w:shd w:val="clear" w:color="auto" w:fill="FFFFFF"/>
        </w:rPr>
        <w:t xml:space="preserve">s from our international businesses and the year-over-year change in foreign currency-related gains and losses included in Other (income) expense, net had unfavorable impacts of approximately </w:t>
      </w:r>
      <w:r>
        <w:rPr>
          <w:rFonts w:ascii="Arial" w:eastAsia="宋体" w:hAnsi="Arial" w:cs="Arial"/>
          <w:color w:val="000000"/>
          <w:sz w:val="17"/>
          <w:szCs w:val="17"/>
        </w:rPr>
        <w:t>$38 million</w:t>
      </w:r>
      <w:r>
        <w:rPr>
          <w:rFonts w:ascii="Arial" w:eastAsia="宋体" w:hAnsi="Arial" w:cs="Arial"/>
          <w:color w:val="000000"/>
          <w:sz w:val="17"/>
          <w:szCs w:val="17"/>
          <w:shd w:val="clear" w:color="auto" w:fill="FFFFFF"/>
        </w:rPr>
        <w:t xml:space="preserve"> on our Income before income taxes for the first quar</w:t>
      </w:r>
      <w:r>
        <w:rPr>
          <w:rFonts w:ascii="Arial" w:eastAsia="宋体" w:hAnsi="Arial" w:cs="Arial"/>
          <w:color w:val="000000"/>
          <w:sz w:val="17"/>
          <w:szCs w:val="17"/>
          <w:shd w:val="clear" w:color="auto" w:fill="FFFFFF"/>
        </w:rPr>
        <w:t>ter of fiscal 2021.</w:t>
      </w:r>
    </w:p>
    <w:p w14:paraId="1D026A2D" w14:textId="77777777" w:rsidR="004421F6" w:rsidRDefault="00F15622">
      <w:pPr>
        <w:spacing w:before="240" w:after="120"/>
      </w:pPr>
      <w:r>
        <w:rPr>
          <w:rFonts w:ascii="sans-serif" w:eastAsia="sans-serif" w:hAnsi="sans-serif" w:cs="sans-serif"/>
          <w:b/>
          <w:bCs/>
          <w:color w:val="000000"/>
          <w:sz w:val="28"/>
          <w:szCs w:val="28"/>
        </w:rPr>
        <w:t>INCOME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5006"/>
        <w:gridCol w:w="36"/>
        <w:gridCol w:w="38"/>
        <w:gridCol w:w="837"/>
        <w:gridCol w:w="188"/>
        <w:gridCol w:w="38"/>
        <w:gridCol w:w="839"/>
        <w:gridCol w:w="188"/>
        <w:gridCol w:w="53"/>
        <w:gridCol w:w="824"/>
        <w:gridCol w:w="36"/>
        <w:gridCol w:w="36"/>
        <w:gridCol w:w="36"/>
        <w:gridCol w:w="36"/>
        <w:gridCol w:w="36"/>
        <w:gridCol w:w="36"/>
        <w:gridCol w:w="36"/>
      </w:tblGrid>
      <w:tr w:rsidR="004421F6" w14:paraId="1D026A3A" w14:textId="77777777">
        <w:trPr>
          <w:gridAfter w:val="6"/>
        </w:trPr>
        <w:tc>
          <w:tcPr>
            <w:tcW w:w="50" w:type="pct"/>
            <w:shd w:val="clear" w:color="auto" w:fill="auto"/>
          </w:tcPr>
          <w:p w14:paraId="1D026A2E" w14:textId="77777777" w:rsidR="004421F6" w:rsidRDefault="004421F6">
            <w:pPr>
              <w:rPr>
                <w:rFonts w:ascii="宋体"/>
              </w:rPr>
            </w:pPr>
          </w:p>
        </w:tc>
        <w:tc>
          <w:tcPr>
            <w:tcW w:w="3120" w:type="pct"/>
            <w:shd w:val="clear" w:color="auto" w:fill="auto"/>
          </w:tcPr>
          <w:p w14:paraId="1D026A2F" w14:textId="77777777" w:rsidR="004421F6" w:rsidRDefault="004421F6">
            <w:pPr>
              <w:rPr>
                <w:rFonts w:ascii="宋体"/>
              </w:rPr>
            </w:pPr>
          </w:p>
        </w:tc>
        <w:tc>
          <w:tcPr>
            <w:tcW w:w="5" w:type="pct"/>
            <w:shd w:val="clear" w:color="auto" w:fill="auto"/>
          </w:tcPr>
          <w:p w14:paraId="1D026A30" w14:textId="77777777" w:rsidR="004421F6" w:rsidRDefault="004421F6">
            <w:pPr>
              <w:rPr>
                <w:rFonts w:ascii="宋体"/>
              </w:rPr>
            </w:pPr>
          </w:p>
        </w:tc>
        <w:tc>
          <w:tcPr>
            <w:tcW w:w="50" w:type="pct"/>
            <w:shd w:val="clear" w:color="auto" w:fill="auto"/>
          </w:tcPr>
          <w:p w14:paraId="1D026A31" w14:textId="77777777" w:rsidR="004421F6" w:rsidRDefault="004421F6">
            <w:pPr>
              <w:rPr>
                <w:rFonts w:ascii="宋体"/>
              </w:rPr>
            </w:pPr>
          </w:p>
        </w:tc>
        <w:tc>
          <w:tcPr>
            <w:tcW w:w="553" w:type="pct"/>
            <w:shd w:val="clear" w:color="auto" w:fill="auto"/>
          </w:tcPr>
          <w:p w14:paraId="1D026A32" w14:textId="77777777" w:rsidR="004421F6" w:rsidRDefault="004421F6">
            <w:pPr>
              <w:rPr>
                <w:rFonts w:ascii="宋体"/>
              </w:rPr>
            </w:pPr>
          </w:p>
        </w:tc>
        <w:tc>
          <w:tcPr>
            <w:tcW w:w="5" w:type="pct"/>
            <w:shd w:val="clear" w:color="auto" w:fill="auto"/>
          </w:tcPr>
          <w:p w14:paraId="1D026A33" w14:textId="77777777" w:rsidR="004421F6" w:rsidRDefault="004421F6">
            <w:pPr>
              <w:rPr>
                <w:rFonts w:ascii="宋体"/>
              </w:rPr>
            </w:pPr>
          </w:p>
        </w:tc>
        <w:tc>
          <w:tcPr>
            <w:tcW w:w="50" w:type="pct"/>
            <w:shd w:val="clear" w:color="auto" w:fill="auto"/>
          </w:tcPr>
          <w:p w14:paraId="1D026A34" w14:textId="77777777" w:rsidR="004421F6" w:rsidRDefault="004421F6">
            <w:pPr>
              <w:rPr>
                <w:rFonts w:ascii="宋体"/>
              </w:rPr>
            </w:pPr>
          </w:p>
        </w:tc>
        <w:tc>
          <w:tcPr>
            <w:tcW w:w="553" w:type="pct"/>
            <w:shd w:val="clear" w:color="auto" w:fill="auto"/>
          </w:tcPr>
          <w:p w14:paraId="1D026A35" w14:textId="77777777" w:rsidR="004421F6" w:rsidRDefault="004421F6">
            <w:pPr>
              <w:rPr>
                <w:rFonts w:ascii="宋体"/>
              </w:rPr>
            </w:pPr>
          </w:p>
        </w:tc>
        <w:tc>
          <w:tcPr>
            <w:tcW w:w="5" w:type="pct"/>
            <w:shd w:val="clear" w:color="auto" w:fill="auto"/>
          </w:tcPr>
          <w:p w14:paraId="1D026A36" w14:textId="77777777" w:rsidR="004421F6" w:rsidRDefault="004421F6">
            <w:pPr>
              <w:rPr>
                <w:rFonts w:ascii="宋体"/>
              </w:rPr>
            </w:pPr>
          </w:p>
        </w:tc>
        <w:tc>
          <w:tcPr>
            <w:tcW w:w="50" w:type="pct"/>
            <w:shd w:val="clear" w:color="auto" w:fill="auto"/>
          </w:tcPr>
          <w:p w14:paraId="1D026A37" w14:textId="77777777" w:rsidR="004421F6" w:rsidRDefault="004421F6">
            <w:pPr>
              <w:rPr>
                <w:rFonts w:ascii="宋体"/>
              </w:rPr>
            </w:pPr>
          </w:p>
        </w:tc>
        <w:tc>
          <w:tcPr>
            <w:tcW w:w="553" w:type="pct"/>
            <w:shd w:val="clear" w:color="auto" w:fill="auto"/>
          </w:tcPr>
          <w:p w14:paraId="1D026A38" w14:textId="77777777" w:rsidR="004421F6" w:rsidRDefault="004421F6">
            <w:pPr>
              <w:rPr>
                <w:rFonts w:ascii="宋体"/>
              </w:rPr>
            </w:pPr>
          </w:p>
        </w:tc>
        <w:tc>
          <w:tcPr>
            <w:tcW w:w="5" w:type="pct"/>
            <w:shd w:val="clear" w:color="auto" w:fill="auto"/>
          </w:tcPr>
          <w:p w14:paraId="1D026A39" w14:textId="77777777" w:rsidR="004421F6" w:rsidRDefault="004421F6">
            <w:pPr>
              <w:rPr>
                <w:rFonts w:ascii="宋体"/>
              </w:rPr>
            </w:pPr>
          </w:p>
        </w:tc>
      </w:tr>
      <w:tr w:rsidR="004421F6" w14:paraId="1D026A3F" w14:textId="77777777">
        <w:tc>
          <w:tcPr>
            <w:tcW w:w="0" w:type="auto"/>
            <w:gridSpan w:val="3"/>
            <w:shd w:val="clear" w:color="auto" w:fill="auto"/>
            <w:tcMar>
              <w:left w:w="20" w:type="dxa"/>
              <w:right w:w="20" w:type="dxa"/>
            </w:tcMar>
            <w:vAlign w:val="bottom"/>
          </w:tcPr>
          <w:p w14:paraId="1D026A3B" w14:textId="77777777" w:rsidR="004421F6" w:rsidRDefault="004421F6">
            <w:pPr>
              <w:rPr>
                <w:rFonts w:ascii="宋体"/>
              </w:rPr>
            </w:pPr>
          </w:p>
        </w:tc>
        <w:tc>
          <w:tcPr>
            <w:tcW w:w="0" w:type="auto"/>
            <w:gridSpan w:val="9"/>
            <w:shd w:val="clear" w:color="auto" w:fill="auto"/>
            <w:tcMar>
              <w:top w:w="40" w:type="dxa"/>
              <w:left w:w="20" w:type="dxa"/>
              <w:bottom w:w="40" w:type="dxa"/>
              <w:right w:w="20" w:type="dxa"/>
            </w:tcMar>
            <w:vAlign w:val="bottom"/>
          </w:tcPr>
          <w:p w14:paraId="1D026A3C"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6A3D" w14:textId="77777777" w:rsidR="004421F6" w:rsidRDefault="004421F6">
            <w:pPr>
              <w:rPr>
                <w:rFonts w:ascii="宋体"/>
                <w:vanish/>
              </w:rPr>
            </w:pPr>
          </w:p>
        </w:tc>
        <w:tc>
          <w:tcPr>
            <w:tcW w:w="0" w:type="auto"/>
            <w:gridSpan w:val="3"/>
            <w:shd w:val="clear" w:color="auto" w:fill="auto"/>
          </w:tcPr>
          <w:p w14:paraId="1D026A3E" w14:textId="77777777" w:rsidR="004421F6" w:rsidRDefault="004421F6">
            <w:pPr>
              <w:rPr>
                <w:rFonts w:ascii="宋体"/>
                <w:vanish/>
              </w:rPr>
            </w:pPr>
          </w:p>
        </w:tc>
      </w:tr>
      <w:tr w:rsidR="004421F6" w14:paraId="1D026A4A" w14:textId="77777777">
        <w:tc>
          <w:tcPr>
            <w:tcW w:w="0" w:type="auto"/>
            <w:gridSpan w:val="3"/>
            <w:shd w:val="clear" w:color="auto" w:fill="auto"/>
            <w:tcMar>
              <w:left w:w="20" w:type="dxa"/>
              <w:right w:w="20" w:type="dxa"/>
            </w:tcMar>
            <w:vAlign w:val="bottom"/>
          </w:tcPr>
          <w:p w14:paraId="1D026A40" w14:textId="77777777" w:rsidR="004421F6" w:rsidRDefault="004421F6">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A41"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A42"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A43" w14:textId="77777777" w:rsidR="004421F6" w:rsidRDefault="00F15622">
            <w:pPr>
              <w:jc w:val="right"/>
              <w:textAlignment w:val="bottom"/>
            </w:pPr>
            <w:r>
              <w:rPr>
                <w:rFonts w:ascii="sans-serif" w:eastAsia="sans-serif" w:hAnsi="sans-serif" w:cs="sans-serif"/>
                <w:b/>
                <w:bCs/>
                <w:color w:val="000000"/>
                <w:sz w:val="17"/>
                <w:szCs w:val="17"/>
              </w:rPr>
              <w:t>% CHANGE</w:t>
            </w:r>
          </w:p>
        </w:tc>
        <w:tc>
          <w:tcPr>
            <w:tcW w:w="0" w:type="auto"/>
            <w:shd w:val="clear" w:color="auto" w:fill="auto"/>
          </w:tcPr>
          <w:p w14:paraId="1D026A44" w14:textId="77777777" w:rsidR="004421F6" w:rsidRDefault="004421F6">
            <w:pPr>
              <w:rPr>
                <w:rFonts w:ascii="宋体"/>
              </w:rPr>
            </w:pPr>
          </w:p>
        </w:tc>
        <w:tc>
          <w:tcPr>
            <w:tcW w:w="0" w:type="auto"/>
            <w:shd w:val="clear" w:color="auto" w:fill="auto"/>
          </w:tcPr>
          <w:p w14:paraId="1D026A45" w14:textId="77777777" w:rsidR="004421F6" w:rsidRDefault="004421F6">
            <w:pPr>
              <w:rPr>
                <w:rFonts w:ascii="宋体"/>
              </w:rPr>
            </w:pPr>
          </w:p>
        </w:tc>
        <w:tc>
          <w:tcPr>
            <w:tcW w:w="0" w:type="auto"/>
            <w:shd w:val="clear" w:color="auto" w:fill="auto"/>
          </w:tcPr>
          <w:p w14:paraId="1D026A46" w14:textId="77777777" w:rsidR="004421F6" w:rsidRDefault="004421F6">
            <w:pPr>
              <w:rPr>
                <w:rFonts w:ascii="宋体"/>
              </w:rPr>
            </w:pPr>
          </w:p>
        </w:tc>
        <w:tc>
          <w:tcPr>
            <w:tcW w:w="0" w:type="auto"/>
            <w:shd w:val="clear" w:color="auto" w:fill="auto"/>
          </w:tcPr>
          <w:p w14:paraId="1D026A47" w14:textId="77777777" w:rsidR="004421F6" w:rsidRDefault="004421F6">
            <w:pPr>
              <w:rPr>
                <w:rFonts w:ascii="宋体"/>
              </w:rPr>
            </w:pPr>
          </w:p>
        </w:tc>
        <w:tc>
          <w:tcPr>
            <w:tcW w:w="0" w:type="auto"/>
            <w:shd w:val="clear" w:color="auto" w:fill="auto"/>
          </w:tcPr>
          <w:p w14:paraId="1D026A48" w14:textId="77777777" w:rsidR="004421F6" w:rsidRDefault="004421F6">
            <w:pPr>
              <w:rPr>
                <w:rFonts w:ascii="宋体"/>
              </w:rPr>
            </w:pPr>
          </w:p>
        </w:tc>
        <w:tc>
          <w:tcPr>
            <w:tcW w:w="0" w:type="auto"/>
            <w:shd w:val="clear" w:color="auto" w:fill="auto"/>
          </w:tcPr>
          <w:p w14:paraId="1D026A49" w14:textId="77777777" w:rsidR="004421F6" w:rsidRDefault="004421F6">
            <w:pPr>
              <w:rPr>
                <w:rFonts w:ascii="宋体"/>
              </w:rPr>
            </w:pPr>
          </w:p>
        </w:tc>
      </w:tr>
      <w:tr w:rsidR="004421F6" w14:paraId="1D026A5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1D026A4B" w14:textId="77777777" w:rsidR="004421F6" w:rsidRDefault="00F15622">
            <w:pPr>
              <w:textAlignment w:val="top"/>
            </w:pPr>
            <w:r>
              <w:rPr>
                <w:rFonts w:ascii="Arial" w:eastAsia="宋体" w:hAnsi="Arial" w:cs="Arial"/>
                <w:color w:val="000000"/>
                <w:sz w:val="17"/>
                <w:szCs w:val="17"/>
              </w:rPr>
              <w:t>Effective tax rate</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tcPr>
          <w:p w14:paraId="1D026A4C" w14:textId="77777777" w:rsidR="004421F6" w:rsidRDefault="00F15622">
            <w:pPr>
              <w:jc w:val="right"/>
              <w:textAlignment w:val="top"/>
            </w:pPr>
            <w:r>
              <w:rPr>
                <w:rFonts w:ascii="Arial" w:eastAsia="宋体" w:hAnsi="Arial" w:cs="Arial"/>
                <w:color w:val="000000"/>
                <w:sz w:val="17"/>
                <w:szCs w:val="17"/>
              </w:rPr>
              <w:t>11.5 </w:t>
            </w:r>
          </w:p>
        </w:tc>
        <w:tc>
          <w:tcPr>
            <w:tcW w:w="0" w:type="auto"/>
            <w:tcBorders>
              <w:top w:val="single" w:sz="8" w:space="0" w:color="E87722"/>
              <w:bottom w:val="single" w:sz="8" w:space="0" w:color="E87722"/>
            </w:tcBorders>
            <w:shd w:val="clear" w:color="auto" w:fill="FFF1E7"/>
            <w:tcMar>
              <w:top w:w="40" w:type="dxa"/>
              <w:bottom w:w="40" w:type="dxa"/>
              <w:right w:w="20" w:type="dxa"/>
            </w:tcMar>
          </w:tcPr>
          <w:p w14:paraId="1D026A4D" w14:textId="77777777" w:rsidR="004421F6" w:rsidRDefault="00F15622">
            <w:pPr>
              <w:jc w:val="right"/>
              <w:textAlignment w:val="top"/>
            </w:pPr>
            <w:r>
              <w:rPr>
                <w:rFonts w:ascii="Arial" w:eastAsia="宋体" w:hAnsi="Arial" w:cs="Arial"/>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tcPr>
          <w:p w14:paraId="1D026A4E" w14:textId="77777777" w:rsidR="004421F6" w:rsidRDefault="00F15622">
            <w:pPr>
              <w:jc w:val="right"/>
              <w:textAlignment w:val="top"/>
            </w:pPr>
            <w:r>
              <w:rPr>
                <w:rFonts w:ascii="Arial" w:eastAsia="宋体" w:hAnsi="Arial" w:cs="Arial"/>
                <w:color w:val="000000"/>
                <w:sz w:val="17"/>
                <w:szCs w:val="17"/>
              </w:rPr>
              <w:t>12.4 </w:t>
            </w:r>
          </w:p>
        </w:tc>
        <w:tc>
          <w:tcPr>
            <w:tcW w:w="0" w:type="auto"/>
            <w:tcBorders>
              <w:top w:val="single" w:sz="8" w:space="0" w:color="E87722"/>
              <w:bottom w:val="single" w:sz="8" w:space="0" w:color="E87722"/>
            </w:tcBorders>
            <w:shd w:val="clear" w:color="auto" w:fill="auto"/>
            <w:tcMar>
              <w:top w:w="40" w:type="dxa"/>
              <w:bottom w:w="40" w:type="dxa"/>
              <w:right w:w="20" w:type="dxa"/>
            </w:tcMar>
          </w:tcPr>
          <w:p w14:paraId="1D026A4F" w14:textId="77777777" w:rsidR="004421F6" w:rsidRDefault="00F15622">
            <w:pPr>
              <w:jc w:val="right"/>
              <w:textAlignment w:val="top"/>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1D026A50" w14:textId="77777777" w:rsidR="004421F6" w:rsidRDefault="00F15622">
            <w:pPr>
              <w:jc w:val="right"/>
              <w:textAlignment w:val="top"/>
            </w:pPr>
            <w:r>
              <w:rPr>
                <w:rFonts w:ascii="Arial" w:eastAsia="宋体" w:hAnsi="Arial" w:cs="Arial"/>
                <w:color w:val="000000"/>
                <w:sz w:val="17"/>
                <w:szCs w:val="17"/>
              </w:rPr>
              <w:t>(90) bps</w:t>
            </w:r>
          </w:p>
        </w:tc>
        <w:tc>
          <w:tcPr>
            <w:tcW w:w="0" w:type="auto"/>
            <w:shd w:val="clear" w:color="auto" w:fill="auto"/>
          </w:tcPr>
          <w:p w14:paraId="1D026A51" w14:textId="77777777" w:rsidR="004421F6" w:rsidRDefault="004421F6">
            <w:pPr>
              <w:rPr>
                <w:rFonts w:ascii="宋体"/>
              </w:rPr>
            </w:pPr>
          </w:p>
        </w:tc>
        <w:tc>
          <w:tcPr>
            <w:tcW w:w="0" w:type="auto"/>
            <w:shd w:val="clear" w:color="auto" w:fill="auto"/>
          </w:tcPr>
          <w:p w14:paraId="1D026A52" w14:textId="77777777" w:rsidR="004421F6" w:rsidRDefault="004421F6">
            <w:pPr>
              <w:rPr>
                <w:rFonts w:ascii="宋体"/>
              </w:rPr>
            </w:pPr>
          </w:p>
        </w:tc>
        <w:tc>
          <w:tcPr>
            <w:tcW w:w="0" w:type="auto"/>
            <w:shd w:val="clear" w:color="auto" w:fill="auto"/>
          </w:tcPr>
          <w:p w14:paraId="1D026A53" w14:textId="77777777" w:rsidR="004421F6" w:rsidRDefault="004421F6">
            <w:pPr>
              <w:rPr>
                <w:rFonts w:ascii="宋体"/>
              </w:rPr>
            </w:pPr>
          </w:p>
        </w:tc>
        <w:tc>
          <w:tcPr>
            <w:tcW w:w="0" w:type="auto"/>
            <w:shd w:val="clear" w:color="auto" w:fill="auto"/>
          </w:tcPr>
          <w:p w14:paraId="1D026A54" w14:textId="77777777" w:rsidR="004421F6" w:rsidRDefault="004421F6">
            <w:pPr>
              <w:rPr>
                <w:rFonts w:ascii="宋体"/>
              </w:rPr>
            </w:pPr>
          </w:p>
        </w:tc>
        <w:tc>
          <w:tcPr>
            <w:tcW w:w="0" w:type="auto"/>
            <w:shd w:val="clear" w:color="auto" w:fill="auto"/>
          </w:tcPr>
          <w:p w14:paraId="1D026A55" w14:textId="77777777" w:rsidR="004421F6" w:rsidRDefault="004421F6">
            <w:pPr>
              <w:rPr>
                <w:rFonts w:ascii="宋体"/>
              </w:rPr>
            </w:pPr>
          </w:p>
        </w:tc>
        <w:tc>
          <w:tcPr>
            <w:tcW w:w="0" w:type="auto"/>
            <w:shd w:val="clear" w:color="auto" w:fill="auto"/>
          </w:tcPr>
          <w:p w14:paraId="1D026A56" w14:textId="77777777" w:rsidR="004421F6" w:rsidRDefault="004421F6">
            <w:pPr>
              <w:rPr>
                <w:rFonts w:ascii="宋体"/>
              </w:rPr>
            </w:pPr>
          </w:p>
        </w:tc>
      </w:tr>
    </w:tbl>
    <w:p w14:paraId="1D026A58" w14:textId="77777777" w:rsidR="004421F6" w:rsidRDefault="00F15622">
      <w:pPr>
        <w:spacing w:before="120"/>
      </w:pPr>
      <w:r>
        <w:rPr>
          <w:rFonts w:ascii="Arial" w:eastAsia="宋体" w:hAnsi="Arial" w:cs="Arial"/>
          <w:color w:val="000000"/>
          <w:sz w:val="17"/>
          <w:szCs w:val="17"/>
        </w:rPr>
        <w:t>Our effective tax rate was 11.5% for the first quarter of fiscal 2021, compared to 12.4% for the first quarter of fiscal 2020. The decrease in our effective tax rate was attributable to discrete items including a more favorable impact from stock-based comp</w:t>
      </w:r>
      <w:r>
        <w:rPr>
          <w:rFonts w:ascii="Arial" w:eastAsia="宋体" w:hAnsi="Arial" w:cs="Arial"/>
          <w:color w:val="000000"/>
          <w:sz w:val="17"/>
          <w:szCs w:val="17"/>
        </w:rPr>
        <w:t xml:space="preserve">ensation, offset by a reserve related to </w:t>
      </w:r>
      <w:r>
        <w:rPr>
          <w:rFonts w:ascii="Arial" w:eastAsia="宋体" w:hAnsi="Arial" w:cs="Arial"/>
          <w:i/>
          <w:iCs/>
          <w:color w:val="000000"/>
          <w:sz w:val="17"/>
          <w:szCs w:val="17"/>
        </w:rPr>
        <w:t>Altera Corp. v. Commissioner</w:t>
      </w:r>
      <w:r>
        <w:rPr>
          <w:rFonts w:ascii="Arial" w:eastAsia="宋体" w:hAnsi="Arial" w:cs="Arial"/>
          <w:color w:val="000000"/>
          <w:sz w:val="17"/>
          <w:szCs w:val="17"/>
        </w:rPr>
        <w:t xml:space="preserve"> where the taxpayer was denied a hearing before the U.S. Supreme Court on June 22, 2020, thereby ratifying the Ninth Circuit Court's decision and requiring the inclusion of stock-based co</w:t>
      </w:r>
      <w:r>
        <w:rPr>
          <w:rFonts w:ascii="Arial" w:eastAsia="宋体" w:hAnsi="Arial" w:cs="Arial"/>
          <w:color w:val="000000"/>
          <w:sz w:val="17"/>
          <w:szCs w:val="17"/>
        </w:rPr>
        <w:t>mpensation in intercompany cost-sharing arrangements. Refer to Note 6 — Income Taxes within the accompanying Notes to the Unaudited Condensed Consolidated Financial Statements for additional information.</w:t>
      </w:r>
      <w:r>
        <w:rPr>
          <w:rFonts w:ascii="Arial" w:eastAsia="宋体" w:hAnsi="Arial" w:cs="Arial"/>
          <w:color w:val="000000"/>
          <w:sz w:val="18"/>
          <w:szCs w:val="18"/>
        </w:rPr>
        <w:t xml:space="preserve"> </w:t>
      </w:r>
    </w:p>
    <w:p w14:paraId="1D026A59" w14:textId="77777777" w:rsidR="004421F6" w:rsidRDefault="00F15622">
      <w:pPr>
        <w:spacing w:before="120" w:after="120"/>
      </w:pPr>
      <w:r>
        <w:rPr>
          <w:rFonts w:ascii="Arial" w:eastAsia="宋体" w:hAnsi="Arial" w:cs="Arial"/>
          <w:color w:val="E87722"/>
          <w:sz w:val="17"/>
          <w:szCs w:val="17"/>
        </w:rPr>
        <w:t>26</w:t>
      </w:r>
      <w:r>
        <w:rPr>
          <w:rFonts w:ascii="sans-serif" w:eastAsia="sans-serif" w:hAnsi="sans-serif" w:cs="sans-serif"/>
          <w:color w:val="000000"/>
          <w:sz w:val="17"/>
          <w:szCs w:val="17"/>
        </w:rPr>
        <w:t xml:space="preserve"> </w:t>
      </w:r>
    </w:p>
    <w:p w14:paraId="1D026A5A" w14:textId="77777777" w:rsidR="004421F6" w:rsidRDefault="00F15622">
      <w:r>
        <w:pict w14:anchorId="1D027295">
          <v:rect id="_x0000_i1052" style="width:415.3pt;height:1.5pt" o:hralign="center" o:hrstd="t" o:hr="t" fillcolor="#a0a0a0" stroked="f"/>
        </w:pict>
      </w:r>
    </w:p>
    <w:p w14:paraId="1D026A5B" w14:textId="77777777" w:rsidR="004421F6" w:rsidRDefault="004421F6"/>
    <w:p w14:paraId="1D026A5C" w14:textId="77777777" w:rsidR="004421F6" w:rsidRDefault="00F15622">
      <w:hyperlink r:id="rId97" w:anchor="i3e524f2e23844e81ba9d33a05ac3917c_7" w:history="1">
        <w:r>
          <w:rPr>
            <w:rStyle w:val="a5"/>
            <w:rFonts w:ascii="sans-serif" w:eastAsia="sans-serif" w:hAnsi="sans-serif" w:cs="sans-serif"/>
            <w:sz w:val="17"/>
            <w:szCs w:val="17"/>
          </w:rPr>
          <w:t>Table of Contents</w:t>
        </w:r>
      </w:hyperlink>
    </w:p>
    <w:p w14:paraId="1D026A5D" w14:textId="77777777" w:rsidR="004421F6" w:rsidRDefault="004421F6"/>
    <w:p w14:paraId="1D026A5E" w14:textId="77777777" w:rsidR="004421F6" w:rsidRDefault="00F15622">
      <w:pPr>
        <w:spacing w:before="300" w:after="120"/>
      </w:pPr>
      <w:r>
        <w:rPr>
          <w:rFonts w:ascii="sans-serif" w:eastAsia="sans-serif" w:hAnsi="sans-serif" w:cs="sans-serif"/>
          <w:b/>
          <w:bCs/>
          <w:color w:val="E87722"/>
          <w:sz w:val="36"/>
          <w:szCs w:val="36"/>
        </w:rPr>
        <w:t>OPERATING SEGMENTS</w:t>
      </w:r>
    </w:p>
    <w:p w14:paraId="1D026A5F" w14:textId="77777777" w:rsidR="004421F6" w:rsidRDefault="00F15622">
      <w:pPr>
        <w:spacing w:before="120" w:after="120"/>
      </w:pPr>
      <w:r>
        <w:rPr>
          <w:rFonts w:ascii="Arial" w:eastAsia="宋体" w:hAnsi="Arial" w:cs="Arial"/>
          <w:color w:val="000000"/>
          <w:sz w:val="17"/>
          <w:szCs w:val="17"/>
        </w:rPr>
        <w:t xml:space="preserve">Our operating segments are evidence of the structure of the Company's internal organization. The NIKE Brand segments are defined by geographic regions for operations participating in NIKE Brand sales activity. </w:t>
      </w:r>
    </w:p>
    <w:p w14:paraId="1D026A60" w14:textId="77777777" w:rsidR="004421F6" w:rsidRDefault="00F15622">
      <w:pPr>
        <w:spacing w:before="120" w:after="120"/>
      </w:pPr>
      <w:r>
        <w:rPr>
          <w:rFonts w:ascii="Arial" w:eastAsia="宋体" w:hAnsi="Arial" w:cs="Arial"/>
          <w:color w:val="000000"/>
          <w:sz w:val="17"/>
          <w:szCs w:val="17"/>
        </w:rPr>
        <w:t>Each NIKE Brand geographic segment operates p</w:t>
      </w:r>
      <w:r>
        <w:rPr>
          <w:rFonts w:ascii="Arial" w:eastAsia="宋体" w:hAnsi="Arial" w:cs="Arial"/>
          <w:color w:val="000000"/>
          <w:sz w:val="17"/>
          <w:szCs w:val="17"/>
        </w:rPr>
        <w:t>redominantly in one industry: the design, development, marketing and selling of athletic footwear, apparel and equipment. The Company's reportable operating segments for the NIKE Brand are: North America; Europe, Middle East &amp; Africa (EMEA); Greater China;</w:t>
      </w:r>
      <w:r>
        <w:rPr>
          <w:rFonts w:ascii="Arial" w:eastAsia="宋体" w:hAnsi="Arial" w:cs="Arial"/>
          <w:color w:val="000000"/>
          <w:sz w:val="17"/>
          <w:szCs w:val="17"/>
        </w:rPr>
        <w:t xml:space="preserve"> and Asia Pacific &amp; Latin America (APLA), and include results for the NIKE and Jordan brands.</w:t>
      </w:r>
      <w:r>
        <w:rPr>
          <w:rFonts w:ascii="Arial" w:eastAsia="宋体" w:hAnsi="Arial" w:cs="Arial"/>
          <w:i/>
          <w:iCs/>
          <w:color w:val="000000"/>
          <w:sz w:val="14"/>
          <w:szCs w:val="14"/>
        </w:rPr>
        <w:t xml:space="preserve"> </w:t>
      </w:r>
      <w:r>
        <w:rPr>
          <w:rFonts w:ascii="Arial" w:eastAsia="宋体" w:hAnsi="Arial" w:cs="Arial"/>
          <w:color w:val="000000"/>
          <w:sz w:val="17"/>
          <w:szCs w:val="17"/>
        </w:rPr>
        <w:t>The Company's NIKE Direct operations are managed within each geographic operating segment. Converse is also a reportable operating segment for the Company, and op</w:t>
      </w:r>
      <w:r>
        <w:rPr>
          <w:rFonts w:ascii="Arial" w:eastAsia="宋体" w:hAnsi="Arial" w:cs="Arial"/>
          <w:color w:val="000000"/>
          <w:sz w:val="17"/>
          <w:szCs w:val="17"/>
        </w:rPr>
        <w:t>erates predominately in one industry: the design, marketing, licensing and selling of athletic lifestyle sneakers, apparel and accessories.</w:t>
      </w:r>
    </w:p>
    <w:p w14:paraId="1D026A61" w14:textId="77777777" w:rsidR="004421F6" w:rsidRDefault="00F15622">
      <w:pPr>
        <w:spacing w:before="120" w:after="120"/>
      </w:pPr>
      <w:r>
        <w:rPr>
          <w:rFonts w:ascii="Arial" w:eastAsia="宋体" w:hAnsi="Arial" w:cs="Arial"/>
          <w:color w:val="000000"/>
          <w:sz w:val="17"/>
          <w:szCs w:val="17"/>
        </w:rPr>
        <w:t xml:space="preserve">As part of our centrally managed foreign exchange risk management program, standard foreign currency exchange rates </w:t>
      </w:r>
      <w:r>
        <w:rPr>
          <w:rFonts w:ascii="Arial" w:eastAsia="宋体" w:hAnsi="Arial" w:cs="Arial"/>
          <w:color w:val="000000"/>
          <w:sz w:val="17"/>
          <w:szCs w:val="17"/>
        </w:rPr>
        <w:t>are assigned twice per year to each NIKE Brand entity in our geographic operating segments and Converse. These rates are set approximately nine and twelve months in advance of the future selling seasons to which they relate (specifically, for each currency</w:t>
      </w:r>
      <w:r>
        <w:rPr>
          <w:rFonts w:ascii="Arial" w:eastAsia="宋体" w:hAnsi="Arial" w:cs="Arial"/>
          <w:color w:val="000000"/>
          <w:sz w:val="17"/>
          <w:szCs w:val="17"/>
        </w:rPr>
        <w:t>, one standard rate applies to the fall and holiday selling seasons and one standard rate applies to the spring and summer selling seasons) based on average market spot rates in the calendar month preceding the date they are established. Inventories and Co</w:t>
      </w:r>
      <w:r>
        <w:rPr>
          <w:rFonts w:ascii="Arial" w:eastAsia="宋体" w:hAnsi="Arial" w:cs="Arial"/>
          <w:color w:val="000000"/>
          <w:sz w:val="17"/>
          <w:szCs w:val="17"/>
        </w:rPr>
        <w:t>st of sales for geographic operating segments and Converse reflect the use of these standard rates to record non-functional currency product purchases into the entity's functional currency. Differences between assigned standard foreign currency exchange ra</w:t>
      </w:r>
      <w:r>
        <w:rPr>
          <w:rFonts w:ascii="Arial" w:eastAsia="宋体" w:hAnsi="Arial" w:cs="Arial"/>
          <w:color w:val="000000"/>
          <w:sz w:val="17"/>
          <w:szCs w:val="17"/>
        </w:rPr>
        <w:t>tes and actual market rates are included in Corporate, together with foreign currency hedge gains and losses generated from our centrally managed foreign exchange risk management program and other conversion gains and losses.</w:t>
      </w:r>
    </w:p>
    <w:p w14:paraId="1D026A62" w14:textId="77777777" w:rsidR="004421F6" w:rsidRDefault="00F15622">
      <w:pPr>
        <w:spacing w:before="120"/>
      </w:pPr>
      <w:r>
        <w:rPr>
          <w:rFonts w:ascii="Arial" w:eastAsia="宋体" w:hAnsi="Arial" w:cs="Arial"/>
          <w:color w:val="000000"/>
          <w:sz w:val="17"/>
          <w:szCs w:val="17"/>
        </w:rPr>
        <w:t>The breakdown of revenues is a</w:t>
      </w:r>
      <w:r>
        <w:rPr>
          <w:rFonts w:ascii="Arial" w:eastAsia="宋体" w:hAnsi="Arial" w:cs="Arial"/>
          <w:color w:val="000000"/>
          <w:sz w:val="17"/>
          <w:szCs w:val="17"/>
        </w:rPr>
        <w:t>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820"/>
        <w:gridCol w:w="36"/>
        <w:gridCol w:w="130"/>
        <w:gridCol w:w="845"/>
        <w:gridCol w:w="41"/>
        <w:gridCol w:w="130"/>
        <w:gridCol w:w="845"/>
        <w:gridCol w:w="41"/>
        <w:gridCol w:w="52"/>
        <w:gridCol w:w="804"/>
        <w:gridCol w:w="187"/>
        <w:gridCol w:w="70"/>
        <w:gridCol w:w="787"/>
        <w:gridCol w:w="187"/>
        <w:gridCol w:w="36"/>
        <w:gridCol w:w="36"/>
        <w:gridCol w:w="36"/>
        <w:gridCol w:w="36"/>
        <w:gridCol w:w="36"/>
        <w:gridCol w:w="36"/>
        <w:gridCol w:w="36"/>
        <w:gridCol w:w="36"/>
        <w:gridCol w:w="36"/>
      </w:tblGrid>
      <w:tr w:rsidR="004421F6" w14:paraId="1D026A72" w14:textId="77777777">
        <w:trPr>
          <w:gridAfter w:val="9"/>
        </w:trPr>
        <w:tc>
          <w:tcPr>
            <w:tcW w:w="50" w:type="pct"/>
            <w:shd w:val="clear" w:color="auto" w:fill="auto"/>
          </w:tcPr>
          <w:p w14:paraId="1D026A63" w14:textId="77777777" w:rsidR="004421F6" w:rsidRDefault="004421F6">
            <w:pPr>
              <w:rPr>
                <w:rFonts w:ascii="宋体"/>
              </w:rPr>
            </w:pPr>
          </w:p>
        </w:tc>
        <w:tc>
          <w:tcPr>
            <w:tcW w:w="2445" w:type="pct"/>
            <w:shd w:val="clear" w:color="auto" w:fill="auto"/>
          </w:tcPr>
          <w:p w14:paraId="1D026A64" w14:textId="77777777" w:rsidR="004421F6" w:rsidRDefault="004421F6">
            <w:pPr>
              <w:rPr>
                <w:rFonts w:ascii="宋体"/>
              </w:rPr>
            </w:pPr>
          </w:p>
        </w:tc>
        <w:tc>
          <w:tcPr>
            <w:tcW w:w="5" w:type="pct"/>
            <w:shd w:val="clear" w:color="auto" w:fill="auto"/>
          </w:tcPr>
          <w:p w14:paraId="1D026A65" w14:textId="77777777" w:rsidR="004421F6" w:rsidRDefault="004421F6">
            <w:pPr>
              <w:rPr>
                <w:rFonts w:ascii="宋体"/>
              </w:rPr>
            </w:pPr>
          </w:p>
        </w:tc>
        <w:tc>
          <w:tcPr>
            <w:tcW w:w="50" w:type="pct"/>
            <w:shd w:val="clear" w:color="auto" w:fill="auto"/>
          </w:tcPr>
          <w:p w14:paraId="1D026A66" w14:textId="77777777" w:rsidR="004421F6" w:rsidRDefault="004421F6">
            <w:pPr>
              <w:rPr>
                <w:rFonts w:ascii="宋体"/>
              </w:rPr>
            </w:pPr>
          </w:p>
        </w:tc>
        <w:tc>
          <w:tcPr>
            <w:tcW w:w="570" w:type="pct"/>
            <w:shd w:val="clear" w:color="auto" w:fill="auto"/>
          </w:tcPr>
          <w:p w14:paraId="1D026A67" w14:textId="77777777" w:rsidR="004421F6" w:rsidRDefault="004421F6">
            <w:pPr>
              <w:rPr>
                <w:rFonts w:ascii="宋体"/>
              </w:rPr>
            </w:pPr>
          </w:p>
        </w:tc>
        <w:tc>
          <w:tcPr>
            <w:tcW w:w="5" w:type="pct"/>
            <w:shd w:val="clear" w:color="auto" w:fill="auto"/>
          </w:tcPr>
          <w:p w14:paraId="1D026A68" w14:textId="77777777" w:rsidR="004421F6" w:rsidRDefault="004421F6">
            <w:pPr>
              <w:rPr>
                <w:rFonts w:ascii="宋体"/>
              </w:rPr>
            </w:pPr>
          </w:p>
        </w:tc>
        <w:tc>
          <w:tcPr>
            <w:tcW w:w="50" w:type="pct"/>
            <w:shd w:val="clear" w:color="auto" w:fill="auto"/>
          </w:tcPr>
          <w:p w14:paraId="1D026A69" w14:textId="77777777" w:rsidR="004421F6" w:rsidRDefault="004421F6">
            <w:pPr>
              <w:rPr>
                <w:rFonts w:ascii="宋体"/>
              </w:rPr>
            </w:pPr>
          </w:p>
        </w:tc>
        <w:tc>
          <w:tcPr>
            <w:tcW w:w="570" w:type="pct"/>
            <w:shd w:val="clear" w:color="auto" w:fill="auto"/>
          </w:tcPr>
          <w:p w14:paraId="1D026A6A" w14:textId="77777777" w:rsidR="004421F6" w:rsidRDefault="004421F6">
            <w:pPr>
              <w:rPr>
                <w:rFonts w:ascii="宋体"/>
              </w:rPr>
            </w:pPr>
          </w:p>
        </w:tc>
        <w:tc>
          <w:tcPr>
            <w:tcW w:w="5" w:type="pct"/>
            <w:shd w:val="clear" w:color="auto" w:fill="auto"/>
          </w:tcPr>
          <w:p w14:paraId="1D026A6B" w14:textId="77777777" w:rsidR="004421F6" w:rsidRDefault="004421F6">
            <w:pPr>
              <w:rPr>
                <w:rFonts w:ascii="宋体"/>
              </w:rPr>
            </w:pPr>
          </w:p>
        </w:tc>
        <w:tc>
          <w:tcPr>
            <w:tcW w:w="50" w:type="pct"/>
            <w:shd w:val="clear" w:color="auto" w:fill="auto"/>
          </w:tcPr>
          <w:p w14:paraId="1D026A6C" w14:textId="77777777" w:rsidR="004421F6" w:rsidRDefault="004421F6">
            <w:pPr>
              <w:rPr>
                <w:rFonts w:ascii="宋体"/>
              </w:rPr>
            </w:pPr>
          </w:p>
        </w:tc>
        <w:tc>
          <w:tcPr>
            <w:tcW w:w="570" w:type="pct"/>
            <w:shd w:val="clear" w:color="auto" w:fill="auto"/>
          </w:tcPr>
          <w:p w14:paraId="1D026A6D" w14:textId="77777777" w:rsidR="004421F6" w:rsidRDefault="004421F6">
            <w:pPr>
              <w:rPr>
                <w:rFonts w:ascii="宋体"/>
              </w:rPr>
            </w:pPr>
          </w:p>
        </w:tc>
        <w:tc>
          <w:tcPr>
            <w:tcW w:w="5" w:type="pct"/>
            <w:shd w:val="clear" w:color="auto" w:fill="auto"/>
          </w:tcPr>
          <w:p w14:paraId="1D026A6E" w14:textId="77777777" w:rsidR="004421F6" w:rsidRDefault="004421F6">
            <w:pPr>
              <w:rPr>
                <w:rFonts w:ascii="宋体"/>
              </w:rPr>
            </w:pPr>
          </w:p>
        </w:tc>
        <w:tc>
          <w:tcPr>
            <w:tcW w:w="50" w:type="pct"/>
            <w:shd w:val="clear" w:color="auto" w:fill="auto"/>
          </w:tcPr>
          <w:p w14:paraId="1D026A6F" w14:textId="77777777" w:rsidR="004421F6" w:rsidRDefault="004421F6">
            <w:pPr>
              <w:rPr>
                <w:rFonts w:ascii="宋体"/>
              </w:rPr>
            </w:pPr>
          </w:p>
        </w:tc>
        <w:tc>
          <w:tcPr>
            <w:tcW w:w="570" w:type="pct"/>
            <w:shd w:val="clear" w:color="auto" w:fill="auto"/>
          </w:tcPr>
          <w:p w14:paraId="1D026A70" w14:textId="77777777" w:rsidR="004421F6" w:rsidRDefault="004421F6">
            <w:pPr>
              <w:rPr>
                <w:rFonts w:ascii="宋体"/>
              </w:rPr>
            </w:pPr>
          </w:p>
        </w:tc>
        <w:tc>
          <w:tcPr>
            <w:tcW w:w="5" w:type="pct"/>
            <w:shd w:val="clear" w:color="auto" w:fill="auto"/>
          </w:tcPr>
          <w:p w14:paraId="1D026A71" w14:textId="77777777" w:rsidR="004421F6" w:rsidRDefault="004421F6">
            <w:pPr>
              <w:rPr>
                <w:rFonts w:ascii="宋体"/>
              </w:rPr>
            </w:pPr>
          </w:p>
        </w:tc>
      </w:tr>
      <w:tr w:rsidR="004421F6" w14:paraId="1D026A78" w14:textId="77777777">
        <w:tc>
          <w:tcPr>
            <w:tcW w:w="0" w:type="auto"/>
            <w:gridSpan w:val="3"/>
            <w:shd w:val="clear" w:color="auto" w:fill="auto"/>
            <w:tcMar>
              <w:left w:w="20" w:type="dxa"/>
              <w:right w:w="20" w:type="dxa"/>
            </w:tcMar>
            <w:vAlign w:val="bottom"/>
          </w:tcPr>
          <w:p w14:paraId="1D026A73" w14:textId="77777777" w:rsidR="004421F6" w:rsidRDefault="004421F6">
            <w:pPr>
              <w:rPr>
                <w:rFonts w:ascii="宋体"/>
              </w:rPr>
            </w:pPr>
          </w:p>
        </w:tc>
        <w:tc>
          <w:tcPr>
            <w:tcW w:w="0" w:type="auto"/>
            <w:gridSpan w:val="12"/>
            <w:shd w:val="clear" w:color="auto" w:fill="auto"/>
            <w:tcMar>
              <w:top w:w="40" w:type="dxa"/>
              <w:left w:w="20" w:type="dxa"/>
              <w:bottom w:w="40" w:type="dxa"/>
              <w:right w:w="20" w:type="dxa"/>
            </w:tcMar>
            <w:vAlign w:val="bottom"/>
          </w:tcPr>
          <w:p w14:paraId="1D026A74"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6A75" w14:textId="77777777" w:rsidR="004421F6" w:rsidRDefault="004421F6">
            <w:pPr>
              <w:rPr>
                <w:rFonts w:ascii="宋体"/>
                <w:vanish/>
              </w:rPr>
            </w:pPr>
          </w:p>
        </w:tc>
        <w:tc>
          <w:tcPr>
            <w:tcW w:w="0" w:type="auto"/>
            <w:gridSpan w:val="3"/>
            <w:shd w:val="clear" w:color="auto" w:fill="auto"/>
          </w:tcPr>
          <w:p w14:paraId="1D026A76" w14:textId="77777777" w:rsidR="004421F6" w:rsidRDefault="004421F6">
            <w:pPr>
              <w:rPr>
                <w:rFonts w:ascii="宋体"/>
                <w:vanish/>
              </w:rPr>
            </w:pPr>
          </w:p>
        </w:tc>
        <w:tc>
          <w:tcPr>
            <w:tcW w:w="0" w:type="auto"/>
            <w:gridSpan w:val="3"/>
            <w:shd w:val="clear" w:color="auto" w:fill="auto"/>
          </w:tcPr>
          <w:p w14:paraId="1D026A77" w14:textId="77777777" w:rsidR="004421F6" w:rsidRDefault="004421F6">
            <w:pPr>
              <w:rPr>
                <w:rFonts w:ascii="宋体"/>
                <w:vanish/>
              </w:rPr>
            </w:pPr>
          </w:p>
        </w:tc>
      </w:tr>
      <w:tr w:rsidR="004421F6" w14:paraId="1D026A87" w14:textId="77777777">
        <w:tc>
          <w:tcPr>
            <w:tcW w:w="0" w:type="auto"/>
            <w:gridSpan w:val="3"/>
            <w:shd w:val="clear" w:color="auto" w:fill="auto"/>
            <w:tcMar>
              <w:top w:w="40" w:type="dxa"/>
              <w:left w:w="20" w:type="dxa"/>
              <w:bottom w:w="40" w:type="dxa"/>
              <w:right w:w="20" w:type="dxa"/>
            </w:tcMar>
            <w:vAlign w:val="bottom"/>
          </w:tcPr>
          <w:p w14:paraId="1D026A79"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A7A"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A7B"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A7C" w14:textId="77777777" w:rsidR="004421F6" w:rsidRDefault="00F1562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A7D" w14:textId="77777777" w:rsidR="004421F6" w:rsidRDefault="00F15622">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9"/>
                <w:szCs w:val="9"/>
              </w:rPr>
              <w:t>(1)</w:t>
            </w:r>
          </w:p>
        </w:tc>
        <w:tc>
          <w:tcPr>
            <w:tcW w:w="0" w:type="auto"/>
            <w:shd w:val="clear" w:color="auto" w:fill="auto"/>
          </w:tcPr>
          <w:p w14:paraId="1D026A7E" w14:textId="77777777" w:rsidR="004421F6" w:rsidRDefault="004421F6">
            <w:pPr>
              <w:rPr>
                <w:rFonts w:ascii="宋体"/>
              </w:rPr>
            </w:pPr>
          </w:p>
        </w:tc>
        <w:tc>
          <w:tcPr>
            <w:tcW w:w="0" w:type="auto"/>
            <w:shd w:val="clear" w:color="auto" w:fill="auto"/>
          </w:tcPr>
          <w:p w14:paraId="1D026A7F" w14:textId="77777777" w:rsidR="004421F6" w:rsidRDefault="004421F6">
            <w:pPr>
              <w:rPr>
                <w:rFonts w:ascii="宋体"/>
              </w:rPr>
            </w:pPr>
          </w:p>
        </w:tc>
        <w:tc>
          <w:tcPr>
            <w:tcW w:w="0" w:type="auto"/>
            <w:shd w:val="clear" w:color="auto" w:fill="auto"/>
          </w:tcPr>
          <w:p w14:paraId="1D026A80" w14:textId="77777777" w:rsidR="004421F6" w:rsidRDefault="004421F6">
            <w:pPr>
              <w:rPr>
                <w:rFonts w:ascii="宋体"/>
              </w:rPr>
            </w:pPr>
          </w:p>
        </w:tc>
        <w:tc>
          <w:tcPr>
            <w:tcW w:w="0" w:type="auto"/>
            <w:shd w:val="clear" w:color="auto" w:fill="auto"/>
          </w:tcPr>
          <w:p w14:paraId="1D026A81" w14:textId="77777777" w:rsidR="004421F6" w:rsidRDefault="004421F6">
            <w:pPr>
              <w:rPr>
                <w:rFonts w:ascii="宋体"/>
              </w:rPr>
            </w:pPr>
          </w:p>
        </w:tc>
        <w:tc>
          <w:tcPr>
            <w:tcW w:w="0" w:type="auto"/>
            <w:shd w:val="clear" w:color="auto" w:fill="auto"/>
          </w:tcPr>
          <w:p w14:paraId="1D026A82" w14:textId="77777777" w:rsidR="004421F6" w:rsidRDefault="004421F6">
            <w:pPr>
              <w:rPr>
                <w:rFonts w:ascii="宋体"/>
              </w:rPr>
            </w:pPr>
          </w:p>
        </w:tc>
        <w:tc>
          <w:tcPr>
            <w:tcW w:w="0" w:type="auto"/>
            <w:shd w:val="clear" w:color="auto" w:fill="auto"/>
          </w:tcPr>
          <w:p w14:paraId="1D026A83" w14:textId="77777777" w:rsidR="004421F6" w:rsidRDefault="004421F6">
            <w:pPr>
              <w:rPr>
                <w:rFonts w:ascii="宋体"/>
              </w:rPr>
            </w:pPr>
          </w:p>
        </w:tc>
        <w:tc>
          <w:tcPr>
            <w:tcW w:w="0" w:type="auto"/>
            <w:shd w:val="clear" w:color="auto" w:fill="auto"/>
          </w:tcPr>
          <w:p w14:paraId="1D026A84" w14:textId="77777777" w:rsidR="004421F6" w:rsidRDefault="004421F6">
            <w:pPr>
              <w:rPr>
                <w:rFonts w:ascii="宋体"/>
              </w:rPr>
            </w:pPr>
          </w:p>
        </w:tc>
        <w:tc>
          <w:tcPr>
            <w:tcW w:w="0" w:type="auto"/>
            <w:shd w:val="clear" w:color="auto" w:fill="auto"/>
          </w:tcPr>
          <w:p w14:paraId="1D026A85" w14:textId="77777777" w:rsidR="004421F6" w:rsidRDefault="004421F6">
            <w:pPr>
              <w:rPr>
                <w:rFonts w:ascii="宋体"/>
              </w:rPr>
            </w:pPr>
          </w:p>
        </w:tc>
        <w:tc>
          <w:tcPr>
            <w:tcW w:w="0" w:type="auto"/>
            <w:shd w:val="clear" w:color="auto" w:fill="auto"/>
          </w:tcPr>
          <w:p w14:paraId="1D026A86" w14:textId="77777777" w:rsidR="004421F6" w:rsidRDefault="004421F6">
            <w:pPr>
              <w:rPr>
                <w:rFonts w:ascii="宋体"/>
              </w:rPr>
            </w:pPr>
          </w:p>
        </w:tc>
      </w:tr>
      <w:tr w:rsidR="004421F6" w14:paraId="1D026A9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A88" w14:textId="77777777" w:rsidR="004421F6" w:rsidRDefault="00F15622">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tcMar>
            <w:vAlign w:val="bottom"/>
          </w:tcPr>
          <w:p w14:paraId="1D026A89"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A8A" w14:textId="77777777" w:rsidR="004421F6" w:rsidRDefault="00F15622">
            <w:pPr>
              <w:jc w:val="right"/>
              <w:textAlignment w:val="bottom"/>
            </w:pPr>
            <w:r>
              <w:rPr>
                <w:rFonts w:ascii="Arial" w:eastAsia="宋体" w:hAnsi="Arial" w:cs="Arial"/>
                <w:color w:val="000000"/>
                <w:sz w:val="17"/>
                <w:szCs w:val="17"/>
              </w:rPr>
              <w:t>4,225 </w:t>
            </w:r>
          </w:p>
        </w:tc>
        <w:tc>
          <w:tcPr>
            <w:tcW w:w="0" w:type="auto"/>
            <w:tcBorders>
              <w:top w:val="single" w:sz="8" w:space="0" w:color="E87722"/>
            </w:tcBorders>
            <w:shd w:val="clear" w:color="auto" w:fill="FFF1E7"/>
            <w:tcMar>
              <w:top w:w="40" w:type="dxa"/>
              <w:bottom w:w="40" w:type="dxa"/>
              <w:right w:w="20" w:type="dxa"/>
            </w:tcMar>
            <w:vAlign w:val="bottom"/>
          </w:tcPr>
          <w:p w14:paraId="1D026A8B"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A8C"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A8D" w14:textId="77777777" w:rsidR="004421F6" w:rsidRDefault="00F15622">
            <w:pPr>
              <w:jc w:val="right"/>
              <w:textAlignment w:val="bottom"/>
            </w:pPr>
            <w:r>
              <w:rPr>
                <w:rFonts w:ascii="Arial" w:eastAsia="宋体" w:hAnsi="Arial" w:cs="Arial"/>
                <w:color w:val="000000"/>
                <w:sz w:val="17"/>
                <w:szCs w:val="17"/>
              </w:rPr>
              <w:t>4,293 </w:t>
            </w:r>
          </w:p>
        </w:tc>
        <w:tc>
          <w:tcPr>
            <w:tcW w:w="0" w:type="auto"/>
            <w:tcBorders>
              <w:top w:val="single" w:sz="8" w:space="0" w:color="E87722"/>
            </w:tcBorders>
            <w:shd w:val="clear" w:color="auto" w:fill="auto"/>
            <w:tcMar>
              <w:top w:w="40" w:type="dxa"/>
              <w:bottom w:w="40" w:type="dxa"/>
              <w:right w:w="20" w:type="dxa"/>
            </w:tcMar>
            <w:vAlign w:val="bottom"/>
          </w:tcPr>
          <w:p w14:paraId="1D026A8E"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A8F" w14:textId="77777777" w:rsidR="004421F6" w:rsidRDefault="00F15622">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bottom w:w="40" w:type="dxa"/>
              <w:right w:w="20" w:type="dxa"/>
            </w:tcMar>
            <w:vAlign w:val="bottom"/>
          </w:tcPr>
          <w:p w14:paraId="1D026A90"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A91"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bottom w:w="40" w:type="dxa"/>
              <w:right w:w="20" w:type="dxa"/>
            </w:tcMar>
            <w:vAlign w:val="bottom"/>
          </w:tcPr>
          <w:p w14:paraId="1D026A92"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A93" w14:textId="77777777" w:rsidR="004421F6" w:rsidRDefault="004421F6">
            <w:pPr>
              <w:rPr>
                <w:rFonts w:ascii="宋体"/>
              </w:rPr>
            </w:pPr>
          </w:p>
        </w:tc>
        <w:tc>
          <w:tcPr>
            <w:tcW w:w="0" w:type="auto"/>
            <w:shd w:val="clear" w:color="auto" w:fill="auto"/>
          </w:tcPr>
          <w:p w14:paraId="1D026A94" w14:textId="77777777" w:rsidR="004421F6" w:rsidRDefault="004421F6">
            <w:pPr>
              <w:rPr>
                <w:rFonts w:ascii="宋体"/>
              </w:rPr>
            </w:pPr>
          </w:p>
        </w:tc>
        <w:tc>
          <w:tcPr>
            <w:tcW w:w="0" w:type="auto"/>
            <w:shd w:val="clear" w:color="auto" w:fill="auto"/>
          </w:tcPr>
          <w:p w14:paraId="1D026A95" w14:textId="77777777" w:rsidR="004421F6" w:rsidRDefault="004421F6">
            <w:pPr>
              <w:rPr>
                <w:rFonts w:ascii="宋体"/>
              </w:rPr>
            </w:pPr>
          </w:p>
        </w:tc>
        <w:tc>
          <w:tcPr>
            <w:tcW w:w="0" w:type="auto"/>
            <w:shd w:val="clear" w:color="auto" w:fill="auto"/>
          </w:tcPr>
          <w:p w14:paraId="1D026A96" w14:textId="77777777" w:rsidR="004421F6" w:rsidRDefault="004421F6">
            <w:pPr>
              <w:rPr>
                <w:rFonts w:ascii="宋体"/>
              </w:rPr>
            </w:pPr>
          </w:p>
        </w:tc>
        <w:tc>
          <w:tcPr>
            <w:tcW w:w="0" w:type="auto"/>
            <w:shd w:val="clear" w:color="auto" w:fill="auto"/>
          </w:tcPr>
          <w:p w14:paraId="1D026A97" w14:textId="77777777" w:rsidR="004421F6" w:rsidRDefault="004421F6">
            <w:pPr>
              <w:rPr>
                <w:rFonts w:ascii="宋体"/>
              </w:rPr>
            </w:pPr>
          </w:p>
        </w:tc>
        <w:tc>
          <w:tcPr>
            <w:tcW w:w="0" w:type="auto"/>
            <w:shd w:val="clear" w:color="auto" w:fill="auto"/>
          </w:tcPr>
          <w:p w14:paraId="1D026A98" w14:textId="77777777" w:rsidR="004421F6" w:rsidRDefault="004421F6">
            <w:pPr>
              <w:rPr>
                <w:rFonts w:ascii="宋体"/>
              </w:rPr>
            </w:pPr>
          </w:p>
        </w:tc>
        <w:tc>
          <w:tcPr>
            <w:tcW w:w="0" w:type="auto"/>
            <w:shd w:val="clear" w:color="auto" w:fill="auto"/>
          </w:tcPr>
          <w:p w14:paraId="1D026A99" w14:textId="77777777" w:rsidR="004421F6" w:rsidRDefault="004421F6">
            <w:pPr>
              <w:rPr>
                <w:rFonts w:ascii="宋体"/>
              </w:rPr>
            </w:pPr>
          </w:p>
        </w:tc>
        <w:tc>
          <w:tcPr>
            <w:tcW w:w="0" w:type="auto"/>
            <w:shd w:val="clear" w:color="auto" w:fill="auto"/>
          </w:tcPr>
          <w:p w14:paraId="1D026A9A" w14:textId="77777777" w:rsidR="004421F6" w:rsidRDefault="004421F6">
            <w:pPr>
              <w:rPr>
                <w:rFonts w:ascii="宋体"/>
              </w:rPr>
            </w:pPr>
          </w:p>
        </w:tc>
        <w:tc>
          <w:tcPr>
            <w:tcW w:w="0" w:type="auto"/>
            <w:shd w:val="clear" w:color="auto" w:fill="auto"/>
          </w:tcPr>
          <w:p w14:paraId="1D026A9B" w14:textId="77777777" w:rsidR="004421F6" w:rsidRDefault="004421F6">
            <w:pPr>
              <w:rPr>
                <w:rFonts w:ascii="宋体"/>
              </w:rPr>
            </w:pPr>
          </w:p>
        </w:tc>
      </w:tr>
      <w:tr w:rsidR="004421F6" w14:paraId="1D026AAF"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A9D" w14:textId="77777777" w:rsidR="004421F6" w:rsidRDefault="00F15622">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A9E" w14:textId="77777777" w:rsidR="004421F6" w:rsidRDefault="00F15622">
            <w:pPr>
              <w:jc w:val="right"/>
              <w:textAlignment w:val="bottom"/>
            </w:pPr>
            <w:r>
              <w:rPr>
                <w:rFonts w:ascii="Arial" w:eastAsia="宋体" w:hAnsi="Arial" w:cs="Arial"/>
                <w:color w:val="000000"/>
                <w:sz w:val="17"/>
                <w:szCs w:val="17"/>
              </w:rPr>
              <w:t>2,910 </w:t>
            </w:r>
          </w:p>
        </w:tc>
        <w:tc>
          <w:tcPr>
            <w:tcW w:w="0" w:type="auto"/>
            <w:tcBorders>
              <w:top w:val="single" w:sz="8" w:space="0" w:color="808080"/>
            </w:tcBorders>
            <w:shd w:val="clear" w:color="auto" w:fill="FFF1E7"/>
            <w:tcMar>
              <w:top w:w="40" w:type="dxa"/>
              <w:bottom w:w="40" w:type="dxa"/>
              <w:right w:w="20" w:type="dxa"/>
            </w:tcMar>
            <w:vAlign w:val="bottom"/>
          </w:tcPr>
          <w:p w14:paraId="1D026A9F"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AA0" w14:textId="77777777" w:rsidR="004421F6" w:rsidRDefault="00F15622">
            <w:pPr>
              <w:jc w:val="right"/>
              <w:textAlignment w:val="bottom"/>
            </w:pPr>
            <w:r>
              <w:rPr>
                <w:rFonts w:ascii="Arial" w:eastAsia="宋体" w:hAnsi="Arial" w:cs="Arial"/>
                <w:color w:val="000000"/>
                <w:sz w:val="17"/>
                <w:szCs w:val="17"/>
              </w:rPr>
              <w:t>2,773 </w:t>
            </w:r>
          </w:p>
        </w:tc>
        <w:tc>
          <w:tcPr>
            <w:tcW w:w="0" w:type="auto"/>
            <w:tcBorders>
              <w:top w:val="single" w:sz="8" w:space="0" w:color="808080"/>
            </w:tcBorders>
            <w:shd w:val="clear" w:color="auto" w:fill="auto"/>
            <w:tcMar>
              <w:top w:w="40" w:type="dxa"/>
              <w:bottom w:w="40" w:type="dxa"/>
              <w:right w:w="20" w:type="dxa"/>
            </w:tcMar>
            <w:vAlign w:val="bottom"/>
          </w:tcPr>
          <w:p w14:paraId="1D026AA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AA2" w14:textId="77777777" w:rsidR="004421F6" w:rsidRDefault="00F1562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bottom w:w="40" w:type="dxa"/>
              <w:right w:w="20" w:type="dxa"/>
            </w:tcMar>
            <w:vAlign w:val="bottom"/>
          </w:tcPr>
          <w:p w14:paraId="1D026AA3"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AA4" w14:textId="77777777" w:rsidR="004421F6" w:rsidRDefault="00F1562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bottom w:w="40" w:type="dxa"/>
              <w:right w:w="20" w:type="dxa"/>
            </w:tcMar>
            <w:vAlign w:val="bottom"/>
          </w:tcPr>
          <w:p w14:paraId="1D026AA5"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AA6" w14:textId="77777777" w:rsidR="004421F6" w:rsidRDefault="004421F6">
            <w:pPr>
              <w:rPr>
                <w:rFonts w:ascii="宋体"/>
              </w:rPr>
            </w:pPr>
          </w:p>
        </w:tc>
        <w:tc>
          <w:tcPr>
            <w:tcW w:w="0" w:type="auto"/>
            <w:shd w:val="clear" w:color="auto" w:fill="auto"/>
          </w:tcPr>
          <w:p w14:paraId="1D026AA7" w14:textId="77777777" w:rsidR="004421F6" w:rsidRDefault="004421F6">
            <w:pPr>
              <w:rPr>
                <w:rFonts w:ascii="宋体"/>
              </w:rPr>
            </w:pPr>
          </w:p>
        </w:tc>
        <w:tc>
          <w:tcPr>
            <w:tcW w:w="0" w:type="auto"/>
            <w:shd w:val="clear" w:color="auto" w:fill="auto"/>
          </w:tcPr>
          <w:p w14:paraId="1D026AA8" w14:textId="77777777" w:rsidR="004421F6" w:rsidRDefault="004421F6">
            <w:pPr>
              <w:rPr>
                <w:rFonts w:ascii="宋体"/>
              </w:rPr>
            </w:pPr>
          </w:p>
        </w:tc>
        <w:tc>
          <w:tcPr>
            <w:tcW w:w="0" w:type="auto"/>
            <w:shd w:val="clear" w:color="auto" w:fill="auto"/>
          </w:tcPr>
          <w:p w14:paraId="1D026AA9" w14:textId="77777777" w:rsidR="004421F6" w:rsidRDefault="004421F6">
            <w:pPr>
              <w:rPr>
                <w:rFonts w:ascii="宋体"/>
              </w:rPr>
            </w:pPr>
          </w:p>
        </w:tc>
        <w:tc>
          <w:tcPr>
            <w:tcW w:w="0" w:type="auto"/>
            <w:shd w:val="clear" w:color="auto" w:fill="auto"/>
          </w:tcPr>
          <w:p w14:paraId="1D026AAA" w14:textId="77777777" w:rsidR="004421F6" w:rsidRDefault="004421F6">
            <w:pPr>
              <w:rPr>
                <w:rFonts w:ascii="宋体"/>
              </w:rPr>
            </w:pPr>
          </w:p>
        </w:tc>
        <w:tc>
          <w:tcPr>
            <w:tcW w:w="0" w:type="auto"/>
            <w:shd w:val="clear" w:color="auto" w:fill="auto"/>
          </w:tcPr>
          <w:p w14:paraId="1D026AAB" w14:textId="77777777" w:rsidR="004421F6" w:rsidRDefault="004421F6">
            <w:pPr>
              <w:rPr>
                <w:rFonts w:ascii="宋体"/>
              </w:rPr>
            </w:pPr>
          </w:p>
        </w:tc>
        <w:tc>
          <w:tcPr>
            <w:tcW w:w="0" w:type="auto"/>
            <w:shd w:val="clear" w:color="auto" w:fill="auto"/>
          </w:tcPr>
          <w:p w14:paraId="1D026AAC" w14:textId="77777777" w:rsidR="004421F6" w:rsidRDefault="004421F6">
            <w:pPr>
              <w:rPr>
                <w:rFonts w:ascii="宋体"/>
              </w:rPr>
            </w:pPr>
          </w:p>
        </w:tc>
        <w:tc>
          <w:tcPr>
            <w:tcW w:w="0" w:type="auto"/>
            <w:shd w:val="clear" w:color="auto" w:fill="auto"/>
          </w:tcPr>
          <w:p w14:paraId="1D026AAD" w14:textId="77777777" w:rsidR="004421F6" w:rsidRDefault="004421F6">
            <w:pPr>
              <w:rPr>
                <w:rFonts w:ascii="宋体"/>
              </w:rPr>
            </w:pPr>
          </w:p>
        </w:tc>
        <w:tc>
          <w:tcPr>
            <w:tcW w:w="0" w:type="auto"/>
            <w:shd w:val="clear" w:color="auto" w:fill="auto"/>
          </w:tcPr>
          <w:p w14:paraId="1D026AAE" w14:textId="77777777" w:rsidR="004421F6" w:rsidRDefault="004421F6">
            <w:pPr>
              <w:rPr>
                <w:rFonts w:ascii="宋体"/>
              </w:rPr>
            </w:pPr>
          </w:p>
        </w:tc>
      </w:tr>
      <w:tr w:rsidR="004421F6" w14:paraId="1D026AC2"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AB0" w14:textId="77777777" w:rsidR="004421F6" w:rsidRDefault="00F15622">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AB1" w14:textId="77777777" w:rsidR="004421F6" w:rsidRDefault="00F15622">
            <w:pPr>
              <w:jc w:val="right"/>
              <w:textAlignment w:val="bottom"/>
            </w:pPr>
            <w:r>
              <w:rPr>
                <w:rFonts w:ascii="Arial" w:eastAsia="宋体" w:hAnsi="Arial" w:cs="Arial"/>
                <w:color w:val="000000"/>
                <w:sz w:val="17"/>
                <w:szCs w:val="17"/>
              </w:rPr>
              <w:t>1,780 </w:t>
            </w:r>
          </w:p>
        </w:tc>
        <w:tc>
          <w:tcPr>
            <w:tcW w:w="0" w:type="auto"/>
            <w:tcBorders>
              <w:top w:val="single" w:sz="8" w:space="0" w:color="808080"/>
            </w:tcBorders>
            <w:shd w:val="clear" w:color="auto" w:fill="FFF1E7"/>
            <w:tcMar>
              <w:top w:w="40" w:type="dxa"/>
              <w:bottom w:w="40" w:type="dxa"/>
              <w:right w:w="20" w:type="dxa"/>
            </w:tcMar>
            <w:vAlign w:val="bottom"/>
          </w:tcPr>
          <w:p w14:paraId="1D026AB2"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AB3" w14:textId="77777777" w:rsidR="004421F6" w:rsidRDefault="00F15622">
            <w:pPr>
              <w:jc w:val="right"/>
              <w:textAlignment w:val="bottom"/>
            </w:pPr>
            <w:r>
              <w:rPr>
                <w:rFonts w:ascii="Arial" w:eastAsia="宋体" w:hAnsi="Arial" w:cs="Arial"/>
                <w:color w:val="000000"/>
                <w:sz w:val="17"/>
                <w:szCs w:val="17"/>
              </w:rPr>
              <w:t>1,679 </w:t>
            </w:r>
          </w:p>
        </w:tc>
        <w:tc>
          <w:tcPr>
            <w:tcW w:w="0" w:type="auto"/>
            <w:tcBorders>
              <w:top w:val="single" w:sz="8" w:space="0" w:color="808080"/>
            </w:tcBorders>
            <w:shd w:val="clear" w:color="auto" w:fill="auto"/>
            <w:tcMar>
              <w:top w:w="40" w:type="dxa"/>
              <w:bottom w:w="40" w:type="dxa"/>
              <w:right w:w="20" w:type="dxa"/>
            </w:tcMar>
            <w:vAlign w:val="bottom"/>
          </w:tcPr>
          <w:p w14:paraId="1D026AB4"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AB5" w14:textId="77777777" w:rsidR="004421F6" w:rsidRDefault="00F1562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bottom w:w="40" w:type="dxa"/>
              <w:right w:w="20" w:type="dxa"/>
            </w:tcMar>
            <w:vAlign w:val="bottom"/>
          </w:tcPr>
          <w:p w14:paraId="1D026AB6"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AB7" w14:textId="77777777" w:rsidR="004421F6" w:rsidRDefault="00F1562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bottom w:w="40" w:type="dxa"/>
              <w:right w:w="20" w:type="dxa"/>
            </w:tcMar>
            <w:vAlign w:val="bottom"/>
          </w:tcPr>
          <w:p w14:paraId="1D026AB8"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AB9" w14:textId="77777777" w:rsidR="004421F6" w:rsidRDefault="004421F6">
            <w:pPr>
              <w:rPr>
                <w:rFonts w:ascii="宋体"/>
              </w:rPr>
            </w:pPr>
          </w:p>
        </w:tc>
        <w:tc>
          <w:tcPr>
            <w:tcW w:w="0" w:type="auto"/>
            <w:shd w:val="clear" w:color="auto" w:fill="auto"/>
          </w:tcPr>
          <w:p w14:paraId="1D026ABA" w14:textId="77777777" w:rsidR="004421F6" w:rsidRDefault="004421F6">
            <w:pPr>
              <w:rPr>
                <w:rFonts w:ascii="宋体"/>
              </w:rPr>
            </w:pPr>
          </w:p>
        </w:tc>
        <w:tc>
          <w:tcPr>
            <w:tcW w:w="0" w:type="auto"/>
            <w:shd w:val="clear" w:color="auto" w:fill="auto"/>
          </w:tcPr>
          <w:p w14:paraId="1D026ABB" w14:textId="77777777" w:rsidR="004421F6" w:rsidRDefault="004421F6">
            <w:pPr>
              <w:rPr>
                <w:rFonts w:ascii="宋体"/>
              </w:rPr>
            </w:pPr>
          </w:p>
        </w:tc>
        <w:tc>
          <w:tcPr>
            <w:tcW w:w="0" w:type="auto"/>
            <w:shd w:val="clear" w:color="auto" w:fill="auto"/>
          </w:tcPr>
          <w:p w14:paraId="1D026ABC" w14:textId="77777777" w:rsidR="004421F6" w:rsidRDefault="004421F6">
            <w:pPr>
              <w:rPr>
                <w:rFonts w:ascii="宋体"/>
              </w:rPr>
            </w:pPr>
          </w:p>
        </w:tc>
        <w:tc>
          <w:tcPr>
            <w:tcW w:w="0" w:type="auto"/>
            <w:shd w:val="clear" w:color="auto" w:fill="auto"/>
          </w:tcPr>
          <w:p w14:paraId="1D026ABD" w14:textId="77777777" w:rsidR="004421F6" w:rsidRDefault="004421F6">
            <w:pPr>
              <w:rPr>
                <w:rFonts w:ascii="宋体"/>
              </w:rPr>
            </w:pPr>
          </w:p>
        </w:tc>
        <w:tc>
          <w:tcPr>
            <w:tcW w:w="0" w:type="auto"/>
            <w:shd w:val="clear" w:color="auto" w:fill="auto"/>
          </w:tcPr>
          <w:p w14:paraId="1D026ABE" w14:textId="77777777" w:rsidR="004421F6" w:rsidRDefault="004421F6">
            <w:pPr>
              <w:rPr>
                <w:rFonts w:ascii="宋体"/>
              </w:rPr>
            </w:pPr>
          </w:p>
        </w:tc>
        <w:tc>
          <w:tcPr>
            <w:tcW w:w="0" w:type="auto"/>
            <w:shd w:val="clear" w:color="auto" w:fill="auto"/>
          </w:tcPr>
          <w:p w14:paraId="1D026ABF" w14:textId="77777777" w:rsidR="004421F6" w:rsidRDefault="004421F6">
            <w:pPr>
              <w:rPr>
                <w:rFonts w:ascii="宋体"/>
              </w:rPr>
            </w:pPr>
          </w:p>
        </w:tc>
        <w:tc>
          <w:tcPr>
            <w:tcW w:w="0" w:type="auto"/>
            <w:shd w:val="clear" w:color="auto" w:fill="auto"/>
          </w:tcPr>
          <w:p w14:paraId="1D026AC0" w14:textId="77777777" w:rsidR="004421F6" w:rsidRDefault="004421F6">
            <w:pPr>
              <w:rPr>
                <w:rFonts w:ascii="宋体"/>
              </w:rPr>
            </w:pPr>
          </w:p>
        </w:tc>
        <w:tc>
          <w:tcPr>
            <w:tcW w:w="0" w:type="auto"/>
            <w:shd w:val="clear" w:color="auto" w:fill="auto"/>
          </w:tcPr>
          <w:p w14:paraId="1D026AC1" w14:textId="77777777" w:rsidR="004421F6" w:rsidRDefault="004421F6">
            <w:pPr>
              <w:rPr>
                <w:rFonts w:ascii="宋体"/>
              </w:rPr>
            </w:pPr>
          </w:p>
        </w:tc>
      </w:tr>
      <w:tr w:rsidR="004421F6" w14:paraId="1D026AD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AC3" w14:textId="77777777" w:rsidR="004421F6" w:rsidRDefault="00F15622">
            <w:pPr>
              <w:textAlignment w:val="bottom"/>
            </w:pPr>
            <w:r>
              <w:rPr>
                <w:rFonts w:ascii="Arial" w:eastAsia="宋体" w:hAnsi="Arial" w:cs="Arial"/>
                <w:color w:val="000000"/>
                <w:sz w:val="17"/>
                <w:szCs w:val="17"/>
              </w:rPr>
              <w:t>Asia Pacific &amp; Latin America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AC4" w14:textId="77777777" w:rsidR="004421F6" w:rsidRDefault="00F15622">
            <w:pPr>
              <w:jc w:val="right"/>
              <w:textAlignment w:val="bottom"/>
            </w:pPr>
            <w:r>
              <w:rPr>
                <w:rFonts w:ascii="Arial" w:eastAsia="宋体" w:hAnsi="Arial" w:cs="Arial"/>
                <w:color w:val="000000"/>
                <w:sz w:val="17"/>
                <w:szCs w:val="17"/>
              </w:rPr>
              <w:t>1,099 </w:t>
            </w:r>
          </w:p>
        </w:tc>
        <w:tc>
          <w:tcPr>
            <w:tcW w:w="0" w:type="auto"/>
            <w:tcBorders>
              <w:top w:val="single" w:sz="8" w:space="0" w:color="808080"/>
            </w:tcBorders>
            <w:shd w:val="clear" w:color="auto" w:fill="FFF1E7"/>
            <w:tcMar>
              <w:top w:w="40" w:type="dxa"/>
              <w:bottom w:w="40" w:type="dxa"/>
              <w:right w:w="20" w:type="dxa"/>
            </w:tcMar>
            <w:vAlign w:val="bottom"/>
          </w:tcPr>
          <w:p w14:paraId="1D026AC5"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AC6" w14:textId="77777777" w:rsidR="004421F6" w:rsidRDefault="00F15622">
            <w:pPr>
              <w:jc w:val="right"/>
              <w:textAlignment w:val="bottom"/>
            </w:pPr>
            <w:r>
              <w:rPr>
                <w:rFonts w:ascii="Arial" w:eastAsia="宋体" w:hAnsi="Arial" w:cs="Arial"/>
                <w:color w:val="000000"/>
                <w:sz w:val="17"/>
                <w:szCs w:val="17"/>
              </w:rPr>
              <w:t>1,345 </w:t>
            </w:r>
          </w:p>
        </w:tc>
        <w:tc>
          <w:tcPr>
            <w:tcW w:w="0" w:type="auto"/>
            <w:tcBorders>
              <w:top w:val="single" w:sz="8" w:space="0" w:color="808080"/>
            </w:tcBorders>
            <w:shd w:val="clear" w:color="auto" w:fill="auto"/>
            <w:tcMar>
              <w:top w:w="40" w:type="dxa"/>
              <w:bottom w:w="40" w:type="dxa"/>
              <w:right w:w="20" w:type="dxa"/>
            </w:tcMar>
            <w:vAlign w:val="bottom"/>
          </w:tcPr>
          <w:p w14:paraId="1D026AC7"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AC8" w14:textId="77777777" w:rsidR="004421F6" w:rsidRDefault="00F15622">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auto"/>
            <w:tcMar>
              <w:top w:w="40" w:type="dxa"/>
              <w:bottom w:w="40" w:type="dxa"/>
              <w:right w:w="20" w:type="dxa"/>
            </w:tcMar>
            <w:vAlign w:val="bottom"/>
          </w:tcPr>
          <w:p w14:paraId="1D026AC9"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ACA" w14:textId="77777777" w:rsidR="004421F6" w:rsidRDefault="00F1562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bottom w:w="40" w:type="dxa"/>
              <w:right w:w="20" w:type="dxa"/>
            </w:tcMar>
            <w:vAlign w:val="bottom"/>
          </w:tcPr>
          <w:p w14:paraId="1D026ACB"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ACC" w14:textId="77777777" w:rsidR="004421F6" w:rsidRDefault="004421F6">
            <w:pPr>
              <w:rPr>
                <w:rFonts w:ascii="宋体"/>
              </w:rPr>
            </w:pPr>
          </w:p>
        </w:tc>
        <w:tc>
          <w:tcPr>
            <w:tcW w:w="0" w:type="auto"/>
            <w:shd w:val="clear" w:color="auto" w:fill="auto"/>
          </w:tcPr>
          <w:p w14:paraId="1D026ACD" w14:textId="77777777" w:rsidR="004421F6" w:rsidRDefault="004421F6">
            <w:pPr>
              <w:rPr>
                <w:rFonts w:ascii="宋体"/>
              </w:rPr>
            </w:pPr>
          </w:p>
        </w:tc>
        <w:tc>
          <w:tcPr>
            <w:tcW w:w="0" w:type="auto"/>
            <w:shd w:val="clear" w:color="auto" w:fill="auto"/>
          </w:tcPr>
          <w:p w14:paraId="1D026ACE" w14:textId="77777777" w:rsidR="004421F6" w:rsidRDefault="004421F6">
            <w:pPr>
              <w:rPr>
                <w:rFonts w:ascii="宋体"/>
              </w:rPr>
            </w:pPr>
          </w:p>
        </w:tc>
        <w:tc>
          <w:tcPr>
            <w:tcW w:w="0" w:type="auto"/>
            <w:shd w:val="clear" w:color="auto" w:fill="auto"/>
          </w:tcPr>
          <w:p w14:paraId="1D026ACF" w14:textId="77777777" w:rsidR="004421F6" w:rsidRDefault="004421F6">
            <w:pPr>
              <w:rPr>
                <w:rFonts w:ascii="宋体"/>
              </w:rPr>
            </w:pPr>
          </w:p>
        </w:tc>
        <w:tc>
          <w:tcPr>
            <w:tcW w:w="0" w:type="auto"/>
            <w:shd w:val="clear" w:color="auto" w:fill="auto"/>
          </w:tcPr>
          <w:p w14:paraId="1D026AD0" w14:textId="77777777" w:rsidR="004421F6" w:rsidRDefault="004421F6">
            <w:pPr>
              <w:rPr>
                <w:rFonts w:ascii="宋体"/>
              </w:rPr>
            </w:pPr>
          </w:p>
        </w:tc>
        <w:tc>
          <w:tcPr>
            <w:tcW w:w="0" w:type="auto"/>
            <w:shd w:val="clear" w:color="auto" w:fill="auto"/>
          </w:tcPr>
          <w:p w14:paraId="1D026AD1" w14:textId="77777777" w:rsidR="004421F6" w:rsidRDefault="004421F6">
            <w:pPr>
              <w:rPr>
                <w:rFonts w:ascii="宋体"/>
              </w:rPr>
            </w:pPr>
          </w:p>
        </w:tc>
        <w:tc>
          <w:tcPr>
            <w:tcW w:w="0" w:type="auto"/>
            <w:shd w:val="clear" w:color="auto" w:fill="auto"/>
          </w:tcPr>
          <w:p w14:paraId="1D026AD2" w14:textId="77777777" w:rsidR="004421F6" w:rsidRDefault="004421F6">
            <w:pPr>
              <w:rPr>
                <w:rFonts w:ascii="宋体"/>
              </w:rPr>
            </w:pPr>
          </w:p>
        </w:tc>
        <w:tc>
          <w:tcPr>
            <w:tcW w:w="0" w:type="auto"/>
            <w:shd w:val="clear" w:color="auto" w:fill="auto"/>
          </w:tcPr>
          <w:p w14:paraId="1D026AD3" w14:textId="77777777" w:rsidR="004421F6" w:rsidRDefault="004421F6">
            <w:pPr>
              <w:rPr>
                <w:rFonts w:ascii="宋体"/>
              </w:rPr>
            </w:pPr>
          </w:p>
        </w:tc>
        <w:tc>
          <w:tcPr>
            <w:tcW w:w="0" w:type="auto"/>
            <w:shd w:val="clear" w:color="auto" w:fill="auto"/>
          </w:tcPr>
          <w:p w14:paraId="1D026AD4" w14:textId="77777777" w:rsidR="004421F6" w:rsidRDefault="004421F6">
            <w:pPr>
              <w:rPr>
                <w:rFonts w:ascii="宋体"/>
              </w:rPr>
            </w:pPr>
          </w:p>
        </w:tc>
      </w:tr>
      <w:tr w:rsidR="004421F6" w14:paraId="1D026AE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AD6" w14:textId="77777777" w:rsidR="004421F6" w:rsidRDefault="00F15622">
            <w:pPr>
              <w:textAlignment w:val="bottom"/>
            </w:pPr>
            <w:r>
              <w:rPr>
                <w:rFonts w:ascii="Arial" w:eastAsia="宋体" w:hAnsi="Arial" w:cs="Arial"/>
                <w:color w:val="000000"/>
                <w:sz w:val="17"/>
                <w:szCs w:val="17"/>
              </w:rPr>
              <w:t>Global Brand Divisions</w:t>
            </w:r>
            <w:r>
              <w:rPr>
                <w:rFonts w:ascii="Arial" w:eastAsia="宋体" w:hAnsi="Arial" w:cs="Arial"/>
                <w:color w:val="000000"/>
                <w:sz w:val="9"/>
                <w:szCs w:val="9"/>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AD7" w14:textId="77777777" w:rsidR="004421F6" w:rsidRDefault="00F1562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FFF1E7"/>
            <w:tcMar>
              <w:top w:w="40" w:type="dxa"/>
              <w:bottom w:w="40" w:type="dxa"/>
              <w:right w:w="20" w:type="dxa"/>
            </w:tcMar>
            <w:vAlign w:val="bottom"/>
          </w:tcPr>
          <w:p w14:paraId="1D026AD8"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AD9" w14:textId="77777777" w:rsidR="004421F6" w:rsidRDefault="00F1562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bottom w:w="40" w:type="dxa"/>
              <w:right w:w="20" w:type="dxa"/>
            </w:tcMar>
            <w:vAlign w:val="bottom"/>
          </w:tcPr>
          <w:p w14:paraId="1D026AD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ADB" w14:textId="77777777" w:rsidR="004421F6" w:rsidRDefault="00F15622">
            <w:pPr>
              <w:jc w:val="right"/>
              <w:textAlignment w:val="bottom"/>
            </w:pPr>
            <w:r>
              <w:rPr>
                <w:rFonts w:ascii="Arial" w:eastAsia="宋体" w:hAnsi="Arial" w:cs="Arial"/>
                <w:color w:val="000000"/>
                <w:sz w:val="17"/>
                <w:szCs w:val="17"/>
              </w:rPr>
              <w:t>-33 </w:t>
            </w:r>
          </w:p>
        </w:tc>
        <w:tc>
          <w:tcPr>
            <w:tcW w:w="0" w:type="auto"/>
            <w:tcBorders>
              <w:top w:val="single" w:sz="8" w:space="0" w:color="808080"/>
            </w:tcBorders>
            <w:shd w:val="clear" w:color="auto" w:fill="auto"/>
            <w:tcMar>
              <w:top w:w="40" w:type="dxa"/>
              <w:bottom w:w="40" w:type="dxa"/>
              <w:right w:w="20" w:type="dxa"/>
            </w:tcMar>
            <w:vAlign w:val="bottom"/>
          </w:tcPr>
          <w:p w14:paraId="1D026ADC"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ADD" w14:textId="77777777" w:rsidR="004421F6" w:rsidRDefault="00F15622">
            <w:pPr>
              <w:jc w:val="right"/>
              <w:textAlignment w:val="bottom"/>
            </w:pPr>
            <w:r>
              <w:rPr>
                <w:rFonts w:ascii="Arial" w:eastAsia="宋体" w:hAnsi="Arial" w:cs="Arial"/>
                <w:color w:val="000000"/>
                <w:sz w:val="17"/>
                <w:szCs w:val="17"/>
              </w:rPr>
              <w:t>-31 </w:t>
            </w:r>
          </w:p>
        </w:tc>
        <w:tc>
          <w:tcPr>
            <w:tcW w:w="0" w:type="auto"/>
            <w:tcBorders>
              <w:top w:val="single" w:sz="8" w:space="0" w:color="808080"/>
            </w:tcBorders>
            <w:shd w:val="clear" w:color="auto" w:fill="auto"/>
            <w:tcMar>
              <w:top w:w="40" w:type="dxa"/>
              <w:bottom w:w="40" w:type="dxa"/>
              <w:right w:w="20" w:type="dxa"/>
            </w:tcMar>
            <w:vAlign w:val="bottom"/>
          </w:tcPr>
          <w:p w14:paraId="1D026ADE"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ADF" w14:textId="77777777" w:rsidR="004421F6" w:rsidRDefault="004421F6">
            <w:pPr>
              <w:rPr>
                <w:rFonts w:ascii="宋体"/>
              </w:rPr>
            </w:pPr>
          </w:p>
        </w:tc>
        <w:tc>
          <w:tcPr>
            <w:tcW w:w="0" w:type="auto"/>
            <w:shd w:val="clear" w:color="auto" w:fill="auto"/>
          </w:tcPr>
          <w:p w14:paraId="1D026AE0" w14:textId="77777777" w:rsidR="004421F6" w:rsidRDefault="004421F6">
            <w:pPr>
              <w:rPr>
                <w:rFonts w:ascii="宋体"/>
              </w:rPr>
            </w:pPr>
          </w:p>
        </w:tc>
        <w:tc>
          <w:tcPr>
            <w:tcW w:w="0" w:type="auto"/>
            <w:shd w:val="clear" w:color="auto" w:fill="auto"/>
          </w:tcPr>
          <w:p w14:paraId="1D026AE1" w14:textId="77777777" w:rsidR="004421F6" w:rsidRDefault="004421F6">
            <w:pPr>
              <w:rPr>
                <w:rFonts w:ascii="宋体"/>
              </w:rPr>
            </w:pPr>
          </w:p>
        </w:tc>
        <w:tc>
          <w:tcPr>
            <w:tcW w:w="0" w:type="auto"/>
            <w:shd w:val="clear" w:color="auto" w:fill="auto"/>
          </w:tcPr>
          <w:p w14:paraId="1D026AE2" w14:textId="77777777" w:rsidR="004421F6" w:rsidRDefault="004421F6">
            <w:pPr>
              <w:rPr>
                <w:rFonts w:ascii="宋体"/>
              </w:rPr>
            </w:pPr>
          </w:p>
        </w:tc>
        <w:tc>
          <w:tcPr>
            <w:tcW w:w="0" w:type="auto"/>
            <w:shd w:val="clear" w:color="auto" w:fill="auto"/>
          </w:tcPr>
          <w:p w14:paraId="1D026AE3" w14:textId="77777777" w:rsidR="004421F6" w:rsidRDefault="004421F6">
            <w:pPr>
              <w:rPr>
                <w:rFonts w:ascii="宋体"/>
              </w:rPr>
            </w:pPr>
          </w:p>
        </w:tc>
        <w:tc>
          <w:tcPr>
            <w:tcW w:w="0" w:type="auto"/>
            <w:shd w:val="clear" w:color="auto" w:fill="auto"/>
          </w:tcPr>
          <w:p w14:paraId="1D026AE4" w14:textId="77777777" w:rsidR="004421F6" w:rsidRDefault="004421F6">
            <w:pPr>
              <w:rPr>
                <w:rFonts w:ascii="宋体"/>
              </w:rPr>
            </w:pPr>
          </w:p>
        </w:tc>
        <w:tc>
          <w:tcPr>
            <w:tcW w:w="0" w:type="auto"/>
            <w:shd w:val="clear" w:color="auto" w:fill="auto"/>
          </w:tcPr>
          <w:p w14:paraId="1D026AE5" w14:textId="77777777" w:rsidR="004421F6" w:rsidRDefault="004421F6">
            <w:pPr>
              <w:rPr>
                <w:rFonts w:ascii="宋体"/>
              </w:rPr>
            </w:pPr>
          </w:p>
        </w:tc>
        <w:tc>
          <w:tcPr>
            <w:tcW w:w="0" w:type="auto"/>
            <w:shd w:val="clear" w:color="auto" w:fill="auto"/>
          </w:tcPr>
          <w:p w14:paraId="1D026AE6" w14:textId="77777777" w:rsidR="004421F6" w:rsidRDefault="004421F6">
            <w:pPr>
              <w:rPr>
                <w:rFonts w:ascii="宋体"/>
              </w:rPr>
            </w:pPr>
          </w:p>
        </w:tc>
        <w:tc>
          <w:tcPr>
            <w:tcW w:w="0" w:type="auto"/>
            <w:shd w:val="clear" w:color="auto" w:fill="auto"/>
          </w:tcPr>
          <w:p w14:paraId="1D026AE7" w14:textId="77777777" w:rsidR="004421F6" w:rsidRDefault="004421F6">
            <w:pPr>
              <w:rPr>
                <w:rFonts w:ascii="宋体"/>
              </w:rPr>
            </w:pPr>
          </w:p>
        </w:tc>
      </w:tr>
      <w:tr w:rsidR="004421F6" w14:paraId="1D026AF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AE9" w14:textId="77777777" w:rsidR="004421F6" w:rsidRDefault="00F15622">
            <w:pPr>
              <w:textAlignment w:val="bottom"/>
            </w:pPr>
            <w:r>
              <w:rPr>
                <w:rFonts w:ascii="Arial" w:eastAsia="宋体" w:hAnsi="Arial" w:cs="Arial"/>
                <w:b/>
                <w:bCs/>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6AEA" w14:textId="77777777" w:rsidR="004421F6" w:rsidRDefault="00F15622">
            <w:pPr>
              <w:jc w:val="right"/>
              <w:textAlignment w:val="bottom"/>
            </w:pPr>
            <w:r>
              <w:rPr>
                <w:rFonts w:ascii="Arial" w:eastAsia="宋体" w:hAnsi="Arial" w:cs="Arial"/>
                <w:b/>
                <w:bCs/>
                <w:color w:val="000000"/>
                <w:sz w:val="17"/>
                <w:szCs w:val="17"/>
              </w:rPr>
              <w:t>10,018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AEB"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AEC" w14:textId="77777777" w:rsidR="004421F6" w:rsidRDefault="00F15622">
            <w:pPr>
              <w:jc w:val="right"/>
              <w:textAlignment w:val="bottom"/>
            </w:pPr>
            <w:r>
              <w:rPr>
                <w:rFonts w:ascii="Arial" w:eastAsia="宋体" w:hAnsi="Arial" w:cs="Arial"/>
                <w:b/>
                <w:bCs/>
                <w:color w:val="000000"/>
                <w:sz w:val="17"/>
                <w:szCs w:val="17"/>
              </w:rPr>
              <w:t>10,096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AED"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AEE" w14:textId="77777777" w:rsidR="004421F6" w:rsidRDefault="00F1562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AEF"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AF0" w14:textId="77777777" w:rsidR="004421F6" w:rsidRDefault="00F15622">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AF1"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6AF2" w14:textId="77777777" w:rsidR="004421F6" w:rsidRDefault="004421F6">
            <w:pPr>
              <w:rPr>
                <w:rFonts w:ascii="宋体"/>
              </w:rPr>
            </w:pPr>
          </w:p>
        </w:tc>
        <w:tc>
          <w:tcPr>
            <w:tcW w:w="0" w:type="auto"/>
            <w:shd w:val="clear" w:color="auto" w:fill="auto"/>
          </w:tcPr>
          <w:p w14:paraId="1D026AF3" w14:textId="77777777" w:rsidR="004421F6" w:rsidRDefault="004421F6">
            <w:pPr>
              <w:rPr>
                <w:rFonts w:ascii="宋体"/>
              </w:rPr>
            </w:pPr>
          </w:p>
        </w:tc>
        <w:tc>
          <w:tcPr>
            <w:tcW w:w="0" w:type="auto"/>
            <w:shd w:val="clear" w:color="auto" w:fill="auto"/>
          </w:tcPr>
          <w:p w14:paraId="1D026AF4" w14:textId="77777777" w:rsidR="004421F6" w:rsidRDefault="004421F6">
            <w:pPr>
              <w:rPr>
                <w:rFonts w:ascii="宋体"/>
              </w:rPr>
            </w:pPr>
          </w:p>
        </w:tc>
        <w:tc>
          <w:tcPr>
            <w:tcW w:w="0" w:type="auto"/>
            <w:shd w:val="clear" w:color="auto" w:fill="auto"/>
          </w:tcPr>
          <w:p w14:paraId="1D026AF5" w14:textId="77777777" w:rsidR="004421F6" w:rsidRDefault="004421F6">
            <w:pPr>
              <w:rPr>
                <w:rFonts w:ascii="宋体"/>
              </w:rPr>
            </w:pPr>
          </w:p>
        </w:tc>
        <w:tc>
          <w:tcPr>
            <w:tcW w:w="0" w:type="auto"/>
            <w:shd w:val="clear" w:color="auto" w:fill="auto"/>
          </w:tcPr>
          <w:p w14:paraId="1D026AF6" w14:textId="77777777" w:rsidR="004421F6" w:rsidRDefault="004421F6">
            <w:pPr>
              <w:rPr>
                <w:rFonts w:ascii="宋体"/>
              </w:rPr>
            </w:pPr>
          </w:p>
        </w:tc>
        <w:tc>
          <w:tcPr>
            <w:tcW w:w="0" w:type="auto"/>
            <w:shd w:val="clear" w:color="auto" w:fill="auto"/>
          </w:tcPr>
          <w:p w14:paraId="1D026AF7" w14:textId="77777777" w:rsidR="004421F6" w:rsidRDefault="004421F6">
            <w:pPr>
              <w:rPr>
                <w:rFonts w:ascii="宋体"/>
              </w:rPr>
            </w:pPr>
          </w:p>
        </w:tc>
        <w:tc>
          <w:tcPr>
            <w:tcW w:w="0" w:type="auto"/>
            <w:shd w:val="clear" w:color="auto" w:fill="auto"/>
          </w:tcPr>
          <w:p w14:paraId="1D026AF8" w14:textId="77777777" w:rsidR="004421F6" w:rsidRDefault="004421F6">
            <w:pPr>
              <w:rPr>
                <w:rFonts w:ascii="宋体"/>
              </w:rPr>
            </w:pPr>
          </w:p>
        </w:tc>
        <w:tc>
          <w:tcPr>
            <w:tcW w:w="0" w:type="auto"/>
            <w:shd w:val="clear" w:color="auto" w:fill="auto"/>
          </w:tcPr>
          <w:p w14:paraId="1D026AF9" w14:textId="77777777" w:rsidR="004421F6" w:rsidRDefault="004421F6">
            <w:pPr>
              <w:rPr>
                <w:rFonts w:ascii="宋体"/>
              </w:rPr>
            </w:pPr>
          </w:p>
        </w:tc>
        <w:tc>
          <w:tcPr>
            <w:tcW w:w="0" w:type="auto"/>
            <w:shd w:val="clear" w:color="auto" w:fill="auto"/>
          </w:tcPr>
          <w:p w14:paraId="1D026AFA" w14:textId="77777777" w:rsidR="004421F6" w:rsidRDefault="004421F6">
            <w:pPr>
              <w:rPr>
                <w:rFonts w:ascii="宋体"/>
              </w:rPr>
            </w:pPr>
          </w:p>
        </w:tc>
      </w:tr>
      <w:tr w:rsidR="004421F6" w14:paraId="1D026B0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AFC" w14:textId="77777777" w:rsidR="004421F6" w:rsidRDefault="00F15622">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6AFD" w14:textId="77777777" w:rsidR="004421F6" w:rsidRDefault="00F15622">
            <w:pPr>
              <w:jc w:val="right"/>
              <w:textAlignment w:val="bottom"/>
            </w:pPr>
            <w:r>
              <w:rPr>
                <w:rFonts w:ascii="Arial" w:eastAsia="宋体" w:hAnsi="Arial" w:cs="Arial"/>
                <w:color w:val="000000"/>
                <w:sz w:val="17"/>
                <w:szCs w:val="17"/>
              </w:rPr>
              <w:t>563 </w:t>
            </w:r>
          </w:p>
        </w:tc>
        <w:tc>
          <w:tcPr>
            <w:tcW w:w="0" w:type="auto"/>
            <w:tcBorders>
              <w:top w:val="single" w:sz="8" w:space="0" w:color="E87722"/>
            </w:tcBorders>
            <w:shd w:val="clear" w:color="auto" w:fill="FFF1E7"/>
            <w:tcMar>
              <w:top w:w="40" w:type="dxa"/>
              <w:bottom w:w="40" w:type="dxa"/>
              <w:right w:w="20" w:type="dxa"/>
            </w:tcMar>
            <w:vAlign w:val="bottom"/>
          </w:tcPr>
          <w:p w14:paraId="1D026AFE"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AFF" w14:textId="77777777" w:rsidR="004421F6" w:rsidRDefault="00F15622">
            <w:pPr>
              <w:jc w:val="right"/>
              <w:textAlignment w:val="bottom"/>
            </w:pPr>
            <w:r>
              <w:rPr>
                <w:rFonts w:ascii="Arial" w:eastAsia="宋体" w:hAnsi="Arial" w:cs="Arial"/>
                <w:color w:val="000000"/>
                <w:sz w:val="17"/>
                <w:szCs w:val="17"/>
              </w:rPr>
              <w:t>555 </w:t>
            </w:r>
          </w:p>
        </w:tc>
        <w:tc>
          <w:tcPr>
            <w:tcW w:w="0" w:type="auto"/>
            <w:tcBorders>
              <w:top w:val="single" w:sz="8" w:space="0" w:color="E87722"/>
            </w:tcBorders>
            <w:shd w:val="clear" w:color="auto" w:fill="auto"/>
            <w:tcMar>
              <w:top w:w="40" w:type="dxa"/>
              <w:bottom w:w="40" w:type="dxa"/>
              <w:right w:w="20" w:type="dxa"/>
            </w:tcMar>
            <w:vAlign w:val="bottom"/>
          </w:tcPr>
          <w:p w14:paraId="1D026B00"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B01"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bottom w:w="40" w:type="dxa"/>
              <w:right w:w="20" w:type="dxa"/>
            </w:tcMar>
            <w:vAlign w:val="bottom"/>
          </w:tcPr>
          <w:p w14:paraId="1D026B02"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B03" w14:textId="77777777" w:rsidR="004421F6" w:rsidRDefault="00F15622">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bottom w:w="40" w:type="dxa"/>
              <w:right w:w="20" w:type="dxa"/>
            </w:tcMar>
            <w:vAlign w:val="bottom"/>
          </w:tcPr>
          <w:p w14:paraId="1D026B04"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B05" w14:textId="77777777" w:rsidR="004421F6" w:rsidRDefault="004421F6">
            <w:pPr>
              <w:rPr>
                <w:rFonts w:ascii="宋体"/>
              </w:rPr>
            </w:pPr>
          </w:p>
        </w:tc>
        <w:tc>
          <w:tcPr>
            <w:tcW w:w="0" w:type="auto"/>
            <w:shd w:val="clear" w:color="auto" w:fill="auto"/>
          </w:tcPr>
          <w:p w14:paraId="1D026B06" w14:textId="77777777" w:rsidR="004421F6" w:rsidRDefault="004421F6">
            <w:pPr>
              <w:rPr>
                <w:rFonts w:ascii="宋体"/>
              </w:rPr>
            </w:pPr>
          </w:p>
        </w:tc>
        <w:tc>
          <w:tcPr>
            <w:tcW w:w="0" w:type="auto"/>
            <w:shd w:val="clear" w:color="auto" w:fill="auto"/>
          </w:tcPr>
          <w:p w14:paraId="1D026B07" w14:textId="77777777" w:rsidR="004421F6" w:rsidRDefault="004421F6">
            <w:pPr>
              <w:rPr>
                <w:rFonts w:ascii="宋体"/>
              </w:rPr>
            </w:pPr>
          </w:p>
        </w:tc>
        <w:tc>
          <w:tcPr>
            <w:tcW w:w="0" w:type="auto"/>
            <w:shd w:val="clear" w:color="auto" w:fill="auto"/>
          </w:tcPr>
          <w:p w14:paraId="1D026B08" w14:textId="77777777" w:rsidR="004421F6" w:rsidRDefault="004421F6">
            <w:pPr>
              <w:rPr>
                <w:rFonts w:ascii="宋体"/>
              </w:rPr>
            </w:pPr>
          </w:p>
        </w:tc>
        <w:tc>
          <w:tcPr>
            <w:tcW w:w="0" w:type="auto"/>
            <w:shd w:val="clear" w:color="auto" w:fill="auto"/>
          </w:tcPr>
          <w:p w14:paraId="1D026B09" w14:textId="77777777" w:rsidR="004421F6" w:rsidRDefault="004421F6">
            <w:pPr>
              <w:rPr>
                <w:rFonts w:ascii="宋体"/>
              </w:rPr>
            </w:pPr>
          </w:p>
        </w:tc>
        <w:tc>
          <w:tcPr>
            <w:tcW w:w="0" w:type="auto"/>
            <w:shd w:val="clear" w:color="auto" w:fill="auto"/>
          </w:tcPr>
          <w:p w14:paraId="1D026B0A" w14:textId="77777777" w:rsidR="004421F6" w:rsidRDefault="004421F6">
            <w:pPr>
              <w:rPr>
                <w:rFonts w:ascii="宋体"/>
              </w:rPr>
            </w:pPr>
          </w:p>
        </w:tc>
        <w:tc>
          <w:tcPr>
            <w:tcW w:w="0" w:type="auto"/>
            <w:shd w:val="clear" w:color="auto" w:fill="auto"/>
          </w:tcPr>
          <w:p w14:paraId="1D026B0B" w14:textId="77777777" w:rsidR="004421F6" w:rsidRDefault="004421F6">
            <w:pPr>
              <w:rPr>
                <w:rFonts w:ascii="宋体"/>
              </w:rPr>
            </w:pPr>
          </w:p>
        </w:tc>
        <w:tc>
          <w:tcPr>
            <w:tcW w:w="0" w:type="auto"/>
            <w:shd w:val="clear" w:color="auto" w:fill="auto"/>
          </w:tcPr>
          <w:p w14:paraId="1D026B0C" w14:textId="77777777" w:rsidR="004421F6" w:rsidRDefault="004421F6">
            <w:pPr>
              <w:rPr>
                <w:rFonts w:ascii="宋体"/>
              </w:rPr>
            </w:pPr>
          </w:p>
        </w:tc>
        <w:tc>
          <w:tcPr>
            <w:tcW w:w="0" w:type="auto"/>
            <w:shd w:val="clear" w:color="auto" w:fill="auto"/>
          </w:tcPr>
          <w:p w14:paraId="1D026B0D" w14:textId="77777777" w:rsidR="004421F6" w:rsidRDefault="004421F6">
            <w:pPr>
              <w:rPr>
                <w:rFonts w:ascii="宋体"/>
              </w:rPr>
            </w:pPr>
          </w:p>
        </w:tc>
      </w:tr>
      <w:tr w:rsidR="004421F6" w14:paraId="1D026B21"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B0F" w14:textId="77777777" w:rsidR="004421F6" w:rsidRDefault="00F15622">
            <w:pPr>
              <w:textAlignment w:val="bottom"/>
            </w:pPr>
            <w:r>
              <w:rPr>
                <w:rFonts w:ascii="Arial" w:eastAsia="宋体" w:hAnsi="Arial" w:cs="Arial"/>
                <w:color w:val="000000"/>
                <w:sz w:val="17"/>
                <w:szCs w:val="17"/>
              </w:rPr>
              <w:t>Corporate</w:t>
            </w:r>
            <w:r>
              <w:rPr>
                <w:rFonts w:ascii="Arial" w:eastAsia="宋体" w:hAnsi="Arial" w:cs="Arial"/>
                <w:color w:val="000000"/>
                <w:sz w:val="9"/>
                <w:szCs w:val="9"/>
              </w:rPr>
              <w:t>(3)</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B10" w14:textId="77777777" w:rsidR="004421F6" w:rsidRDefault="00F15622">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FFF1E7"/>
            <w:tcMar>
              <w:top w:w="40" w:type="dxa"/>
              <w:bottom w:w="40" w:type="dxa"/>
              <w:right w:w="20" w:type="dxa"/>
            </w:tcMar>
            <w:vAlign w:val="bottom"/>
          </w:tcPr>
          <w:p w14:paraId="1D026B1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B12" w14:textId="77777777" w:rsidR="004421F6" w:rsidRDefault="00F1562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bottom w:w="40" w:type="dxa"/>
              <w:right w:w="20" w:type="dxa"/>
            </w:tcMar>
            <w:vAlign w:val="bottom"/>
          </w:tcPr>
          <w:p w14:paraId="1D026B13"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B14"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B15"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B16"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bottom w:w="40" w:type="dxa"/>
              <w:right w:w="20" w:type="dxa"/>
            </w:tcMar>
            <w:vAlign w:val="bottom"/>
          </w:tcPr>
          <w:p w14:paraId="1D026B17" w14:textId="77777777" w:rsidR="004421F6" w:rsidRDefault="004421F6">
            <w:pPr>
              <w:jc w:val="right"/>
              <w:rPr>
                <w:rFonts w:ascii="宋体"/>
              </w:rPr>
            </w:pPr>
          </w:p>
        </w:tc>
        <w:tc>
          <w:tcPr>
            <w:tcW w:w="0" w:type="auto"/>
            <w:shd w:val="clear" w:color="auto" w:fill="auto"/>
          </w:tcPr>
          <w:p w14:paraId="1D026B18" w14:textId="77777777" w:rsidR="004421F6" w:rsidRDefault="004421F6">
            <w:pPr>
              <w:rPr>
                <w:rFonts w:ascii="宋体"/>
              </w:rPr>
            </w:pPr>
          </w:p>
        </w:tc>
        <w:tc>
          <w:tcPr>
            <w:tcW w:w="0" w:type="auto"/>
            <w:shd w:val="clear" w:color="auto" w:fill="auto"/>
          </w:tcPr>
          <w:p w14:paraId="1D026B19" w14:textId="77777777" w:rsidR="004421F6" w:rsidRDefault="004421F6">
            <w:pPr>
              <w:rPr>
                <w:rFonts w:ascii="宋体"/>
              </w:rPr>
            </w:pPr>
          </w:p>
        </w:tc>
        <w:tc>
          <w:tcPr>
            <w:tcW w:w="0" w:type="auto"/>
            <w:shd w:val="clear" w:color="auto" w:fill="auto"/>
          </w:tcPr>
          <w:p w14:paraId="1D026B1A" w14:textId="77777777" w:rsidR="004421F6" w:rsidRDefault="004421F6">
            <w:pPr>
              <w:rPr>
                <w:rFonts w:ascii="宋体"/>
              </w:rPr>
            </w:pPr>
          </w:p>
        </w:tc>
        <w:tc>
          <w:tcPr>
            <w:tcW w:w="0" w:type="auto"/>
            <w:shd w:val="clear" w:color="auto" w:fill="auto"/>
          </w:tcPr>
          <w:p w14:paraId="1D026B1B" w14:textId="77777777" w:rsidR="004421F6" w:rsidRDefault="004421F6">
            <w:pPr>
              <w:rPr>
                <w:rFonts w:ascii="宋体"/>
              </w:rPr>
            </w:pPr>
          </w:p>
        </w:tc>
        <w:tc>
          <w:tcPr>
            <w:tcW w:w="0" w:type="auto"/>
            <w:shd w:val="clear" w:color="auto" w:fill="auto"/>
          </w:tcPr>
          <w:p w14:paraId="1D026B1C" w14:textId="77777777" w:rsidR="004421F6" w:rsidRDefault="004421F6">
            <w:pPr>
              <w:rPr>
                <w:rFonts w:ascii="宋体"/>
              </w:rPr>
            </w:pPr>
          </w:p>
        </w:tc>
        <w:tc>
          <w:tcPr>
            <w:tcW w:w="0" w:type="auto"/>
            <w:shd w:val="clear" w:color="auto" w:fill="auto"/>
          </w:tcPr>
          <w:p w14:paraId="1D026B1D" w14:textId="77777777" w:rsidR="004421F6" w:rsidRDefault="004421F6">
            <w:pPr>
              <w:rPr>
                <w:rFonts w:ascii="宋体"/>
              </w:rPr>
            </w:pPr>
          </w:p>
        </w:tc>
        <w:tc>
          <w:tcPr>
            <w:tcW w:w="0" w:type="auto"/>
            <w:shd w:val="clear" w:color="auto" w:fill="auto"/>
          </w:tcPr>
          <w:p w14:paraId="1D026B1E" w14:textId="77777777" w:rsidR="004421F6" w:rsidRDefault="004421F6">
            <w:pPr>
              <w:rPr>
                <w:rFonts w:ascii="宋体"/>
              </w:rPr>
            </w:pPr>
          </w:p>
        </w:tc>
        <w:tc>
          <w:tcPr>
            <w:tcW w:w="0" w:type="auto"/>
            <w:shd w:val="clear" w:color="auto" w:fill="auto"/>
          </w:tcPr>
          <w:p w14:paraId="1D026B1F" w14:textId="77777777" w:rsidR="004421F6" w:rsidRDefault="004421F6">
            <w:pPr>
              <w:rPr>
                <w:rFonts w:ascii="宋体"/>
              </w:rPr>
            </w:pPr>
          </w:p>
        </w:tc>
        <w:tc>
          <w:tcPr>
            <w:tcW w:w="0" w:type="auto"/>
            <w:shd w:val="clear" w:color="auto" w:fill="auto"/>
          </w:tcPr>
          <w:p w14:paraId="1D026B20" w14:textId="77777777" w:rsidR="004421F6" w:rsidRDefault="004421F6">
            <w:pPr>
              <w:rPr>
                <w:rFonts w:ascii="宋体"/>
              </w:rPr>
            </w:pPr>
          </w:p>
        </w:tc>
      </w:tr>
      <w:tr w:rsidR="004421F6" w14:paraId="1D026B3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6B22" w14:textId="77777777" w:rsidR="004421F6" w:rsidRDefault="00F15622">
            <w:pPr>
              <w:textAlignment w:val="bottom"/>
            </w:pPr>
            <w:r>
              <w:rPr>
                <w:rFonts w:ascii="Arial" w:eastAsia="宋体" w:hAnsi="Arial" w:cs="Arial"/>
                <w:b/>
                <w:bCs/>
                <w:color w:val="000000"/>
                <w:sz w:val="17"/>
                <w:szCs w:val="17"/>
              </w:rPr>
              <w:t>TOTAL NIKE, INC. REVENUES</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B23"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B24" w14:textId="77777777" w:rsidR="004421F6" w:rsidRDefault="00F15622">
            <w:pPr>
              <w:jc w:val="right"/>
              <w:textAlignment w:val="bottom"/>
            </w:pPr>
            <w:r>
              <w:rPr>
                <w:rFonts w:ascii="Arial" w:eastAsia="宋体" w:hAnsi="Arial" w:cs="Arial"/>
                <w:b/>
                <w:bCs/>
                <w:color w:val="000000"/>
                <w:sz w:val="17"/>
                <w:szCs w:val="17"/>
              </w:rPr>
              <w:t>10,594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B25"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B26"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B27" w14:textId="77777777" w:rsidR="004421F6" w:rsidRDefault="00F15622">
            <w:pPr>
              <w:jc w:val="right"/>
              <w:textAlignment w:val="bottom"/>
            </w:pPr>
            <w:r>
              <w:rPr>
                <w:rFonts w:ascii="Arial" w:eastAsia="宋体" w:hAnsi="Arial" w:cs="Arial"/>
                <w:b/>
                <w:bCs/>
                <w:color w:val="000000"/>
                <w:sz w:val="17"/>
                <w:szCs w:val="17"/>
              </w:rPr>
              <w:t>10,660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B28" w14:textId="77777777" w:rsidR="004421F6" w:rsidRDefault="004421F6">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D026B29" w14:textId="77777777" w:rsidR="004421F6" w:rsidRDefault="00F1562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B2A"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D026B2B" w14:textId="77777777" w:rsidR="004421F6" w:rsidRDefault="00F15622">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B2C"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6B2D" w14:textId="77777777" w:rsidR="004421F6" w:rsidRDefault="004421F6">
            <w:pPr>
              <w:rPr>
                <w:rFonts w:ascii="宋体"/>
              </w:rPr>
            </w:pPr>
          </w:p>
        </w:tc>
        <w:tc>
          <w:tcPr>
            <w:tcW w:w="0" w:type="auto"/>
            <w:shd w:val="clear" w:color="auto" w:fill="auto"/>
          </w:tcPr>
          <w:p w14:paraId="1D026B2E" w14:textId="77777777" w:rsidR="004421F6" w:rsidRDefault="004421F6">
            <w:pPr>
              <w:rPr>
                <w:rFonts w:ascii="宋体"/>
              </w:rPr>
            </w:pPr>
          </w:p>
        </w:tc>
        <w:tc>
          <w:tcPr>
            <w:tcW w:w="0" w:type="auto"/>
            <w:shd w:val="clear" w:color="auto" w:fill="auto"/>
          </w:tcPr>
          <w:p w14:paraId="1D026B2F" w14:textId="77777777" w:rsidR="004421F6" w:rsidRDefault="004421F6">
            <w:pPr>
              <w:rPr>
                <w:rFonts w:ascii="宋体"/>
              </w:rPr>
            </w:pPr>
          </w:p>
        </w:tc>
        <w:tc>
          <w:tcPr>
            <w:tcW w:w="0" w:type="auto"/>
            <w:shd w:val="clear" w:color="auto" w:fill="auto"/>
          </w:tcPr>
          <w:p w14:paraId="1D026B30" w14:textId="77777777" w:rsidR="004421F6" w:rsidRDefault="004421F6">
            <w:pPr>
              <w:rPr>
                <w:rFonts w:ascii="宋体"/>
              </w:rPr>
            </w:pPr>
          </w:p>
        </w:tc>
        <w:tc>
          <w:tcPr>
            <w:tcW w:w="0" w:type="auto"/>
            <w:shd w:val="clear" w:color="auto" w:fill="auto"/>
          </w:tcPr>
          <w:p w14:paraId="1D026B31" w14:textId="77777777" w:rsidR="004421F6" w:rsidRDefault="004421F6">
            <w:pPr>
              <w:rPr>
                <w:rFonts w:ascii="宋体"/>
              </w:rPr>
            </w:pPr>
          </w:p>
        </w:tc>
        <w:tc>
          <w:tcPr>
            <w:tcW w:w="0" w:type="auto"/>
            <w:shd w:val="clear" w:color="auto" w:fill="auto"/>
          </w:tcPr>
          <w:p w14:paraId="1D026B32" w14:textId="77777777" w:rsidR="004421F6" w:rsidRDefault="004421F6">
            <w:pPr>
              <w:rPr>
                <w:rFonts w:ascii="宋体"/>
              </w:rPr>
            </w:pPr>
          </w:p>
        </w:tc>
        <w:tc>
          <w:tcPr>
            <w:tcW w:w="0" w:type="auto"/>
            <w:shd w:val="clear" w:color="auto" w:fill="auto"/>
          </w:tcPr>
          <w:p w14:paraId="1D026B33" w14:textId="77777777" w:rsidR="004421F6" w:rsidRDefault="004421F6">
            <w:pPr>
              <w:rPr>
                <w:rFonts w:ascii="宋体"/>
              </w:rPr>
            </w:pPr>
          </w:p>
        </w:tc>
        <w:tc>
          <w:tcPr>
            <w:tcW w:w="0" w:type="auto"/>
            <w:shd w:val="clear" w:color="auto" w:fill="auto"/>
          </w:tcPr>
          <w:p w14:paraId="1D026B34" w14:textId="77777777" w:rsidR="004421F6" w:rsidRDefault="004421F6">
            <w:pPr>
              <w:rPr>
                <w:rFonts w:ascii="宋体"/>
              </w:rPr>
            </w:pPr>
          </w:p>
        </w:tc>
        <w:tc>
          <w:tcPr>
            <w:tcW w:w="0" w:type="auto"/>
            <w:shd w:val="clear" w:color="auto" w:fill="auto"/>
          </w:tcPr>
          <w:p w14:paraId="1D026B35" w14:textId="77777777" w:rsidR="004421F6" w:rsidRDefault="004421F6">
            <w:pPr>
              <w:rPr>
                <w:rFonts w:ascii="宋体"/>
              </w:rPr>
            </w:pPr>
          </w:p>
        </w:tc>
      </w:tr>
    </w:tbl>
    <w:p w14:paraId="1D026B37" w14:textId="77777777" w:rsidR="004421F6" w:rsidRDefault="00F15622">
      <w:pPr>
        <w:spacing w:before="60" w:after="60"/>
        <w:ind w:hanging="360"/>
      </w:pPr>
      <w:r>
        <w:rPr>
          <w:rFonts w:ascii="Arial" w:eastAsia="宋体" w:hAnsi="Arial" w:cs="Arial"/>
          <w:i/>
          <w:iCs/>
          <w:color w:val="000000"/>
          <w:sz w:val="14"/>
          <w:szCs w:val="14"/>
        </w:rPr>
        <w:t>(1)    The percent change excluding currency changes represents a non-GAAP financial measure. See "Use of Non-GAAP Financial Measures" for further information.</w:t>
      </w:r>
    </w:p>
    <w:p w14:paraId="1D026B38" w14:textId="77777777" w:rsidR="004421F6" w:rsidRDefault="00F15622">
      <w:pPr>
        <w:spacing w:before="60" w:after="60"/>
        <w:ind w:hanging="360"/>
      </w:pPr>
      <w:r>
        <w:rPr>
          <w:rFonts w:ascii="Arial" w:eastAsia="宋体" w:hAnsi="Arial" w:cs="Arial"/>
          <w:i/>
          <w:iCs/>
          <w:color w:val="000000"/>
          <w:sz w:val="14"/>
          <w:szCs w:val="14"/>
        </w:rPr>
        <w:t>(2)    Global Brand Divisions revenues are primarily attribut</w:t>
      </w:r>
      <w:r>
        <w:rPr>
          <w:rFonts w:ascii="Arial" w:eastAsia="宋体" w:hAnsi="Arial" w:cs="Arial"/>
          <w:i/>
          <w:iCs/>
          <w:color w:val="000000"/>
          <w:sz w:val="14"/>
          <w:szCs w:val="14"/>
        </w:rPr>
        <w:t>able to NIKE Brand licensing businesses that are not part of a geographic operating segment.</w:t>
      </w:r>
    </w:p>
    <w:p w14:paraId="1D026B39" w14:textId="77777777" w:rsidR="004421F6" w:rsidRDefault="00F15622">
      <w:pPr>
        <w:spacing w:before="60" w:after="60"/>
        <w:ind w:hanging="360"/>
      </w:pPr>
      <w:r>
        <w:rPr>
          <w:rFonts w:ascii="Arial" w:eastAsia="宋体" w:hAnsi="Arial" w:cs="Arial"/>
          <w:i/>
          <w:iCs/>
          <w:color w:val="000000"/>
          <w:sz w:val="14"/>
          <w:szCs w:val="14"/>
        </w:rPr>
        <w:t xml:space="preserve">(3)    Corporate revenues primarily consist of foreign currency hedge gains and losses related to revenues generated by entities within the NIKE Brand </w:t>
      </w:r>
      <w:r>
        <w:rPr>
          <w:rFonts w:ascii="Arial" w:eastAsia="宋体" w:hAnsi="Arial" w:cs="Arial"/>
          <w:i/>
          <w:iCs/>
          <w:color w:val="000000"/>
          <w:sz w:val="14"/>
          <w:szCs w:val="14"/>
        </w:rPr>
        <w:t>geographic operating segments and Converse, but managed through our central foreign exchange risk management program.</w:t>
      </w:r>
    </w:p>
    <w:p w14:paraId="1D026B3A" w14:textId="77777777" w:rsidR="004421F6" w:rsidRDefault="00F15622">
      <w:pPr>
        <w:spacing w:before="120" w:after="120"/>
      </w:pPr>
      <w:r>
        <w:rPr>
          <w:rFonts w:ascii="Arial" w:eastAsia="宋体" w:hAnsi="Arial" w:cs="Arial"/>
          <w:color w:val="000000"/>
          <w:sz w:val="17"/>
          <w:szCs w:val="17"/>
        </w:rPr>
        <w:t>The primary financial measure used by the Company to evaluate performance of individual operating segments is EBIT, which represents Net i</w:t>
      </w:r>
      <w:r>
        <w:rPr>
          <w:rFonts w:ascii="Arial" w:eastAsia="宋体" w:hAnsi="Arial" w:cs="Arial"/>
          <w:color w:val="000000"/>
          <w:sz w:val="17"/>
          <w:szCs w:val="17"/>
        </w:rPr>
        <w:t>ncome before Interest expense (income), net and Income tax expense in the Unaudited Condensed Consolidated Statements of Income. As discussed in Note 12 — Operating Segments in the accompanying Notes to the Unaudited Condensed Consolidated Financial Statem</w:t>
      </w:r>
      <w:r>
        <w:rPr>
          <w:rFonts w:ascii="Arial" w:eastAsia="宋体" w:hAnsi="Arial" w:cs="Arial"/>
          <w:color w:val="000000"/>
          <w:sz w:val="17"/>
          <w:szCs w:val="17"/>
        </w:rPr>
        <w:t>ents, certain corporate costs are not included in EBIT of our operating segments.</w:t>
      </w:r>
    </w:p>
    <w:p w14:paraId="1D026B3B" w14:textId="77777777" w:rsidR="004421F6" w:rsidRDefault="00F15622">
      <w:pPr>
        <w:spacing w:before="120" w:after="120"/>
        <w:jc w:val="right"/>
      </w:pPr>
      <w:r>
        <w:rPr>
          <w:rFonts w:ascii="Arial" w:eastAsia="宋体" w:hAnsi="Arial" w:cs="Arial"/>
          <w:color w:val="E87722"/>
          <w:sz w:val="17"/>
          <w:szCs w:val="17"/>
        </w:rPr>
        <w:t>27</w:t>
      </w:r>
    </w:p>
    <w:p w14:paraId="1D026B3C" w14:textId="77777777" w:rsidR="004421F6" w:rsidRDefault="00F15622">
      <w:r>
        <w:pict w14:anchorId="1D027296">
          <v:rect id="_x0000_i1053" style="width:415.3pt;height:1.5pt" o:hralign="center" o:hrstd="t" o:hr="t" fillcolor="#a0a0a0" stroked="f"/>
        </w:pict>
      </w:r>
    </w:p>
    <w:p w14:paraId="1D026B3D" w14:textId="77777777" w:rsidR="004421F6" w:rsidRDefault="004421F6"/>
    <w:p w14:paraId="1D026B3E" w14:textId="77777777" w:rsidR="004421F6" w:rsidRDefault="00F15622">
      <w:hyperlink r:id="rId98" w:anchor="i3e524f2e23844e81ba9d33a05ac3917c_7" w:history="1">
        <w:r>
          <w:rPr>
            <w:rStyle w:val="a5"/>
            <w:rFonts w:ascii="sans-serif" w:eastAsia="sans-serif" w:hAnsi="sans-serif" w:cs="sans-serif"/>
            <w:sz w:val="17"/>
            <w:szCs w:val="17"/>
          </w:rPr>
          <w:t>Table of Contents</w:t>
        </w:r>
      </w:hyperlink>
    </w:p>
    <w:p w14:paraId="1D026B3F" w14:textId="77777777" w:rsidR="004421F6" w:rsidRDefault="004421F6"/>
    <w:p w14:paraId="1D026B40" w14:textId="77777777" w:rsidR="004421F6" w:rsidRDefault="00F15622">
      <w:pPr>
        <w:spacing w:before="120"/>
      </w:pPr>
      <w:r>
        <w:rPr>
          <w:rFonts w:ascii="Arial" w:eastAsia="宋体" w:hAnsi="Arial" w:cs="Arial"/>
          <w:color w:val="000000"/>
          <w:sz w:val="17"/>
          <w:szCs w:val="17"/>
        </w:rPr>
        <w:t>The breakdown of earnings before interest and taxes is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903"/>
        <w:gridCol w:w="39"/>
        <w:gridCol w:w="130"/>
        <w:gridCol w:w="863"/>
        <w:gridCol w:w="41"/>
        <w:gridCol w:w="130"/>
        <w:gridCol w:w="863"/>
        <w:gridCol w:w="41"/>
        <w:gridCol w:w="52"/>
        <w:gridCol w:w="831"/>
        <w:gridCol w:w="187"/>
        <w:gridCol w:w="36"/>
        <w:gridCol w:w="36"/>
        <w:gridCol w:w="36"/>
        <w:gridCol w:w="36"/>
        <w:gridCol w:w="36"/>
        <w:gridCol w:w="36"/>
      </w:tblGrid>
      <w:tr w:rsidR="004421F6" w14:paraId="1D026B4D" w14:textId="77777777">
        <w:trPr>
          <w:gridAfter w:val="6"/>
        </w:trPr>
        <w:tc>
          <w:tcPr>
            <w:tcW w:w="50" w:type="pct"/>
            <w:shd w:val="clear" w:color="auto" w:fill="auto"/>
          </w:tcPr>
          <w:p w14:paraId="1D026B41" w14:textId="77777777" w:rsidR="004421F6" w:rsidRDefault="004421F6">
            <w:pPr>
              <w:rPr>
                <w:rFonts w:ascii="宋体"/>
              </w:rPr>
            </w:pPr>
          </w:p>
        </w:tc>
        <w:tc>
          <w:tcPr>
            <w:tcW w:w="3070" w:type="pct"/>
            <w:shd w:val="clear" w:color="auto" w:fill="auto"/>
          </w:tcPr>
          <w:p w14:paraId="1D026B42" w14:textId="77777777" w:rsidR="004421F6" w:rsidRDefault="004421F6">
            <w:pPr>
              <w:rPr>
                <w:rFonts w:ascii="宋体"/>
              </w:rPr>
            </w:pPr>
          </w:p>
        </w:tc>
        <w:tc>
          <w:tcPr>
            <w:tcW w:w="5" w:type="pct"/>
            <w:shd w:val="clear" w:color="auto" w:fill="auto"/>
          </w:tcPr>
          <w:p w14:paraId="1D026B43" w14:textId="77777777" w:rsidR="004421F6" w:rsidRDefault="004421F6">
            <w:pPr>
              <w:rPr>
                <w:rFonts w:ascii="宋体"/>
              </w:rPr>
            </w:pPr>
          </w:p>
        </w:tc>
        <w:tc>
          <w:tcPr>
            <w:tcW w:w="50" w:type="pct"/>
            <w:shd w:val="clear" w:color="auto" w:fill="auto"/>
          </w:tcPr>
          <w:p w14:paraId="1D026B44" w14:textId="77777777" w:rsidR="004421F6" w:rsidRDefault="004421F6">
            <w:pPr>
              <w:rPr>
                <w:rFonts w:ascii="宋体"/>
              </w:rPr>
            </w:pPr>
          </w:p>
        </w:tc>
        <w:tc>
          <w:tcPr>
            <w:tcW w:w="570" w:type="pct"/>
            <w:shd w:val="clear" w:color="auto" w:fill="auto"/>
          </w:tcPr>
          <w:p w14:paraId="1D026B45" w14:textId="77777777" w:rsidR="004421F6" w:rsidRDefault="004421F6">
            <w:pPr>
              <w:rPr>
                <w:rFonts w:ascii="宋体"/>
              </w:rPr>
            </w:pPr>
          </w:p>
        </w:tc>
        <w:tc>
          <w:tcPr>
            <w:tcW w:w="5" w:type="pct"/>
            <w:shd w:val="clear" w:color="auto" w:fill="auto"/>
          </w:tcPr>
          <w:p w14:paraId="1D026B46" w14:textId="77777777" w:rsidR="004421F6" w:rsidRDefault="004421F6">
            <w:pPr>
              <w:rPr>
                <w:rFonts w:ascii="宋体"/>
              </w:rPr>
            </w:pPr>
          </w:p>
        </w:tc>
        <w:tc>
          <w:tcPr>
            <w:tcW w:w="50" w:type="pct"/>
            <w:shd w:val="clear" w:color="auto" w:fill="auto"/>
          </w:tcPr>
          <w:p w14:paraId="1D026B47" w14:textId="77777777" w:rsidR="004421F6" w:rsidRDefault="004421F6">
            <w:pPr>
              <w:rPr>
                <w:rFonts w:ascii="宋体"/>
              </w:rPr>
            </w:pPr>
          </w:p>
        </w:tc>
        <w:tc>
          <w:tcPr>
            <w:tcW w:w="570" w:type="pct"/>
            <w:shd w:val="clear" w:color="auto" w:fill="auto"/>
          </w:tcPr>
          <w:p w14:paraId="1D026B48" w14:textId="77777777" w:rsidR="004421F6" w:rsidRDefault="004421F6">
            <w:pPr>
              <w:rPr>
                <w:rFonts w:ascii="宋体"/>
              </w:rPr>
            </w:pPr>
          </w:p>
        </w:tc>
        <w:tc>
          <w:tcPr>
            <w:tcW w:w="5" w:type="pct"/>
            <w:shd w:val="clear" w:color="auto" w:fill="auto"/>
          </w:tcPr>
          <w:p w14:paraId="1D026B49" w14:textId="77777777" w:rsidR="004421F6" w:rsidRDefault="004421F6">
            <w:pPr>
              <w:rPr>
                <w:rFonts w:ascii="宋体"/>
              </w:rPr>
            </w:pPr>
          </w:p>
        </w:tc>
        <w:tc>
          <w:tcPr>
            <w:tcW w:w="50" w:type="pct"/>
            <w:shd w:val="clear" w:color="auto" w:fill="auto"/>
          </w:tcPr>
          <w:p w14:paraId="1D026B4A" w14:textId="77777777" w:rsidR="004421F6" w:rsidRDefault="004421F6">
            <w:pPr>
              <w:rPr>
                <w:rFonts w:ascii="宋体"/>
              </w:rPr>
            </w:pPr>
          </w:p>
        </w:tc>
        <w:tc>
          <w:tcPr>
            <w:tcW w:w="570" w:type="pct"/>
            <w:shd w:val="clear" w:color="auto" w:fill="auto"/>
          </w:tcPr>
          <w:p w14:paraId="1D026B4B" w14:textId="77777777" w:rsidR="004421F6" w:rsidRDefault="004421F6">
            <w:pPr>
              <w:rPr>
                <w:rFonts w:ascii="宋体"/>
              </w:rPr>
            </w:pPr>
          </w:p>
        </w:tc>
        <w:tc>
          <w:tcPr>
            <w:tcW w:w="5" w:type="pct"/>
            <w:shd w:val="clear" w:color="auto" w:fill="auto"/>
          </w:tcPr>
          <w:p w14:paraId="1D026B4C" w14:textId="77777777" w:rsidR="004421F6" w:rsidRDefault="004421F6">
            <w:pPr>
              <w:rPr>
                <w:rFonts w:ascii="宋体"/>
              </w:rPr>
            </w:pPr>
          </w:p>
        </w:tc>
      </w:tr>
      <w:tr w:rsidR="004421F6" w14:paraId="1D026B52" w14:textId="77777777">
        <w:tc>
          <w:tcPr>
            <w:tcW w:w="0" w:type="auto"/>
            <w:gridSpan w:val="3"/>
            <w:shd w:val="clear" w:color="auto" w:fill="auto"/>
            <w:tcMar>
              <w:left w:w="20" w:type="dxa"/>
              <w:right w:w="20" w:type="dxa"/>
            </w:tcMar>
            <w:vAlign w:val="bottom"/>
          </w:tcPr>
          <w:p w14:paraId="1D026B4E" w14:textId="77777777" w:rsidR="004421F6" w:rsidRDefault="004421F6">
            <w:pPr>
              <w:rPr>
                <w:rFonts w:ascii="宋体"/>
              </w:rPr>
            </w:pPr>
          </w:p>
        </w:tc>
        <w:tc>
          <w:tcPr>
            <w:tcW w:w="0" w:type="auto"/>
            <w:gridSpan w:val="9"/>
            <w:shd w:val="clear" w:color="auto" w:fill="auto"/>
            <w:tcMar>
              <w:top w:w="40" w:type="dxa"/>
              <w:left w:w="20" w:type="dxa"/>
              <w:bottom w:w="40" w:type="dxa"/>
              <w:right w:w="20" w:type="dxa"/>
            </w:tcMar>
            <w:vAlign w:val="bottom"/>
          </w:tcPr>
          <w:p w14:paraId="1D026B4F"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6B50" w14:textId="77777777" w:rsidR="004421F6" w:rsidRDefault="004421F6">
            <w:pPr>
              <w:rPr>
                <w:rFonts w:ascii="宋体"/>
                <w:vanish/>
              </w:rPr>
            </w:pPr>
          </w:p>
        </w:tc>
        <w:tc>
          <w:tcPr>
            <w:tcW w:w="0" w:type="auto"/>
            <w:gridSpan w:val="3"/>
            <w:shd w:val="clear" w:color="auto" w:fill="auto"/>
          </w:tcPr>
          <w:p w14:paraId="1D026B51" w14:textId="77777777" w:rsidR="004421F6" w:rsidRDefault="004421F6">
            <w:pPr>
              <w:rPr>
                <w:rFonts w:ascii="宋体"/>
                <w:vanish/>
              </w:rPr>
            </w:pPr>
          </w:p>
        </w:tc>
      </w:tr>
      <w:tr w:rsidR="004421F6" w14:paraId="1D026B5D" w14:textId="77777777">
        <w:tc>
          <w:tcPr>
            <w:tcW w:w="0" w:type="auto"/>
            <w:gridSpan w:val="3"/>
            <w:shd w:val="clear" w:color="auto" w:fill="auto"/>
            <w:tcMar>
              <w:top w:w="40" w:type="dxa"/>
              <w:left w:w="20" w:type="dxa"/>
              <w:bottom w:w="40" w:type="dxa"/>
              <w:right w:w="20" w:type="dxa"/>
            </w:tcMar>
            <w:vAlign w:val="bottom"/>
          </w:tcPr>
          <w:p w14:paraId="1D026B53"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B54"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B55"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B56" w14:textId="77777777" w:rsidR="004421F6" w:rsidRDefault="00F15622">
            <w:pPr>
              <w:jc w:val="right"/>
              <w:textAlignment w:val="bottom"/>
            </w:pPr>
            <w:r>
              <w:rPr>
                <w:rFonts w:ascii="sans-serif" w:eastAsia="sans-serif" w:hAnsi="sans-serif" w:cs="sans-serif"/>
                <w:b/>
                <w:bCs/>
                <w:color w:val="000000"/>
                <w:sz w:val="17"/>
                <w:szCs w:val="17"/>
              </w:rPr>
              <w:t>% CHANGE</w:t>
            </w:r>
          </w:p>
        </w:tc>
        <w:tc>
          <w:tcPr>
            <w:tcW w:w="0" w:type="auto"/>
            <w:shd w:val="clear" w:color="auto" w:fill="auto"/>
          </w:tcPr>
          <w:p w14:paraId="1D026B57" w14:textId="77777777" w:rsidR="004421F6" w:rsidRDefault="004421F6">
            <w:pPr>
              <w:rPr>
                <w:rFonts w:ascii="宋体"/>
              </w:rPr>
            </w:pPr>
          </w:p>
        </w:tc>
        <w:tc>
          <w:tcPr>
            <w:tcW w:w="0" w:type="auto"/>
            <w:shd w:val="clear" w:color="auto" w:fill="auto"/>
          </w:tcPr>
          <w:p w14:paraId="1D026B58" w14:textId="77777777" w:rsidR="004421F6" w:rsidRDefault="004421F6">
            <w:pPr>
              <w:rPr>
                <w:rFonts w:ascii="宋体"/>
              </w:rPr>
            </w:pPr>
          </w:p>
        </w:tc>
        <w:tc>
          <w:tcPr>
            <w:tcW w:w="0" w:type="auto"/>
            <w:shd w:val="clear" w:color="auto" w:fill="auto"/>
          </w:tcPr>
          <w:p w14:paraId="1D026B59" w14:textId="77777777" w:rsidR="004421F6" w:rsidRDefault="004421F6">
            <w:pPr>
              <w:rPr>
                <w:rFonts w:ascii="宋体"/>
              </w:rPr>
            </w:pPr>
          </w:p>
        </w:tc>
        <w:tc>
          <w:tcPr>
            <w:tcW w:w="0" w:type="auto"/>
            <w:shd w:val="clear" w:color="auto" w:fill="auto"/>
          </w:tcPr>
          <w:p w14:paraId="1D026B5A" w14:textId="77777777" w:rsidR="004421F6" w:rsidRDefault="004421F6">
            <w:pPr>
              <w:rPr>
                <w:rFonts w:ascii="宋体"/>
              </w:rPr>
            </w:pPr>
          </w:p>
        </w:tc>
        <w:tc>
          <w:tcPr>
            <w:tcW w:w="0" w:type="auto"/>
            <w:shd w:val="clear" w:color="auto" w:fill="auto"/>
          </w:tcPr>
          <w:p w14:paraId="1D026B5B" w14:textId="77777777" w:rsidR="004421F6" w:rsidRDefault="004421F6">
            <w:pPr>
              <w:rPr>
                <w:rFonts w:ascii="宋体"/>
              </w:rPr>
            </w:pPr>
          </w:p>
        </w:tc>
        <w:tc>
          <w:tcPr>
            <w:tcW w:w="0" w:type="auto"/>
            <w:shd w:val="clear" w:color="auto" w:fill="auto"/>
          </w:tcPr>
          <w:p w14:paraId="1D026B5C" w14:textId="77777777" w:rsidR="004421F6" w:rsidRDefault="004421F6">
            <w:pPr>
              <w:rPr>
                <w:rFonts w:ascii="宋体"/>
              </w:rPr>
            </w:pPr>
          </w:p>
        </w:tc>
      </w:tr>
      <w:tr w:rsidR="004421F6" w14:paraId="1D026B6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B5E" w14:textId="77777777" w:rsidR="004421F6" w:rsidRDefault="00F15622">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tcMar>
            <w:vAlign w:val="bottom"/>
          </w:tcPr>
          <w:p w14:paraId="1D026B5F"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B60" w14:textId="77777777" w:rsidR="004421F6" w:rsidRDefault="00F15622">
            <w:pPr>
              <w:jc w:val="right"/>
              <w:textAlignment w:val="bottom"/>
            </w:pPr>
            <w:r>
              <w:rPr>
                <w:rFonts w:ascii="Arial" w:eastAsia="宋体" w:hAnsi="Arial" w:cs="Arial"/>
                <w:color w:val="000000"/>
                <w:sz w:val="17"/>
                <w:szCs w:val="17"/>
              </w:rPr>
              <w:t>1,302 </w:t>
            </w:r>
          </w:p>
        </w:tc>
        <w:tc>
          <w:tcPr>
            <w:tcW w:w="0" w:type="auto"/>
            <w:tcBorders>
              <w:top w:val="single" w:sz="8" w:space="0" w:color="E87722"/>
            </w:tcBorders>
            <w:shd w:val="clear" w:color="auto" w:fill="FFF1E7"/>
            <w:tcMar>
              <w:top w:w="40" w:type="dxa"/>
              <w:bottom w:w="40" w:type="dxa"/>
              <w:right w:w="20" w:type="dxa"/>
            </w:tcMar>
            <w:vAlign w:val="bottom"/>
          </w:tcPr>
          <w:p w14:paraId="1D026B61"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B62"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B63" w14:textId="77777777" w:rsidR="004421F6" w:rsidRDefault="00F15622">
            <w:pPr>
              <w:jc w:val="right"/>
              <w:textAlignment w:val="bottom"/>
            </w:pPr>
            <w:r>
              <w:rPr>
                <w:rFonts w:ascii="Arial" w:eastAsia="宋体" w:hAnsi="Arial" w:cs="Arial"/>
                <w:color w:val="000000"/>
                <w:sz w:val="17"/>
                <w:szCs w:val="17"/>
              </w:rPr>
              <w:t>1,100 </w:t>
            </w:r>
          </w:p>
        </w:tc>
        <w:tc>
          <w:tcPr>
            <w:tcW w:w="0" w:type="auto"/>
            <w:tcBorders>
              <w:top w:val="single" w:sz="8" w:space="0" w:color="E87722"/>
            </w:tcBorders>
            <w:shd w:val="clear" w:color="auto" w:fill="auto"/>
            <w:tcMar>
              <w:top w:w="40" w:type="dxa"/>
              <w:bottom w:w="40" w:type="dxa"/>
              <w:right w:w="20" w:type="dxa"/>
            </w:tcMar>
            <w:vAlign w:val="bottom"/>
          </w:tcPr>
          <w:p w14:paraId="1D026B64"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B65" w14:textId="77777777" w:rsidR="004421F6" w:rsidRDefault="00F15622">
            <w:pPr>
              <w:jc w:val="right"/>
              <w:textAlignment w:val="bottom"/>
            </w:pPr>
            <w:r>
              <w:rPr>
                <w:rFonts w:ascii="Arial" w:eastAsia="宋体" w:hAnsi="Arial" w:cs="Arial"/>
                <w:color w:val="000000"/>
                <w:sz w:val="17"/>
                <w:szCs w:val="17"/>
              </w:rPr>
              <w:t>18 </w:t>
            </w:r>
          </w:p>
        </w:tc>
        <w:tc>
          <w:tcPr>
            <w:tcW w:w="0" w:type="auto"/>
            <w:tcBorders>
              <w:top w:val="single" w:sz="8" w:space="0" w:color="E87722"/>
            </w:tcBorders>
            <w:shd w:val="clear" w:color="auto" w:fill="auto"/>
            <w:tcMar>
              <w:top w:w="40" w:type="dxa"/>
              <w:bottom w:w="40" w:type="dxa"/>
              <w:right w:w="20" w:type="dxa"/>
            </w:tcMar>
            <w:vAlign w:val="bottom"/>
          </w:tcPr>
          <w:p w14:paraId="1D026B66"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B67" w14:textId="77777777" w:rsidR="004421F6" w:rsidRDefault="004421F6">
            <w:pPr>
              <w:rPr>
                <w:rFonts w:ascii="宋体"/>
              </w:rPr>
            </w:pPr>
          </w:p>
        </w:tc>
        <w:tc>
          <w:tcPr>
            <w:tcW w:w="0" w:type="auto"/>
            <w:shd w:val="clear" w:color="auto" w:fill="auto"/>
          </w:tcPr>
          <w:p w14:paraId="1D026B68" w14:textId="77777777" w:rsidR="004421F6" w:rsidRDefault="004421F6">
            <w:pPr>
              <w:rPr>
                <w:rFonts w:ascii="宋体"/>
              </w:rPr>
            </w:pPr>
          </w:p>
        </w:tc>
        <w:tc>
          <w:tcPr>
            <w:tcW w:w="0" w:type="auto"/>
            <w:shd w:val="clear" w:color="auto" w:fill="auto"/>
          </w:tcPr>
          <w:p w14:paraId="1D026B69" w14:textId="77777777" w:rsidR="004421F6" w:rsidRDefault="004421F6">
            <w:pPr>
              <w:rPr>
                <w:rFonts w:ascii="宋体"/>
              </w:rPr>
            </w:pPr>
          </w:p>
        </w:tc>
        <w:tc>
          <w:tcPr>
            <w:tcW w:w="0" w:type="auto"/>
            <w:shd w:val="clear" w:color="auto" w:fill="auto"/>
          </w:tcPr>
          <w:p w14:paraId="1D026B6A" w14:textId="77777777" w:rsidR="004421F6" w:rsidRDefault="004421F6">
            <w:pPr>
              <w:rPr>
                <w:rFonts w:ascii="宋体"/>
              </w:rPr>
            </w:pPr>
          </w:p>
        </w:tc>
        <w:tc>
          <w:tcPr>
            <w:tcW w:w="0" w:type="auto"/>
            <w:shd w:val="clear" w:color="auto" w:fill="auto"/>
          </w:tcPr>
          <w:p w14:paraId="1D026B6B" w14:textId="77777777" w:rsidR="004421F6" w:rsidRDefault="004421F6">
            <w:pPr>
              <w:rPr>
                <w:rFonts w:ascii="宋体"/>
              </w:rPr>
            </w:pPr>
          </w:p>
        </w:tc>
        <w:tc>
          <w:tcPr>
            <w:tcW w:w="0" w:type="auto"/>
            <w:shd w:val="clear" w:color="auto" w:fill="auto"/>
          </w:tcPr>
          <w:p w14:paraId="1D026B6C" w14:textId="77777777" w:rsidR="004421F6" w:rsidRDefault="004421F6">
            <w:pPr>
              <w:rPr>
                <w:rFonts w:ascii="宋体"/>
              </w:rPr>
            </w:pPr>
          </w:p>
        </w:tc>
      </w:tr>
      <w:tr w:rsidR="004421F6" w14:paraId="1D026B7B"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B6E" w14:textId="77777777" w:rsidR="004421F6" w:rsidRDefault="00F15622">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B6F" w14:textId="77777777" w:rsidR="004421F6" w:rsidRDefault="00F15622">
            <w:pPr>
              <w:jc w:val="right"/>
              <w:textAlignment w:val="bottom"/>
            </w:pPr>
            <w:r>
              <w:rPr>
                <w:rFonts w:ascii="Arial" w:eastAsia="宋体" w:hAnsi="Arial" w:cs="Arial"/>
                <w:color w:val="000000"/>
                <w:sz w:val="17"/>
                <w:szCs w:val="17"/>
              </w:rPr>
              <w:t>692 </w:t>
            </w:r>
          </w:p>
        </w:tc>
        <w:tc>
          <w:tcPr>
            <w:tcW w:w="0" w:type="auto"/>
            <w:tcBorders>
              <w:top w:val="single" w:sz="8" w:space="0" w:color="808080"/>
            </w:tcBorders>
            <w:shd w:val="clear" w:color="auto" w:fill="FFF1E7"/>
            <w:tcMar>
              <w:top w:w="40" w:type="dxa"/>
              <w:bottom w:w="40" w:type="dxa"/>
              <w:right w:w="20" w:type="dxa"/>
            </w:tcMar>
            <w:vAlign w:val="bottom"/>
          </w:tcPr>
          <w:p w14:paraId="1D026B70"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B71" w14:textId="77777777" w:rsidR="004421F6" w:rsidRDefault="00F15622">
            <w:pPr>
              <w:jc w:val="right"/>
              <w:textAlignment w:val="bottom"/>
            </w:pPr>
            <w:r>
              <w:rPr>
                <w:rFonts w:ascii="Arial" w:eastAsia="宋体" w:hAnsi="Arial" w:cs="Arial"/>
                <w:color w:val="000000"/>
                <w:sz w:val="17"/>
                <w:szCs w:val="17"/>
              </w:rPr>
              <w:t>609 </w:t>
            </w:r>
          </w:p>
        </w:tc>
        <w:tc>
          <w:tcPr>
            <w:tcW w:w="0" w:type="auto"/>
            <w:tcBorders>
              <w:top w:val="single" w:sz="8" w:space="0" w:color="808080"/>
            </w:tcBorders>
            <w:shd w:val="clear" w:color="auto" w:fill="auto"/>
            <w:tcMar>
              <w:top w:w="40" w:type="dxa"/>
              <w:bottom w:w="40" w:type="dxa"/>
              <w:right w:w="20" w:type="dxa"/>
            </w:tcMar>
            <w:vAlign w:val="bottom"/>
          </w:tcPr>
          <w:p w14:paraId="1D026B72"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B73" w14:textId="77777777" w:rsidR="004421F6" w:rsidRDefault="00F15622">
            <w:pPr>
              <w:jc w:val="right"/>
              <w:textAlignment w:val="bottom"/>
            </w:pPr>
            <w:r>
              <w:rPr>
                <w:rFonts w:ascii="Arial" w:eastAsia="宋体" w:hAnsi="Arial" w:cs="Arial"/>
                <w:color w:val="000000"/>
                <w:sz w:val="17"/>
                <w:szCs w:val="17"/>
              </w:rPr>
              <w:t>14 </w:t>
            </w:r>
          </w:p>
        </w:tc>
        <w:tc>
          <w:tcPr>
            <w:tcW w:w="0" w:type="auto"/>
            <w:tcBorders>
              <w:top w:val="single" w:sz="8" w:space="0" w:color="808080"/>
            </w:tcBorders>
            <w:shd w:val="clear" w:color="auto" w:fill="auto"/>
            <w:tcMar>
              <w:top w:w="40" w:type="dxa"/>
              <w:bottom w:w="40" w:type="dxa"/>
              <w:right w:w="20" w:type="dxa"/>
            </w:tcMar>
            <w:vAlign w:val="bottom"/>
          </w:tcPr>
          <w:p w14:paraId="1D026B74"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B75" w14:textId="77777777" w:rsidR="004421F6" w:rsidRDefault="004421F6">
            <w:pPr>
              <w:rPr>
                <w:rFonts w:ascii="宋体"/>
              </w:rPr>
            </w:pPr>
          </w:p>
        </w:tc>
        <w:tc>
          <w:tcPr>
            <w:tcW w:w="0" w:type="auto"/>
            <w:shd w:val="clear" w:color="auto" w:fill="auto"/>
          </w:tcPr>
          <w:p w14:paraId="1D026B76" w14:textId="77777777" w:rsidR="004421F6" w:rsidRDefault="004421F6">
            <w:pPr>
              <w:rPr>
                <w:rFonts w:ascii="宋体"/>
              </w:rPr>
            </w:pPr>
          </w:p>
        </w:tc>
        <w:tc>
          <w:tcPr>
            <w:tcW w:w="0" w:type="auto"/>
            <w:shd w:val="clear" w:color="auto" w:fill="auto"/>
          </w:tcPr>
          <w:p w14:paraId="1D026B77" w14:textId="77777777" w:rsidR="004421F6" w:rsidRDefault="004421F6">
            <w:pPr>
              <w:rPr>
                <w:rFonts w:ascii="宋体"/>
              </w:rPr>
            </w:pPr>
          </w:p>
        </w:tc>
        <w:tc>
          <w:tcPr>
            <w:tcW w:w="0" w:type="auto"/>
            <w:shd w:val="clear" w:color="auto" w:fill="auto"/>
          </w:tcPr>
          <w:p w14:paraId="1D026B78" w14:textId="77777777" w:rsidR="004421F6" w:rsidRDefault="004421F6">
            <w:pPr>
              <w:rPr>
                <w:rFonts w:ascii="宋体"/>
              </w:rPr>
            </w:pPr>
          </w:p>
        </w:tc>
        <w:tc>
          <w:tcPr>
            <w:tcW w:w="0" w:type="auto"/>
            <w:shd w:val="clear" w:color="auto" w:fill="auto"/>
          </w:tcPr>
          <w:p w14:paraId="1D026B79" w14:textId="77777777" w:rsidR="004421F6" w:rsidRDefault="004421F6">
            <w:pPr>
              <w:rPr>
                <w:rFonts w:ascii="宋体"/>
              </w:rPr>
            </w:pPr>
          </w:p>
        </w:tc>
        <w:tc>
          <w:tcPr>
            <w:tcW w:w="0" w:type="auto"/>
            <w:shd w:val="clear" w:color="auto" w:fill="auto"/>
          </w:tcPr>
          <w:p w14:paraId="1D026B7A" w14:textId="77777777" w:rsidR="004421F6" w:rsidRDefault="004421F6">
            <w:pPr>
              <w:rPr>
                <w:rFonts w:ascii="宋体"/>
              </w:rPr>
            </w:pPr>
          </w:p>
        </w:tc>
      </w:tr>
      <w:tr w:rsidR="004421F6" w14:paraId="1D026B8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B7C" w14:textId="77777777" w:rsidR="004421F6" w:rsidRDefault="00F15622">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B7D" w14:textId="77777777" w:rsidR="004421F6" w:rsidRDefault="00F15622">
            <w:pPr>
              <w:jc w:val="right"/>
              <w:textAlignment w:val="bottom"/>
            </w:pPr>
            <w:r>
              <w:rPr>
                <w:rFonts w:ascii="Arial" w:eastAsia="宋体" w:hAnsi="Arial" w:cs="Arial"/>
                <w:color w:val="000000"/>
                <w:sz w:val="17"/>
                <w:szCs w:val="17"/>
              </w:rPr>
              <w:t>688 </w:t>
            </w:r>
          </w:p>
        </w:tc>
        <w:tc>
          <w:tcPr>
            <w:tcW w:w="0" w:type="auto"/>
            <w:tcBorders>
              <w:top w:val="single" w:sz="8" w:space="0" w:color="808080"/>
            </w:tcBorders>
            <w:shd w:val="clear" w:color="auto" w:fill="FFF1E7"/>
            <w:tcMar>
              <w:top w:w="40" w:type="dxa"/>
              <w:bottom w:w="40" w:type="dxa"/>
              <w:right w:w="20" w:type="dxa"/>
            </w:tcMar>
            <w:vAlign w:val="bottom"/>
          </w:tcPr>
          <w:p w14:paraId="1D026B7E"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B7F" w14:textId="77777777" w:rsidR="004421F6" w:rsidRDefault="00F15622">
            <w:pPr>
              <w:jc w:val="right"/>
              <w:textAlignment w:val="bottom"/>
            </w:pPr>
            <w:r>
              <w:rPr>
                <w:rFonts w:ascii="Arial" w:eastAsia="宋体" w:hAnsi="Arial" w:cs="Arial"/>
                <w:color w:val="000000"/>
                <w:sz w:val="17"/>
                <w:szCs w:val="17"/>
              </w:rPr>
              <w:t>669 </w:t>
            </w:r>
          </w:p>
        </w:tc>
        <w:tc>
          <w:tcPr>
            <w:tcW w:w="0" w:type="auto"/>
            <w:tcBorders>
              <w:top w:val="single" w:sz="8" w:space="0" w:color="808080"/>
            </w:tcBorders>
            <w:shd w:val="clear" w:color="auto" w:fill="auto"/>
            <w:tcMar>
              <w:top w:w="40" w:type="dxa"/>
              <w:bottom w:w="40" w:type="dxa"/>
              <w:right w:w="20" w:type="dxa"/>
            </w:tcMar>
            <w:vAlign w:val="bottom"/>
          </w:tcPr>
          <w:p w14:paraId="1D026B80"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B81" w14:textId="77777777" w:rsidR="004421F6" w:rsidRDefault="00F1562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bottom w:w="40" w:type="dxa"/>
              <w:right w:w="20" w:type="dxa"/>
            </w:tcMar>
            <w:vAlign w:val="bottom"/>
          </w:tcPr>
          <w:p w14:paraId="1D026B82"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B83" w14:textId="77777777" w:rsidR="004421F6" w:rsidRDefault="004421F6">
            <w:pPr>
              <w:rPr>
                <w:rFonts w:ascii="宋体"/>
              </w:rPr>
            </w:pPr>
          </w:p>
        </w:tc>
        <w:tc>
          <w:tcPr>
            <w:tcW w:w="0" w:type="auto"/>
            <w:shd w:val="clear" w:color="auto" w:fill="auto"/>
          </w:tcPr>
          <w:p w14:paraId="1D026B84" w14:textId="77777777" w:rsidR="004421F6" w:rsidRDefault="004421F6">
            <w:pPr>
              <w:rPr>
                <w:rFonts w:ascii="宋体"/>
              </w:rPr>
            </w:pPr>
          </w:p>
        </w:tc>
        <w:tc>
          <w:tcPr>
            <w:tcW w:w="0" w:type="auto"/>
            <w:shd w:val="clear" w:color="auto" w:fill="auto"/>
          </w:tcPr>
          <w:p w14:paraId="1D026B85" w14:textId="77777777" w:rsidR="004421F6" w:rsidRDefault="004421F6">
            <w:pPr>
              <w:rPr>
                <w:rFonts w:ascii="宋体"/>
              </w:rPr>
            </w:pPr>
          </w:p>
        </w:tc>
        <w:tc>
          <w:tcPr>
            <w:tcW w:w="0" w:type="auto"/>
            <w:shd w:val="clear" w:color="auto" w:fill="auto"/>
          </w:tcPr>
          <w:p w14:paraId="1D026B86" w14:textId="77777777" w:rsidR="004421F6" w:rsidRDefault="004421F6">
            <w:pPr>
              <w:rPr>
                <w:rFonts w:ascii="宋体"/>
              </w:rPr>
            </w:pPr>
          </w:p>
        </w:tc>
        <w:tc>
          <w:tcPr>
            <w:tcW w:w="0" w:type="auto"/>
            <w:shd w:val="clear" w:color="auto" w:fill="auto"/>
          </w:tcPr>
          <w:p w14:paraId="1D026B87" w14:textId="77777777" w:rsidR="004421F6" w:rsidRDefault="004421F6">
            <w:pPr>
              <w:rPr>
                <w:rFonts w:ascii="宋体"/>
              </w:rPr>
            </w:pPr>
          </w:p>
        </w:tc>
        <w:tc>
          <w:tcPr>
            <w:tcW w:w="0" w:type="auto"/>
            <w:shd w:val="clear" w:color="auto" w:fill="auto"/>
          </w:tcPr>
          <w:p w14:paraId="1D026B88" w14:textId="77777777" w:rsidR="004421F6" w:rsidRDefault="004421F6">
            <w:pPr>
              <w:rPr>
                <w:rFonts w:ascii="宋体"/>
              </w:rPr>
            </w:pPr>
          </w:p>
        </w:tc>
      </w:tr>
      <w:tr w:rsidR="004421F6" w14:paraId="1D026B9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B8A" w14:textId="77777777" w:rsidR="004421F6" w:rsidRDefault="00F15622">
            <w:pPr>
              <w:textAlignment w:val="bottom"/>
            </w:pPr>
            <w:r>
              <w:rPr>
                <w:rFonts w:ascii="Arial" w:eastAsia="宋体" w:hAnsi="Arial" w:cs="Arial"/>
                <w:color w:val="000000"/>
                <w:sz w:val="17"/>
                <w:szCs w:val="17"/>
              </w:rPr>
              <w:t>Asia Pacific &amp; Latin America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B8B" w14:textId="77777777" w:rsidR="004421F6" w:rsidRDefault="00F15622">
            <w:pPr>
              <w:jc w:val="right"/>
              <w:textAlignment w:val="bottom"/>
            </w:pPr>
            <w:r>
              <w:rPr>
                <w:rFonts w:ascii="Arial" w:eastAsia="宋体" w:hAnsi="Arial" w:cs="Arial"/>
                <w:color w:val="000000"/>
                <w:sz w:val="17"/>
                <w:szCs w:val="17"/>
              </w:rPr>
              <w:t>280 </w:t>
            </w:r>
          </w:p>
        </w:tc>
        <w:tc>
          <w:tcPr>
            <w:tcW w:w="0" w:type="auto"/>
            <w:tcBorders>
              <w:top w:val="single" w:sz="8" w:space="0" w:color="808080"/>
            </w:tcBorders>
            <w:shd w:val="clear" w:color="auto" w:fill="FFF1E7"/>
            <w:tcMar>
              <w:top w:w="40" w:type="dxa"/>
              <w:bottom w:w="40" w:type="dxa"/>
              <w:right w:w="20" w:type="dxa"/>
            </w:tcMar>
            <w:vAlign w:val="bottom"/>
          </w:tcPr>
          <w:p w14:paraId="1D026B8C"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B8D" w14:textId="77777777" w:rsidR="004421F6" w:rsidRDefault="00F15622">
            <w:pPr>
              <w:jc w:val="right"/>
              <w:textAlignment w:val="bottom"/>
            </w:pPr>
            <w:r>
              <w:rPr>
                <w:rFonts w:ascii="Arial" w:eastAsia="宋体" w:hAnsi="Arial" w:cs="Arial"/>
                <w:color w:val="000000"/>
                <w:sz w:val="17"/>
                <w:szCs w:val="17"/>
              </w:rPr>
              <w:t>341 </w:t>
            </w:r>
          </w:p>
        </w:tc>
        <w:tc>
          <w:tcPr>
            <w:tcW w:w="0" w:type="auto"/>
            <w:tcBorders>
              <w:top w:val="single" w:sz="8" w:space="0" w:color="808080"/>
            </w:tcBorders>
            <w:shd w:val="clear" w:color="auto" w:fill="auto"/>
            <w:tcMar>
              <w:top w:w="40" w:type="dxa"/>
              <w:bottom w:w="40" w:type="dxa"/>
              <w:right w:w="20" w:type="dxa"/>
            </w:tcMar>
            <w:vAlign w:val="bottom"/>
          </w:tcPr>
          <w:p w14:paraId="1D026B8E"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B8F" w14:textId="77777777" w:rsidR="004421F6" w:rsidRDefault="00F15622">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auto"/>
            <w:tcMar>
              <w:top w:w="40" w:type="dxa"/>
              <w:bottom w:w="40" w:type="dxa"/>
              <w:right w:w="20" w:type="dxa"/>
            </w:tcMar>
            <w:vAlign w:val="bottom"/>
          </w:tcPr>
          <w:p w14:paraId="1D026B90"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B91" w14:textId="77777777" w:rsidR="004421F6" w:rsidRDefault="004421F6">
            <w:pPr>
              <w:rPr>
                <w:rFonts w:ascii="宋体"/>
              </w:rPr>
            </w:pPr>
          </w:p>
        </w:tc>
        <w:tc>
          <w:tcPr>
            <w:tcW w:w="0" w:type="auto"/>
            <w:shd w:val="clear" w:color="auto" w:fill="auto"/>
          </w:tcPr>
          <w:p w14:paraId="1D026B92" w14:textId="77777777" w:rsidR="004421F6" w:rsidRDefault="004421F6">
            <w:pPr>
              <w:rPr>
                <w:rFonts w:ascii="宋体"/>
              </w:rPr>
            </w:pPr>
          </w:p>
        </w:tc>
        <w:tc>
          <w:tcPr>
            <w:tcW w:w="0" w:type="auto"/>
            <w:shd w:val="clear" w:color="auto" w:fill="auto"/>
          </w:tcPr>
          <w:p w14:paraId="1D026B93" w14:textId="77777777" w:rsidR="004421F6" w:rsidRDefault="004421F6">
            <w:pPr>
              <w:rPr>
                <w:rFonts w:ascii="宋体"/>
              </w:rPr>
            </w:pPr>
          </w:p>
        </w:tc>
        <w:tc>
          <w:tcPr>
            <w:tcW w:w="0" w:type="auto"/>
            <w:shd w:val="clear" w:color="auto" w:fill="auto"/>
          </w:tcPr>
          <w:p w14:paraId="1D026B94" w14:textId="77777777" w:rsidR="004421F6" w:rsidRDefault="004421F6">
            <w:pPr>
              <w:rPr>
                <w:rFonts w:ascii="宋体"/>
              </w:rPr>
            </w:pPr>
          </w:p>
        </w:tc>
        <w:tc>
          <w:tcPr>
            <w:tcW w:w="0" w:type="auto"/>
            <w:shd w:val="clear" w:color="auto" w:fill="auto"/>
          </w:tcPr>
          <w:p w14:paraId="1D026B95" w14:textId="77777777" w:rsidR="004421F6" w:rsidRDefault="004421F6">
            <w:pPr>
              <w:rPr>
                <w:rFonts w:ascii="宋体"/>
              </w:rPr>
            </w:pPr>
          </w:p>
        </w:tc>
        <w:tc>
          <w:tcPr>
            <w:tcW w:w="0" w:type="auto"/>
            <w:shd w:val="clear" w:color="auto" w:fill="auto"/>
          </w:tcPr>
          <w:p w14:paraId="1D026B96" w14:textId="77777777" w:rsidR="004421F6" w:rsidRDefault="004421F6">
            <w:pPr>
              <w:rPr>
                <w:rFonts w:ascii="宋体"/>
              </w:rPr>
            </w:pPr>
          </w:p>
        </w:tc>
      </w:tr>
      <w:tr w:rsidR="004421F6" w14:paraId="1D026BA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B98" w14:textId="77777777" w:rsidR="004421F6" w:rsidRDefault="00F15622">
            <w:pPr>
              <w:textAlignment w:val="bottom"/>
            </w:pPr>
            <w:r>
              <w:rPr>
                <w:rFonts w:ascii="Arial" w:eastAsia="宋体" w:hAnsi="Arial" w:cs="Arial"/>
                <w:color w:val="000000"/>
                <w:sz w:val="17"/>
                <w:szCs w:val="17"/>
              </w:rPr>
              <w:t>Global Brand 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B99" w14:textId="77777777" w:rsidR="004421F6" w:rsidRDefault="00F15622">
            <w:pPr>
              <w:jc w:val="right"/>
              <w:textAlignment w:val="bottom"/>
            </w:pPr>
            <w:r>
              <w:rPr>
                <w:rFonts w:ascii="Arial" w:eastAsia="宋体" w:hAnsi="Arial" w:cs="Arial"/>
                <w:color w:val="000000"/>
                <w:sz w:val="17"/>
                <w:szCs w:val="17"/>
              </w:rPr>
              <w:t>(853)</w:t>
            </w:r>
          </w:p>
        </w:tc>
        <w:tc>
          <w:tcPr>
            <w:tcW w:w="0" w:type="auto"/>
            <w:tcBorders>
              <w:top w:val="single" w:sz="8" w:space="0" w:color="808080"/>
            </w:tcBorders>
            <w:shd w:val="clear" w:color="auto" w:fill="FFF1E7"/>
            <w:tcMar>
              <w:top w:w="40" w:type="dxa"/>
              <w:bottom w:w="40" w:type="dxa"/>
              <w:right w:w="20" w:type="dxa"/>
            </w:tcMar>
            <w:vAlign w:val="bottom"/>
          </w:tcPr>
          <w:p w14:paraId="1D026B9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B9B" w14:textId="77777777" w:rsidR="004421F6" w:rsidRDefault="00F15622">
            <w:pPr>
              <w:jc w:val="right"/>
              <w:textAlignment w:val="bottom"/>
            </w:pPr>
            <w:r>
              <w:rPr>
                <w:rFonts w:ascii="Arial" w:eastAsia="宋体" w:hAnsi="Arial" w:cs="Arial"/>
                <w:color w:val="000000"/>
                <w:sz w:val="17"/>
                <w:szCs w:val="17"/>
              </w:rPr>
              <w:t>(857)</w:t>
            </w:r>
          </w:p>
        </w:tc>
        <w:tc>
          <w:tcPr>
            <w:tcW w:w="0" w:type="auto"/>
            <w:tcBorders>
              <w:top w:val="single" w:sz="8" w:space="0" w:color="808080"/>
            </w:tcBorders>
            <w:shd w:val="clear" w:color="auto" w:fill="auto"/>
            <w:tcMar>
              <w:top w:w="40" w:type="dxa"/>
              <w:bottom w:w="40" w:type="dxa"/>
              <w:right w:w="20" w:type="dxa"/>
            </w:tcMar>
            <w:vAlign w:val="bottom"/>
          </w:tcPr>
          <w:p w14:paraId="1D026B9C"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B9D" w14:textId="77777777" w:rsidR="004421F6" w:rsidRDefault="00F15622">
            <w:pPr>
              <w:jc w:val="right"/>
              <w:textAlignment w:val="bottom"/>
            </w:pPr>
            <w:r>
              <w:rPr>
                <w:rFonts w:ascii="Arial" w:eastAsia="宋体" w:hAnsi="Arial" w:cs="Arial"/>
                <w:color w:val="000000"/>
                <w:sz w:val="17"/>
                <w:szCs w:val="17"/>
              </w:rPr>
              <w:t>0 </w:t>
            </w:r>
          </w:p>
        </w:tc>
        <w:tc>
          <w:tcPr>
            <w:tcW w:w="0" w:type="auto"/>
            <w:tcBorders>
              <w:top w:val="single" w:sz="8" w:space="0" w:color="808080"/>
            </w:tcBorders>
            <w:shd w:val="clear" w:color="auto" w:fill="auto"/>
            <w:tcMar>
              <w:top w:w="40" w:type="dxa"/>
              <w:bottom w:w="40" w:type="dxa"/>
              <w:right w:w="20" w:type="dxa"/>
            </w:tcMar>
            <w:vAlign w:val="bottom"/>
          </w:tcPr>
          <w:p w14:paraId="1D026B9E"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B9F" w14:textId="77777777" w:rsidR="004421F6" w:rsidRDefault="004421F6">
            <w:pPr>
              <w:rPr>
                <w:rFonts w:ascii="宋体"/>
              </w:rPr>
            </w:pPr>
          </w:p>
        </w:tc>
        <w:tc>
          <w:tcPr>
            <w:tcW w:w="0" w:type="auto"/>
            <w:shd w:val="clear" w:color="auto" w:fill="auto"/>
          </w:tcPr>
          <w:p w14:paraId="1D026BA0" w14:textId="77777777" w:rsidR="004421F6" w:rsidRDefault="004421F6">
            <w:pPr>
              <w:rPr>
                <w:rFonts w:ascii="宋体"/>
              </w:rPr>
            </w:pPr>
          </w:p>
        </w:tc>
        <w:tc>
          <w:tcPr>
            <w:tcW w:w="0" w:type="auto"/>
            <w:shd w:val="clear" w:color="auto" w:fill="auto"/>
          </w:tcPr>
          <w:p w14:paraId="1D026BA1" w14:textId="77777777" w:rsidR="004421F6" w:rsidRDefault="004421F6">
            <w:pPr>
              <w:rPr>
                <w:rFonts w:ascii="宋体"/>
              </w:rPr>
            </w:pPr>
          </w:p>
        </w:tc>
        <w:tc>
          <w:tcPr>
            <w:tcW w:w="0" w:type="auto"/>
            <w:shd w:val="clear" w:color="auto" w:fill="auto"/>
          </w:tcPr>
          <w:p w14:paraId="1D026BA2" w14:textId="77777777" w:rsidR="004421F6" w:rsidRDefault="004421F6">
            <w:pPr>
              <w:rPr>
                <w:rFonts w:ascii="宋体"/>
              </w:rPr>
            </w:pPr>
          </w:p>
        </w:tc>
        <w:tc>
          <w:tcPr>
            <w:tcW w:w="0" w:type="auto"/>
            <w:shd w:val="clear" w:color="auto" w:fill="auto"/>
          </w:tcPr>
          <w:p w14:paraId="1D026BA3" w14:textId="77777777" w:rsidR="004421F6" w:rsidRDefault="004421F6">
            <w:pPr>
              <w:rPr>
                <w:rFonts w:ascii="宋体"/>
              </w:rPr>
            </w:pPr>
          </w:p>
        </w:tc>
        <w:tc>
          <w:tcPr>
            <w:tcW w:w="0" w:type="auto"/>
            <w:shd w:val="clear" w:color="auto" w:fill="auto"/>
          </w:tcPr>
          <w:p w14:paraId="1D026BA4" w14:textId="77777777" w:rsidR="004421F6" w:rsidRDefault="004421F6">
            <w:pPr>
              <w:rPr>
                <w:rFonts w:ascii="宋体"/>
              </w:rPr>
            </w:pPr>
          </w:p>
        </w:tc>
      </w:tr>
      <w:tr w:rsidR="004421F6" w14:paraId="1D026BB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BA6" w14:textId="77777777" w:rsidR="004421F6" w:rsidRDefault="00F15622">
            <w:pPr>
              <w:textAlignment w:val="bottom"/>
            </w:pPr>
            <w:r>
              <w:rPr>
                <w:rFonts w:ascii="Arial" w:eastAsia="宋体" w:hAnsi="Arial" w:cs="Arial"/>
                <w:b/>
                <w:bCs/>
                <w:color w:val="000000"/>
                <w:sz w:val="17"/>
                <w:szCs w:val="17"/>
              </w:rPr>
              <w:t>TOTAL NIKE BRAND</w:t>
            </w:r>
            <w:r>
              <w:rPr>
                <w:rFonts w:ascii="Arial" w:eastAsia="宋体" w:hAnsi="Arial" w:cs="Arial"/>
                <w:color w:val="000000"/>
                <w:sz w:val="9"/>
                <w:szCs w:val="9"/>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6BA7" w14:textId="77777777" w:rsidR="004421F6" w:rsidRDefault="00F15622">
            <w:pPr>
              <w:jc w:val="right"/>
              <w:textAlignment w:val="bottom"/>
            </w:pPr>
            <w:r>
              <w:rPr>
                <w:rFonts w:ascii="Arial" w:eastAsia="宋体" w:hAnsi="Arial" w:cs="Arial"/>
                <w:b/>
                <w:bCs/>
                <w:color w:val="000000"/>
                <w:sz w:val="17"/>
                <w:szCs w:val="17"/>
              </w:rPr>
              <w:t>2,109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BA8"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BA9" w14:textId="77777777" w:rsidR="004421F6" w:rsidRDefault="00F15622">
            <w:pPr>
              <w:jc w:val="right"/>
              <w:textAlignment w:val="bottom"/>
            </w:pPr>
            <w:r>
              <w:rPr>
                <w:rFonts w:ascii="Arial" w:eastAsia="宋体" w:hAnsi="Arial" w:cs="Arial"/>
                <w:b/>
                <w:bCs/>
                <w:color w:val="000000"/>
                <w:sz w:val="17"/>
                <w:szCs w:val="17"/>
              </w:rPr>
              <w:t>1,862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BAA"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BAB" w14:textId="77777777" w:rsidR="004421F6" w:rsidRDefault="00F15622">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BAC"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6BAD" w14:textId="77777777" w:rsidR="004421F6" w:rsidRDefault="004421F6">
            <w:pPr>
              <w:rPr>
                <w:rFonts w:ascii="宋体"/>
              </w:rPr>
            </w:pPr>
          </w:p>
        </w:tc>
        <w:tc>
          <w:tcPr>
            <w:tcW w:w="0" w:type="auto"/>
            <w:shd w:val="clear" w:color="auto" w:fill="auto"/>
          </w:tcPr>
          <w:p w14:paraId="1D026BAE" w14:textId="77777777" w:rsidR="004421F6" w:rsidRDefault="004421F6">
            <w:pPr>
              <w:rPr>
                <w:rFonts w:ascii="宋体"/>
              </w:rPr>
            </w:pPr>
          </w:p>
        </w:tc>
        <w:tc>
          <w:tcPr>
            <w:tcW w:w="0" w:type="auto"/>
            <w:shd w:val="clear" w:color="auto" w:fill="auto"/>
          </w:tcPr>
          <w:p w14:paraId="1D026BAF" w14:textId="77777777" w:rsidR="004421F6" w:rsidRDefault="004421F6">
            <w:pPr>
              <w:rPr>
                <w:rFonts w:ascii="宋体"/>
              </w:rPr>
            </w:pPr>
          </w:p>
        </w:tc>
        <w:tc>
          <w:tcPr>
            <w:tcW w:w="0" w:type="auto"/>
            <w:shd w:val="clear" w:color="auto" w:fill="auto"/>
          </w:tcPr>
          <w:p w14:paraId="1D026BB0" w14:textId="77777777" w:rsidR="004421F6" w:rsidRDefault="004421F6">
            <w:pPr>
              <w:rPr>
                <w:rFonts w:ascii="宋体"/>
              </w:rPr>
            </w:pPr>
          </w:p>
        </w:tc>
        <w:tc>
          <w:tcPr>
            <w:tcW w:w="0" w:type="auto"/>
            <w:shd w:val="clear" w:color="auto" w:fill="auto"/>
          </w:tcPr>
          <w:p w14:paraId="1D026BB1" w14:textId="77777777" w:rsidR="004421F6" w:rsidRDefault="004421F6">
            <w:pPr>
              <w:rPr>
                <w:rFonts w:ascii="宋体"/>
              </w:rPr>
            </w:pPr>
          </w:p>
        </w:tc>
        <w:tc>
          <w:tcPr>
            <w:tcW w:w="0" w:type="auto"/>
            <w:shd w:val="clear" w:color="auto" w:fill="auto"/>
          </w:tcPr>
          <w:p w14:paraId="1D026BB2" w14:textId="77777777" w:rsidR="004421F6" w:rsidRDefault="004421F6">
            <w:pPr>
              <w:rPr>
                <w:rFonts w:ascii="宋体"/>
              </w:rPr>
            </w:pPr>
          </w:p>
        </w:tc>
      </w:tr>
      <w:tr w:rsidR="004421F6" w14:paraId="1D026BC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BB4" w14:textId="77777777" w:rsidR="004421F6" w:rsidRDefault="00F15622">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6BB5" w14:textId="77777777" w:rsidR="004421F6" w:rsidRDefault="00F15622">
            <w:pPr>
              <w:jc w:val="right"/>
              <w:textAlignment w:val="bottom"/>
            </w:pPr>
            <w:r>
              <w:rPr>
                <w:rFonts w:ascii="Arial" w:eastAsia="宋体" w:hAnsi="Arial" w:cs="Arial"/>
                <w:color w:val="000000"/>
                <w:sz w:val="17"/>
                <w:szCs w:val="17"/>
              </w:rPr>
              <w:t>168 </w:t>
            </w:r>
          </w:p>
        </w:tc>
        <w:tc>
          <w:tcPr>
            <w:tcW w:w="0" w:type="auto"/>
            <w:tcBorders>
              <w:top w:val="single" w:sz="8" w:space="0" w:color="E87722"/>
            </w:tcBorders>
            <w:shd w:val="clear" w:color="auto" w:fill="FFF1E7"/>
            <w:tcMar>
              <w:top w:w="40" w:type="dxa"/>
              <w:bottom w:w="40" w:type="dxa"/>
              <w:right w:w="20" w:type="dxa"/>
            </w:tcMar>
            <w:vAlign w:val="bottom"/>
          </w:tcPr>
          <w:p w14:paraId="1D026BB6"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BB7" w14:textId="77777777" w:rsidR="004421F6" w:rsidRDefault="00F15622">
            <w:pPr>
              <w:jc w:val="right"/>
              <w:textAlignment w:val="bottom"/>
            </w:pPr>
            <w:r>
              <w:rPr>
                <w:rFonts w:ascii="Arial" w:eastAsia="宋体" w:hAnsi="Arial" w:cs="Arial"/>
                <w:color w:val="000000"/>
                <w:sz w:val="17"/>
                <w:szCs w:val="17"/>
              </w:rPr>
              <w:t>138 </w:t>
            </w:r>
          </w:p>
        </w:tc>
        <w:tc>
          <w:tcPr>
            <w:tcW w:w="0" w:type="auto"/>
            <w:tcBorders>
              <w:top w:val="single" w:sz="8" w:space="0" w:color="E87722"/>
            </w:tcBorders>
            <w:shd w:val="clear" w:color="auto" w:fill="auto"/>
            <w:tcMar>
              <w:top w:w="40" w:type="dxa"/>
              <w:bottom w:w="40" w:type="dxa"/>
              <w:right w:w="20" w:type="dxa"/>
            </w:tcMar>
            <w:vAlign w:val="bottom"/>
          </w:tcPr>
          <w:p w14:paraId="1D026BB8"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BB9" w14:textId="77777777" w:rsidR="004421F6" w:rsidRDefault="00F15622">
            <w:pPr>
              <w:jc w:val="right"/>
              <w:textAlignment w:val="bottom"/>
            </w:pPr>
            <w:r>
              <w:rPr>
                <w:rFonts w:ascii="Arial" w:eastAsia="宋体" w:hAnsi="Arial" w:cs="Arial"/>
                <w:color w:val="000000"/>
                <w:sz w:val="17"/>
                <w:szCs w:val="17"/>
              </w:rPr>
              <w:t>22 </w:t>
            </w:r>
          </w:p>
        </w:tc>
        <w:tc>
          <w:tcPr>
            <w:tcW w:w="0" w:type="auto"/>
            <w:tcBorders>
              <w:top w:val="single" w:sz="8" w:space="0" w:color="E87722"/>
            </w:tcBorders>
            <w:shd w:val="clear" w:color="auto" w:fill="auto"/>
            <w:tcMar>
              <w:top w:w="40" w:type="dxa"/>
              <w:bottom w:w="40" w:type="dxa"/>
              <w:right w:w="20" w:type="dxa"/>
            </w:tcMar>
            <w:vAlign w:val="bottom"/>
          </w:tcPr>
          <w:p w14:paraId="1D026BBA"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BBB" w14:textId="77777777" w:rsidR="004421F6" w:rsidRDefault="004421F6">
            <w:pPr>
              <w:rPr>
                <w:rFonts w:ascii="宋体"/>
              </w:rPr>
            </w:pPr>
          </w:p>
        </w:tc>
        <w:tc>
          <w:tcPr>
            <w:tcW w:w="0" w:type="auto"/>
            <w:shd w:val="clear" w:color="auto" w:fill="auto"/>
          </w:tcPr>
          <w:p w14:paraId="1D026BBC" w14:textId="77777777" w:rsidR="004421F6" w:rsidRDefault="004421F6">
            <w:pPr>
              <w:rPr>
                <w:rFonts w:ascii="宋体"/>
              </w:rPr>
            </w:pPr>
          </w:p>
        </w:tc>
        <w:tc>
          <w:tcPr>
            <w:tcW w:w="0" w:type="auto"/>
            <w:shd w:val="clear" w:color="auto" w:fill="auto"/>
          </w:tcPr>
          <w:p w14:paraId="1D026BBD" w14:textId="77777777" w:rsidR="004421F6" w:rsidRDefault="004421F6">
            <w:pPr>
              <w:rPr>
                <w:rFonts w:ascii="宋体"/>
              </w:rPr>
            </w:pPr>
          </w:p>
        </w:tc>
        <w:tc>
          <w:tcPr>
            <w:tcW w:w="0" w:type="auto"/>
            <w:shd w:val="clear" w:color="auto" w:fill="auto"/>
          </w:tcPr>
          <w:p w14:paraId="1D026BBE" w14:textId="77777777" w:rsidR="004421F6" w:rsidRDefault="004421F6">
            <w:pPr>
              <w:rPr>
                <w:rFonts w:ascii="宋体"/>
              </w:rPr>
            </w:pPr>
          </w:p>
        </w:tc>
        <w:tc>
          <w:tcPr>
            <w:tcW w:w="0" w:type="auto"/>
            <w:shd w:val="clear" w:color="auto" w:fill="auto"/>
          </w:tcPr>
          <w:p w14:paraId="1D026BBF" w14:textId="77777777" w:rsidR="004421F6" w:rsidRDefault="004421F6">
            <w:pPr>
              <w:rPr>
                <w:rFonts w:ascii="宋体"/>
              </w:rPr>
            </w:pPr>
          </w:p>
        </w:tc>
        <w:tc>
          <w:tcPr>
            <w:tcW w:w="0" w:type="auto"/>
            <w:shd w:val="clear" w:color="auto" w:fill="auto"/>
          </w:tcPr>
          <w:p w14:paraId="1D026BC0" w14:textId="77777777" w:rsidR="004421F6" w:rsidRDefault="004421F6">
            <w:pPr>
              <w:rPr>
                <w:rFonts w:ascii="宋体"/>
              </w:rPr>
            </w:pPr>
          </w:p>
        </w:tc>
      </w:tr>
      <w:tr w:rsidR="004421F6" w14:paraId="1D026BCF"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6BC2" w14:textId="77777777" w:rsidR="004421F6" w:rsidRDefault="00F15622">
            <w:pPr>
              <w:textAlignment w:val="bottom"/>
            </w:pPr>
            <w:r>
              <w:rPr>
                <w:rFonts w:ascii="Arial" w:eastAsia="宋体" w:hAnsi="Arial" w:cs="Arial"/>
                <w:color w:val="000000"/>
                <w:sz w:val="17"/>
                <w:szCs w:val="17"/>
              </w:rPr>
              <w:t>Corporate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BC3" w14:textId="77777777" w:rsidR="004421F6" w:rsidRDefault="00F15622">
            <w:pPr>
              <w:jc w:val="right"/>
              <w:textAlignment w:val="bottom"/>
            </w:pPr>
            <w:r>
              <w:rPr>
                <w:rFonts w:ascii="Arial" w:eastAsia="宋体" w:hAnsi="Arial" w:cs="Arial"/>
                <w:color w:val="000000"/>
                <w:sz w:val="17"/>
                <w:szCs w:val="17"/>
              </w:rPr>
              <w:t>(497)</w:t>
            </w:r>
          </w:p>
        </w:tc>
        <w:tc>
          <w:tcPr>
            <w:tcW w:w="0" w:type="auto"/>
            <w:tcBorders>
              <w:top w:val="single" w:sz="8" w:space="0" w:color="808080"/>
            </w:tcBorders>
            <w:shd w:val="clear" w:color="auto" w:fill="FFF1E7"/>
            <w:tcMar>
              <w:top w:w="40" w:type="dxa"/>
              <w:bottom w:w="40" w:type="dxa"/>
              <w:right w:w="20" w:type="dxa"/>
            </w:tcMar>
            <w:vAlign w:val="bottom"/>
          </w:tcPr>
          <w:p w14:paraId="1D026BC4"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BC5" w14:textId="77777777" w:rsidR="004421F6" w:rsidRDefault="00F15622">
            <w:pPr>
              <w:jc w:val="right"/>
              <w:textAlignment w:val="bottom"/>
            </w:pPr>
            <w:r>
              <w:rPr>
                <w:rFonts w:ascii="Arial" w:eastAsia="宋体" w:hAnsi="Arial" w:cs="Arial"/>
                <w:color w:val="000000"/>
                <w:sz w:val="17"/>
                <w:szCs w:val="17"/>
              </w:rPr>
              <w:t>(424)</w:t>
            </w:r>
          </w:p>
        </w:tc>
        <w:tc>
          <w:tcPr>
            <w:tcW w:w="0" w:type="auto"/>
            <w:tcBorders>
              <w:top w:val="single" w:sz="8" w:space="0" w:color="808080"/>
            </w:tcBorders>
            <w:shd w:val="clear" w:color="auto" w:fill="auto"/>
            <w:tcMar>
              <w:top w:w="40" w:type="dxa"/>
              <w:bottom w:w="40" w:type="dxa"/>
              <w:right w:w="20" w:type="dxa"/>
            </w:tcMar>
            <w:vAlign w:val="bottom"/>
          </w:tcPr>
          <w:p w14:paraId="1D026BC6"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BC7" w14:textId="77777777" w:rsidR="004421F6" w:rsidRDefault="00F15622">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bottom w:w="40" w:type="dxa"/>
              <w:right w:w="20" w:type="dxa"/>
            </w:tcMar>
            <w:vAlign w:val="bottom"/>
          </w:tcPr>
          <w:p w14:paraId="1D026BC8"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BC9" w14:textId="77777777" w:rsidR="004421F6" w:rsidRDefault="004421F6">
            <w:pPr>
              <w:rPr>
                <w:rFonts w:ascii="宋体"/>
              </w:rPr>
            </w:pPr>
          </w:p>
        </w:tc>
        <w:tc>
          <w:tcPr>
            <w:tcW w:w="0" w:type="auto"/>
            <w:shd w:val="clear" w:color="auto" w:fill="auto"/>
          </w:tcPr>
          <w:p w14:paraId="1D026BCA" w14:textId="77777777" w:rsidR="004421F6" w:rsidRDefault="004421F6">
            <w:pPr>
              <w:rPr>
                <w:rFonts w:ascii="宋体"/>
              </w:rPr>
            </w:pPr>
          </w:p>
        </w:tc>
        <w:tc>
          <w:tcPr>
            <w:tcW w:w="0" w:type="auto"/>
            <w:shd w:val="clear" w:color="auto" w:fill="auto"/>
          </w:tcPr>
          <w:p w14:paraId="1D026BCB" w14:textId="77777777" w:rsidR="004421F6" w:rsidRDefault="004421F6">
            <w:pPr>
              <w:rPr>
                <w:rFonts w:ascii="宋体"/>
              </w:rPr>
            </w:pPr>
          </w:p>
        </w:tc>
        <w:tc>
          <w:tcPr>
            <w:tcW w:w="0" w:type="auto"/>
            <w:shd w:val="clear" w:color="auto" w:fill="auto"/>
          </w:tcPr>
          <w:p w14:paraId="1D026BCC" w14:textId="77777777" w:rsidR="004421F6" w:rsidRDefault="004421F6">
            <w:pPr>
              <w:rPr>
                <w:rFonts w:ascii="宋体"/>
              </w:rPr>
            </w:pPr>
          </w:p>
        </w:tc>
        <w:tc>
          <w:tcPr>
            <w:tcW w:w="0" w:type="auto"/>
            <w:shd w:val="clear" w:color="auto" w:fill="auto"/>
          </w:tcPr>
          <w:p w14:paraId="1D026BCD" w14:textId="77777777" w:rsidR="004421F6" w:rsidRDefault="004421F6">
            <w:pPr>
              <w:rPr>
                <w:rFonts w:ascii="宋体"/>
              </w:rPr>
            </w:pPr>
          </w:p>
        </w:tc>
        <w:tc>
          <w:tcPr>
            <w:tcW w:w="0" w:type="auto"/>
            <w:shd w:val="clear" w:color="auto" w:fill="auto"/>
          </w:tcPr>
          <w:p w14:paraId="1D026BCE" w14:textId="77777777" w:rsidR="004421F6" w:rsidRDefault="004421F6">
            <w:pPr>
              <w:rPr>
                <w:rFonts w:ascii="宋体"/>
              </w:rPr>
            </w:pPr>
          </w:p>
        </w:tc>
      </w:tr>
      <w:tr w:rsidR="004421F6" w14:paraId="1D026BD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BD0" w14:textId="77777777" w:rsidR="004421F6" w:rsidRDefault="00F15622">
            <w:pPr>
              <w:textAlignment w:val="bottom"/>
            </w:pPr>
            <w:r>
              <w:rPr>
                <w:rFonts w:ascii="Arial" w:eastAsia="宋体" w:hAnsi="Arial" w:cs="Arial"/>
                <w:b/>
                <w:bCs/>
                <w:color w:val="000000"/>
                <w:sz w:val="17"/>
                <w:szCs w:val="17"/>
              </w:rPr>
              <w:t>TOTAL NIKE, INC. EARNINGS BEFORE INTEREST AND TAXES</w:t>
            </w:r>
            <w:r>
              <w:rPr>
                <w:rFonts w:ascii="Arial" w:eastAsia="宋体" w:hAnsi="Arial" w:cs="Arial"/>
                <w:color w:val="000000"/>
                <w:sz w:val="9"/>
                <w:szCs w:val="9"/>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6BD1" w14:textId="77777777" w:rsidR="004421F6" w:rsidRDefault="00F15622">
            <w:pPr>
              <w:jc w:val="right"/>
              <w:textAlignment w:val="bottom"/>
            </w:pPr>
            <w:r>
              <w:rPr>
                <w:rFonts w:ascii="Arial" w:eastAsia="宋体" w:hAnsi="Arial" w:cs="Arial"/>
                <w:b/>
                <w:bCs/>
                <w:color w:val="000000"/>
                <w:sz w:val="17"/>
                <w:szCs w:val="17"/>
              </w:rPr>
              <w:t>1,780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BD2"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BD3" w14:textId="77777777" w:rsidR="004421F6" w:rsidRDefault="00F15622">
            <w:pPr>
              <w:jc w:val="right"/>
              <w:textAlignment w:val="bottom"/>
            </w:pPr>
            <w:r>
              <w:rPr>
                <w:rFonts w:ascii="Arial" w:eastAsia="宋体" w:hAnsi="Arial" w:cs="Arial"/>
                <w:b/>
                <w:bCs/>
                <w:color w:val="000000"/>
                <w:sz w:val="17"/>
                <w:szCs w:val="17"/>
              </w:rPr>
              <w:t>1,576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BD4"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BD5" w14:textId="77777777" w:rsidR="004421F6" w:rsidRDefault="00F15622">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BD6"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6BD7" w14:textId="77777777" w:rsidR="004421F6" w:rsidRDefault="004421F6">
            <w:pPr>
              <w:rPr>
                <w:rFonts w:ascii="宋体"/>
              </w:rPr>
            </w:pPr>
          </w:p>
        </w:tc>
        <w:tc>
          <w:tcPr>
            <w:tcW w:w="0" w:type="auto"/>
            <w:shd w:val="clear" w:color="auto" w:fill="auto"/>
          </w:tcPr>
          <w:p w14:paraId="1D026BD8" w14:textId="77777777" w:rsidR="004421F6" w:rsidRDefault="004421F6">
            <w:pPr>
              <w:rPr>
                <w:rFonts w:ascii="宋体"/>
              </w:rPr>
            </w:pPr>
          </w:p>
        </w:tc>
        <w:tc>
          <w:tcPr>
            <w:tcW w:w="0" w:type="auto"/>
            <w:shd w:val="clear" w:color="auto" w:fill="auto"/>
          </w:tcPr>
          <w:p w14:paraId="1D026BD9" w14:textId="77777777" w:rsidR="004421F6" w:rsidRDefault="004421F6">
            <w:pPr>
              <w:rPr>
                <w:rFonts w:ascii="宋体"/>
              </w:rPr>
            </w:pPr>
          </w:p>
        </w:tc>
        <w:tc>
          <w:tcPr>
            <w:tcW w:w="0" w:type="auto"/>
            <w:shd w:val="clear" w:color="auto" w:fill="auto"/>
          </w:tcPr>
          <w:p w14:paraId="1D026BDA" w14:textId="77777777" w:rsidR="004421F6" w:rsidRDefault="004421F6">
            <w:pPr>
              <w:rPr>
                <w:rFonts w:ascii="宋体"/>
              </w:rPr>
            </w:pPr>
          </w:p>
        </w:tc>
        <w:tc>
          <w:tcPr>
            <w:tcW w:w="0" w:type="auto"/>
            <w:shd w:val="clear" w:color="auto" w:fill="auto"/>
          </w:tcPr>
          <w:p w14:paraId="1D026BDB" w14:textId="77777777" w:rsidR="004421F6" w:rsidRDefault="004421F6">
            <w:pPr>
              <w:rPr>
                <w:rFonts w:ascii="宋体"/>
              </w:rPr>
            </w:pPr>
          </w:p>
        </w:tc>
        <w:tc>
          <w:tcPr>
            <w:tcW w:w="0" w:type="auto"/>
            <w:shd w:val="clear" w:color="auto" w:fill="auto"/>
          </w:tcPr>
          <w:p w14:paraId="1D026BDC" w14:textId="77777777" w:rsidR="004421F6" w:rsidRDefault="004421F6">
            <w:pPr>
              <w:rPr>
                <w:rFonts w:ascii="宋体"/>
              </w:rPr>
            </w:pPr>
          </w:p>
        </w:tc>
      </w:tr>
      <w:tr w:rsidR="004421F6" w14:paraId="1D026BE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BDE" w14:textId="77777777" w:rsidR="004421F6" w:rsidRDefault="00F15622">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D026BDF" w14:textId="77777777" w:rsidR="004421F6" w:rsidRDefault="00F15622">
            <w:pPr>
              <w:jc w:val="right"/>
              <w:textAlignment w:val="bottom"/>
            </w:pPr>
            <w:r>
              <w:rPr>
                <w:rFonts w:ascii="Arial" w:eastAsia="宋体" w:hAnsi="Arial" w:cs="Arial"/>
                <w:color w:val="000000"/>
                <w:sz w:val="17"/>
                <w:szCs w:val="17"/>
              </w:rPr>
              <w:t>65 </w:t>
            </w:r>
          </w:p>
        </w:tc>
        <w:tc>
          <w:tcPr>
            <w:tcW w:w="0" w:type="auto"/>
            <w:tcBorders>
              <w:top w:val="single" w:sz="8" w:space="0" w:color="E87722"/>
            </w:tcBorders>
            <w:shd w:val="clear" w:color="auto" w:fill="FFF1E7"/>
            <w:tcMar>
              <w:top w:w="40" w:type="dxa"/>
              <w:bottom w:w="40" w:type="dxa"/>
              <w:right w:w="20" w:type="dxa"/>
            </w:tcMar>
            <w:vAlign w:val="bottom"/>
          </w:tcPr>
          <w:p w14:paraId="1D026BE0"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BE1" w14:textId="77777777" w:rsidR="004421F6" w:rsidRDefault="00F15622">
            <w:pPr>
              <w:jc w:val="right"/>
              <w:textAlignment w:val="bottom"/>
            </w:pPr>
            <w:r>
              <w:rPr>
                <w:rFonts w:ascii="Arial" w:eastAsia="宋体" w:hAnsi="Arial" w:cs="Arial"/>
                <w:color w:val="000000"/>
                <w:sz w:val="17"/>
                <w:szCs w:val="17"/>
              </w:rPr>
              <w:t>15 </w:t>
            </w:r>
          </w:p>
        </w:tc>
        <w:tc>
          <w:tcPr>
            <w:tcW w:w="0" w:type="auto"/>
            <w:tcBorders>
              <w:top w:val="single" w:sz="8" w:space="0" w:color="E87722"/>
            </w:tcBorders>
            <w:shd w:val="clear" w:color="auto" w:fill="auto"/>
            <w:tcMar>
              <w:top w:w="40" w:type="dxa"/>
              <w:bottom w:w="40" w:type="dxa"/>
              <w:right w:w="20" w:type="dxa"/>
            </w:tcMar>
            <w:vAlign w:val="bottom"/>
          </w:tcPr>
          <w:p w14:paraId="1D026BE2"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BE3"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BE4" w14:textId="77777777" w:rsidR="004421F6" w:rsidRDefault="004421F6">
            <w:pPr>
              <w:jc w:val="right"/>
              <w:rPr>
                <w:rFonts w:ascii="宋体"/>
              </w:rPr>
            </w:pPr>
          </w:p>
        </w:tc>
        <w:tc>
          <w:tcPr>
            <w:tcW w:w="0" w:type="auto"/>
            <w:shd w:val="clear" w:color="auto" w:fill="auto"/>
          </w:tcPr>
          <w:p w14:paraId="1D026BE5" w14:textId="77777777" w:rsidR="004421F6" w:rsidRDefault="004421F6">
            <w:pPr>
              <w:rPr>
                <w:rFonts w:ascii="宋体"/>
              </w:rPr>
            </w:pPr>
          </w:p>
        </w:tc>
        <w:tc>
          <w:tcPr>
            <w:tcW w:w="0" w:type="auto"/>
            <w:shd w:val="clear" w:color="auto" w:fill="auto"/>
          </w:tcPr>
          <w:p w14:paraId="1D026BE6" w14:textId="77777777" w:rsidR="004421F6" w:rsidRDefault="004421F6">
            <w:pPr>
              <w:rPr>
                <w:rFonts w:ascii="宋体"/>
              </w:rPr>
            </w:pPr>
          </w:p>
        </w:tc>
        <w:tc>
          <w:tcPr>
            <w:tcW w:w="0" w:type="auto"/>
            <w:shd w:val="clear" w:color="auto" w:fill="auto"/>
          </w:tcPr>
          <w:p w14:paraId="1D026BE7" w14:textId="77777777" w:rsidR="004421F6" w:rsidRDefault="004421F6">
            <w:pPr>
              <w:rPr>
                <w:rFonts w:ascii="宋体"/>
              </w:rPr>
            </w:pPr>
          </w:p>
        </w:tc>
        <w:tc>
          <w:tcPr>
            <w:tcW w:w="0" w:type="auto"/>
            <w:shd w:val="clear" w:color="auto" w:fill="auto"/>
          </w:tcPr>
          <w:p w14:paraId="1D026BE8" w14:textId="77777777" w:rsidR="004421F6" w:rsidRDefault="004421F6">
            <w:pPr>
              <w:rPr>
                <w:rFonts w:ascii="宋体"/>
              </w:rPr>
            </w:pPr>
          </w:p>
        </w:tc>
        <w:tc>
          <w:tcPr>
            <w:tcW w:w="0" w:type="auto"/>
            <w:shd w:val="clear" w:color="auto" w:fill="auto"/>
          </w:tcPr>
          <w:p w14:paraId="1D026BE9" w14:textId="77777777" w:rsidR="004421F6" w:rsidRDefault="004421F6">
            <w:pPr>
              <w:rPr>
                <w:rFonts w:ascii="宋体"/>
              </w:rPr>
            </w:pPr>
          </w:p>
        </w:tc>
        <w:tc>
          <w:tcPr>
            <w:tcW w:w="0" w:type="auto"/>
            <w:shd w:val="clear" w:color="auto" w:fill="auto"/>
          </w:tcPr>
          <w:p w14:paraId="1D026BEA" w14:textId="77777777" w:rsidR="004421F6" w:rsidRDefault="004421F6">
            <w:pPr>
              <w:rPr>
                <w:rFonts w:ascii="宋体"/>
              </w:rPr>
            </w:pPr>
          </w:p>
        </w:tc>
      </w:tr>
      <w:tr w:rsidR="004421F6" w14:paraId="1D026BFB"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6BEC" w14:textId="77777777" w:rsidR="004421F6" w:rsidRDefault="00F15622">
            <w:pPr>
              <w:textAlignment w:val="bottom"/>
            </w:pPr>
            <w:r>
              <w:rPr>
                <w:rFonts w:ascii="Arial" w:eastAsia="宋体" w:hAnsi="Arial" w:cs="Arial"/>
                <w:b/>
                <w:bCs/>
                <w:color w:val="000000"/>
                <w:sz w:val="17"/>
                <w:szCs w:val="17"/>
              </w:rPr>
              <w:t>TOTAL NIKE, INC. INCOME BEFORE INCOME TAXES</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BED"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BEE" w14:textId="77777777" w:rsidR="004421F6" w:rsidRDefault="00F15622">
            <w:pPr>
              <w:jc w:val="right"/>
              <w:textAlignment w:val="bottom"/>
            </w:pPr>
            <w:r>
              <w:rPr>
                <w:rFonts w:ascii="Arial" w:eastAsia="宋体" w:hAnsi="Arial" w:cs="Arial"/>
                <w:b/>
                <w:bCs/>
                <w:color w:val="000000"/>
                <w:sz w:val="17"/>
                <w:szCs w:val="17"/>
              </w:rPr>
              <w:t>1,715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BEF"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BF0"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BF1" w14:textId="77777777" w:rsidR="004421F6" w:rsidRDefault="00F15622">
            <w:pPr>
              <w:jc w:val="right"/>
              <w:textAlignment w:val="bottom"/>
            </w:pPr>
            <w:r>
              <w:rPr>
                <w:rFonts w:ascii="Arial" w:eastAsia="宋体" w:hAnsi="Arial" w:cs="Arial"/>
                <w:b/>
                <w:bCs/>
                <w:color w:val="000000"/>
                <w:sz w:val="17"/>
                <w:szCs w:val="17"/>
              </w:rPr>
              <w:t>1,561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BF2" w14:textId="77777777" w:rsidR="004421F6" w:rsidRDefault="004421F6">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D026BF3" w14:textId="77777777" w:rsidR="004421F6" w:rsidRDefault="00F15622">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BF4"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6BF5" w14:textId="77777777" w:rsidR="004421F6" w:rsidRDefault="004421F6">
            <w:pPr>
              <w:rPr>
                <w:rFonts w:ascii="宋体"/>
              </w:rPr>
            </w:pPr>
          </w:p>
        </w:tc>
        <w:tc>
          <w:tcPr>
            <w:tcW w:w="0" w:type="auto"/>
            <w:shd w:val="clear" w:color="auto" w:fill="auto"/>
          </w:tcPr>
          <w:p w14:paraId="1D026BF6" w14:textId="77777777" w:rsidR="004421F6" w:rsidRDefault="004421F6">
            <w:pPr>
              <w:rPr>
                <w:rFonts w:ascii="宋体"/>
              </w:rPr>
            </w:pPr>
          </w:p>
        </w:tc>
        <w:tc>
          <w:tcPr>
            <w:tcW w:w="0" w:type="auto"/>
            <w:shd w:val="clear" w:color="auto" w:fill="auto"/>
          </w:tcPr>
          <w:p w14:paraId="1D026BF7" w14:textId="77777777" w:rsidR="004421F6" w:rsidRDefault="004421F6">
            <w:pPr>
              <w:rPr>
                <w:rFonts w:ascii="宋体"/>
              </w:rPr>
            </w:pPr>
          </w:p>
        </w:tc>
        <w:tc>
          <w:tcPr>
            <w:tcW w:w="0" w:type="auto"/>
            <w:shd w:val="clear" w:color="auto" w:fill="auto"/>
          </w:tcPr>
          <w:p w14:paraId="1D026BF8" w14:textId="77777777" w:rsidR="004421F6" w:rsidRDefault="004421F6">
            <w:pPr>
              <w:rPr>
                <w:rFonts w:ascii="宋体"/>
              </w:rPr>
            </w:pPr>
          </w:p>
        </w:tc>
        <w:tc>
          <w:tcPr>
            <w:tcW w:w="0" w:type="auto"/>
            <w:shd w:val="clear" w:color="auto" w:fill="auto"/>
          </w:tcPr>
          <w:p w14:paraId="1D026BF9" w14:textId="77777777" w:rsidR="004421F6" w:rsidRDefault="004421F6">
            <w:pPr>
              <w:rPr>
                <w:rFonts w:ascii="宋体"/>
              </w:rPr>
            </w:pPr>
          </w:p>
        </w:tc>
        <w:tc>
          <w:tcPr>
            <w:tcW w:w="0" w:type="auto"/>
            <w:shd w:val="clear" w:color="auto" w:fill="auto"/>
          </w:tcPr>
          <w:p w14:paraId="1D026BFA" w14:textId="77777777" w:rsidR="004421F6" w:rsidRDefault="004421F6">
            <w:pPr>
              <w:rPr>
                <w:rFonts w:ascii="宋体"/>
              </w:rPr>
            </w:pPr>
          </w:p>
        </w:tc>
      </w:tr>
    </w:tbl>
    <w:p w14:paraId="1D026BFC" w14:textId="77777777" w:rsidR="004421F6" w:rsidRDefault="00F15622">
      <w:pPr>
        <w:spacing w:before="60" w:after="60"/>
        <w:ind w:hanging="360"/>
      </w:pPr>
      <w:r>
        <w:rPr>
          <w:rFonts w:ascii="Arial" w:eastAsia="宋体" w:hAnsi="Arial" w:cs="Arial"/>
          <w:i/>
          <w:iCs/>
          <w:color w:val="000000"/>
          <w:sz w:val="14"/>
          <w:szCs w:val="14"/>
        </w:rPr>
        <w:t>(1)    Total NIKE Brand EBIT and Total NIKE, Inc. EBIT represent non-GAAP financial measures. See "Use of Non-GAAP Financial Measures" for further information.</w:t>
      </w:r>
    </w:p>
    <w:p w14:paraId="1D026BFD" w14:textId="77777777" w:rsidR="004421F6" w:rsidRDefault="00F15622">
      <w:pPr>
        <w:spacing w:before="240" w:after="120"/>
      </w:pPr>
      <w:r>
        <w:rPr>
          <w:rFonts w:ascii="sans-serif" w:eastAsia="sans-serif" w:hAnsi="sans-serif" w:cs="sans-serif"/>
          <w:b/>
          <w:bCs/>
          <w:color w:val="000000"/>
          <w:sz w:val="28"/>
          <w:szCs w:val="28"/>
        </w:rPr>
        <w:t>NORTH AMERICA</w:t>
      </w:r>
    </w:p>
    <w:tbl>
      <w:tblPr>
        <w:tblW w:w="5000" w:type="pct"/>
        <w:tblCellMar>
          <w:top w:w="15" w:type="dxa"/>
          <w:left w:w="15" w:type="dxa"/>
          <w:bottom w:w="15" w:type="dxa"/>
          <w:right w:w="15" w:type="dxa"/>
        </w:tblCellMar>
        <w:tblLook w:val="04A0" w:firstRow="1" w:lastRow="0" w:firstColumn="1" w:lastColumn="0" w:noHBand="0" w:noVBand="1"/>
      </w:tblPr>
      <w:tblGrid>
        <w:gridCol w:w="73"/>
        <w:gridCol w:w="3784"/>
        <w:gridCol w:w="36"/>
        <w:gridCol w:w="130"/>
        <w:gridCol w:w="845"/>
        <w:gridCol w:w="41"/>
        <w:gridCol w:w="130"/>
        <w:gridCol w:w="845"/>
        <w:gridCol w:w="41"/>
        <w:gridCol w:w="52"/>
        <w:gridCol w:w="804"/>
        <w:gridCol w:w="187"/>
        <w:gridCol w:w="70"/>
        <w:gridCol w:w="787"/>
        <w:gridCol w:w="187"/>
        <w:gridCol w:w="36"/>
        <w:gridCol w:w="36"/>
        <w:gridCol w:w="36"/>
        <w:gridCol w:w="36"/>
        <w:gridCol w:w="36"/>
        <w:gridCol w:w="36"/>
        <w:gridCol w:w="36"/>
        <w:gridCol w:w="36"/>
        <w:gridCol w:w="36"/>
      </w:tblGrid>
      <w:tr w:rsidR="004421F6" w14:paraId="1D026C0D" w14:textId="77777777">
        <w:trPr>
          <w:gridAfter w:val="9"/>
        </w:trPr>
        <w:tc>
          <w:tcPr>
            <w:tcW w:w="50" w:type="pct"/>
            <w:shd w:val="clear" w:color="auto" w:fill="auto"/>
          </w:tcPr>
          <w:p w14:paraId="1D026BFE" w14:textId="77777777" w:rsidR="004421F6" w:rsidRDefault="004421F6">
            <w:pPr>
              <w:rPr>
                <w:rFonts w:ascii="宋体"/>
              </w:rPr>
            </w:pPr>
          </w:p>
        </w:tc>
        <w:tc>
          <w:tcPr>
            <w:tcW w:w="2445" w:type="pct"/>
            <w:shd w:val="clear" w:color="auto" w:fill="auto"/>
          </w:tcPr>
          <w:p w14:paraId="1D026BFF" w14:textId="77777777" w:rsidR="004421F6" w:rsidRDefault="004421F6">
            <w:pPr>
              <w:rPr>
                <w:rFonts w:ascii="宋体"/>
              </w:rPr>
            </w:pPr>
          </w:p>
        </w:tc>
        <w:tc>
          <w:tcPr>
            <w:tcW w:w="5" w:type="pct"/>
            <w:shd w:val="clear" w:color="auto" w:fill="auto"/>
          </w:tcPr>
          <w:p w14:paraId="1D026C00" w14:textId="77777777" w:rsidR="004421F6" w:rsidRDefault="004421F6">
            <w:pPr>
              <w:rPr>
                <w:rFonts w:ascii="宋体"/>
              </w:rPr>
            </w:pPr>
          </w:p>
        </w:tc>
        <w:tc>
          <w:tcPr>
            <w:tcW w:w="50" w:type="pct"/>
            <w:shd w:val="clear" w:color="auto" w:fill="auto"/>
          </w:tcPr>
          <w:p w14:paraId="1D026C01" w14:textId="77777777" w:rsidR="004421F6" w:rsidRDefault="004421F6">
            <w:pPr>
              <w:rPr>
                <w:rFonts w:ascii="宋体"/>
              </w:rPr>
            </w:pPr>
          </w:p>
        </w:tc>
        <w:tc>
          <w:tcPr>
            <w:tcW w:w="570" w:type="pct"/>
            <w:shd w:val="clear" w:color="auto" w:fill="auto"/>
          </w:tcPr>
          <w:p w14:paraId="1D026C02" w14:textId="77777777" w:rsidR="004421F6" w:rsidRDefault="004421F6">
            <w:pPr>
              <w:rPr>
                <w:rFonts w:ascii="宋体"/>
              </w:rPr>
            </w:pPr>
          </w:p>
        </w:tc>
        <w:tc>
          <w:tcPr>
            <w:tcW w:w="5" w:type="pct"/>
            <w:shd w:val="clear" w:color="auto" w:fill="auto"/>
          </w:tcPr>
          <w:p w14:paraId="1D026C03" w14:textId="77777777" w:rsidR="004421F6" w:rsidRDefault="004421F6">
            <w:pPr>
              <w:rPr>
                <w:rFonts w:ascii="宋体"/>
              </w:rPr>
            </w:pPr>
          </w:p>
        </w:tc>
        <w:tc>
          <w:tcPr>
            <w:tcW w:w="50" w:type="pct"/>
            <w:shd w:val="clear" w:color="auto" w:fill="auto"/>
          </w:tcPr>
          <w:p w14:paraId="1D026C04" w14:textId="77777777" w:rsidR="004421F6" w:rsidRDefault="004421F6">
            <w:pPr>
              <w:rPr>
                <w:rFonts w:ascii="宋体"/>
              </w:rPr>
            </w:pPr>
          </w:p>
        </w:tc>
        <w:tc>
          <w:tcPr>
            <w:tcW w:w="570" w:type="pct"/>
            <w:shd w:val="clear" w:color="auto" w:fill="auto"/>
          </w:tcPr>
          <w:p w14:paraId="1D026C05" w14:textId="77777777" w:rsidR="004421F6" w:rsidRDefault="004421F6">
            <w:pPr>
              <w:rPr>
                <w:rFonts w:ascii="宋体"/>
              </w:rPr>
            </w:pPr>
          </w:p>
        </w:tc>
        <w:tc>
          <w:tcPr>
            <w:tcW w:w="5" w:type="pct"/>
            <w:shd w:val="clear" w:color="auto" w:fill="auto"/>
          </w:tcPr>
          <w:p w14:paraId="1D026C06" w14:textId="77777777" w:rsidR="004421F6" w:rsidRDefault="004421F6">
            <w:pPr>
              <w:rPr>
                <w:rFonts w:ascii="宋体"/>
              </w:rPr>
            </w:pPr>
          </w:p>
        </w:tc>
        <w:tc>
          <w:tcPr>
            <w:tcW w:w="50" w:type="pct"/>
            <w:shd w:val="clear" w:color="auto" w:fill="auto"/>
          </w:tcPr>
          <w:p w14:paraId="1D026C07" w14:textId="77777777" w:rsidR="004421F6" w:rsidRDefault="004421F6">
            <w:pPr>
              <w:rPr>
                <w:rFonts w:ascii="宋体"/>
              </w:rPr>
            </w:pPr>
          </w:p>
        </w:tc>
        <w:tc>
          <w:tcPr>
            <w:tcW w:w="570" w:type="pct"/>
            <w:shd w:val="clear" w:color="auto" w:fill="auto"/>
          </w:tcPr>
          <w:p w14:paraId="1D026C08" w14:textId="77777777" w:rsidR="004421F6" w:rsidRDefault="004421F6">
            <w:pPr>
              <w:rPr>
                <w:rFonts w:ascii="宋体"/>
              </w:rPr>
            </w:pPr>
          </w:p>
        </w:tc>
        <w:tc>
          <w:tcPr>
            <w:tcW w:w="5" w:type="pct"/>
            <w:shd w:val="clear" w:color="auto" w:fill="auto"/>
          </w:tcPr>
          <w:p w14:paraId="1D026C09" w14:textId="77777777" w:rsidR="004421F6" w:rsidRDefault="004421F6">
            <w:pPr>
              <w:rPr>
                <w:rFonts w:ascii="宋体"/>
              </w:rPr>
            </w:pPr>
          </w:p>
        </w:tc>
        <w:tc>
          <w:tcPr>
            <w:tcW w:w="50" w:type="pct"/>
            <w:shd w:val="clear" w:color="auto" w:fill="auto"/>
          </w:tcPr>
          <w:p w14:paraId="1D026C0A" w14:textId="77777777" w:rsidR="004421F6" w:rsidRDefault="004421F6">
            <w:pPr>
              <w:rPr>
                <w:rFonts w:ascii="宋体"/>
              </w:rPr>
            </w:pPr>
          </w:p>
        </w:tc>
        <w:tc>
          <w:tcPr>
            <w:tcW w:w="570" w:type="pct"/>
            <w:shd w:val="clear" w:color="auto" w:fill="auto"/>
          </w:tcPr>
          <w:p w14:paraId="1D026C0B" w14:textId="77777777" w:rsidR="004421F6" w:rsidRDefault="004421F6">
            <w:pPr>
              <w:rPr>
                <w:rFonts w:ascii="宋体"/>
              </w:rPr>
            </w:pPr>
          </w:p>
        </w:tc>
        <w:tc>
          <w:tcPr>
            <w:tcW w:w="5" w:type="pct"/>
            <w:shd w:val="clear" w:color="auto" w:fill="auto"/>
          </w:tcPr>
          <w:p w14:paraId="1D026C0C" w14:textId="77777777" w:rsidR="004421F6" w:rsidRDefault="004421F6">
            <w:pPr>
              <w:rPr>
                <w:rFonts w:ascii="宋体"/>
              </w:rPr>
            </w:pPr>
          </w:p>
        </w:tc>
      </w:tr>
      <w:tr w:rsidR="004421F6" w14:paraId="1D026C13" w14:textId="77777777">
        <w:tc>
          <w:tcPr>
            <w:tcW w:w="0" w:type="auto"/>
            <w:gridSpan w:val="3"/>
            <w:shd w:val="clear" w:color="auto" w:fill="auto"/>
            <w:tcMar>
              <w:left w:w="20" w:type="dxa"/>
              <w:right w:w="20" w:type="dxa"/>
            </w:tcMar>
            <w:vAlign w:val="bottom"/>
          </w:tcPr>
          <w:p w14:paraId="1D026C0E" w14:textId="77777777" w:rsidR="004421F6" w:rsidRDefault="004421F6">
            <w:pPr>
              <w:rPr>
                <w:rFonts w:ascii="宋体"/>
              </w:rPr>
            </w:pPr>
          </w:p>
        </w:tc>
        <w:tc>
          <w:tcPr>
            <w:tcW w:w="0" w:type="auto"/>
            <w:gridSpan w:val="12"/>
            <w:shd w:val="clear" w:color="auto" w:fill="auto"/>
            <w:tcMar>
              <w:top w:w="40" w:type="dxa"/>
              <w:left w:w="20" w:type="dxa"/>
              <w:bottom w:w="40" w:type="dxa"/>
              <w:right w:w="20" w:type="dxa"/>
            </w:tcMar>
            <w:vAlign w:val="bottom"/>
          </w:tcPr>
          <w:p w14:paraId="1D026C0F"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6C10" w14:textId="77777777" w:rsidR="004421F6" w:rsidRDefault="004421F6">
            <w:pPr>
              <w:rPr>
                <w:rFonts w:ascii="宋体"/>
                <w:vanish/>
              </w:rPr>
            </w:pPr>
          </w:p>
        </w:tc>
        <w:tc>
          <w:tcPr>
            <w:tcW w:w="0" w:type="auto"/>
            <w:gridSpan w:val="3"/>
            <w:shd w:val="clear" w:color="auto" w:fill="auto"/>
          </w:tcPr>
          <w:p w14:paraId="1D026C11" w14:textId="77777777" w:rsidR="004421F6" w:rsidRDefault="004421F6">
            <w:pPr>
              <w:rPr>
                <w:rFonts w:ascii="宋体"/>
                <w:vanish/>
              </w:rPr>
            </w:pPr>
          </w:p>
        </w:tc>
        <w:tc>
          <w:tcPr>
            <w:tcW w:w="0" w:type="auto"/>
            <w:gridSpan w:val="3"/>
            <w:shd w:val="clear" w:color="auto" w:fill="auto"/>
          </w:tcPr>
          <w:p w14:paraId="1D026C12" w14:textId="77777777" w:rsidR="004421F6" w:rsidRDefault="004421F6">
            <w:pPr>
              <w:rPr>
                <w:rFonts w:ascii="宋体"/>
                <w:vanish/>
              </w:rPr>
            </w:pPr>
          </w:p>
        </w:tc>
      </w:tr>
      <w:tr w:rsidR="004421F6" w14:paraId="1D026C22" w14:textId="77777777">
        <w:tc>
          <w:tcPr>
            <w:tcW w:w="0" w:type="auto"/>
            <w:gridSpan w:val="3"/>
            <w:shd w:val="clear" w:color="auto" w:fill="auto"/>
            <w:tcMar>
              <w:top w:w="40" w:type="dxa"/>
              <w:left w:w="20" w:type="dxa"/>
              <w:bottom w:w="40" w:type="dxa"/>
              <w:right w:w="20" w:type="dxa"/>
            </w:tcMar>
            <w:vAlign w:val="bottom"/>
          </w:tcPr>
          <w:p w14:paraId="1D026C14" w14:textId="77777777" w:rsidR="004421F6" w:rsidRDefault="00F15622">
            <w:pPr>
              <w:spacing w:before="120" w:after="120"/>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C15"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C16"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C17" w14:textId="77777777" w:rsidR="004421F6" w:rsidRDefault="00F1562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C18" w14:textId="77777777" w:rsidR="004421F6" w:rsidRDefault="00F15622">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tcPr>
          <w:p w14:paraId="1D026C19" w14:textId="77777777" w:rsidR="004421F6" w:rsidRDefault="004421F6">
            <w:pPr>
              <w:rPr>
                <w:rFonts w:ascii="宋体"/>
              </w:rPr>
            </w:pPr>
          </w:p>
        </w:tc>
        <w:tc>
          <w:tcPr>
            <w:tcW w:w="0" w:type="auto"/>
            <w:shd w:val="clear" w:color="auto" w:fill="auto"/>
          </w:tcPr>
          <w:p w14:paraId="1D026C1A" w14:textId="77777777" w:rsidR="004421F6" w:rsidRDefault="004421F6">
            <w:pPr>
              <w:rPr>
                <w:rFonts w:ascii="宋体"/>
              </w:rPr>
            </w:pPr>
          </w:p>
        </w:tc>
        <w:tc>
          <w:tcPr>
            <w:tcW w:w="0" w:type="auto"/>
            <w:shd w:val="clear" w:color="auto" w:fill="auto"/>
          </w:tcPr>
          <w:p w14:paraId="1D026C1B" w14:textId="77777777" w:rsidR="004421F6" w:rsidRDefault="004421F6">
            <w:pPr>
              <w:rPr>
                <w:rFonts w:ascii="宋体"/>
              </w:rPr>
            </w:pPr>
          </w:p>
        </w:tc>
        <w:tc>
          <w:tcPr>
            <w:tcW w:w="0" w:type="auto"/>
            <w:shd w:val="clear" w:color="auto" w:fill="auto"/>
          </w:tcPr>
          <w:p w14:paraId="1D026C1C" w14:textId="77777777" w:rsidR="004421F6" w:rsidRDefault="004421F6">
            <w:pPr>
              <w:rPr>
                <w:rFonts w:ascii="宋体"/>
              </w:rPr>
            </w:pPr>
          </w:p>
        </w:tc>
        <w:tc>
          <w:tcPr>
            <w:tcW w:w="0" w:type="auto"/>
            <w:shd w:val="clear" w:color="auto" w:fill="auto"/>
          </w:tcPr>
          <w:p w14:paraId="1D026C1D" w14:textId="77777777" w:rsidR="004421F6" w:rsidRDefault="004421F6">
            <w:pPr>
              <w:rPr>
                <w:rFonts w:ascii="宋体"/>
              </w:rPr>
            </w:pPr>
          </w:p>
        </w:tc>
        <w:tc>
          <w:tcPr>
            <w:tcW w:w="0" w:type="auto"/>
            <w:shd w:val="clear" w:color="auto" w:fill="auto"/>
          </w:tcPr>
          <w:p w14:paraId="1D026C1E" w14:textId="77777777" w:rsidR="004421F6" w:rsidRDefault="004421F6">
            <w:pPr>
              <w:rPr>
                <w:rFonts w:ascii="宋体"/>
              </w:rPr>
            </w:pPr>
          </w:p>
        </w:tc>
        <w:tc>
          <w:tcPr>
            <w:tcW w:w="0" w:type="auto"/>
            <w:shd w:val="clear" w:color="auto" w:fill="auto"/>
          </w:tcPr>
          <w:p w14:paraId="1D026C1F" w14:textId="77777777" w:rsidR="004421F6" w:rsidRDefault="004421F6">
            <w:pPr>
              <w:rPr>
                <w:rFonts w:ascii="宋体"/>
              </w:rPr>
            </w:pPr>
          </w:p>
        </w:tc>
        <w:tc>
          <w:tcPr>
            <w:tcW w:w="0" w:type="auto"/>
            <w:shd w:val="clear" w:color="auto" w:fill="auto"/>
          </w:tcPr>
          <w:p w14:paraId="1D026C20" w14:textId="77777777" w:rsidR="004421F6" w:rsidRDefault="004421F6">
            <w:pPr>
              <w:rPr>
                <w:rFonts w:ascii="宋体"/>
              </w:rPr>
            </w:pPr>
          </w:p>
        </w:tc>
        <w:tc>
          <w:tcPr>
            <w:tcW w:w="0" w:type="auto"/>
            <w:shd w:val="clear" w:color="auto" w:fill="auto"/>
          </w:tcPr>
          <w:p w14:paraId="1D026C21" w14:textId="77777777" w:rsidR="004421F6" w:rsidRDefault="004421F6">
            <w:pPr>
              <w:rPr>
                <w:rFonts w:ascii="宋体"/>
              </w:rPr>
            </w:pPr>
          </w:p>
        </w:tc>
      </w:tr>
      <w:tr w:rsidR="004421F6" w14:paraId="1D026C3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C23" w14:textId="77777777" w:rsidR="004421F6" w:rsidRDefault="00F1562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left w:w="20" w:type="dxa"/>
              <w:right w:w="20" w:type="dxa"/>
            </w:tcMar>
            <w:vAlign w:val="bottom"/>
          </w:tcPr>
          <w:p w14:paraId="1D026C24"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C25"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C26"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C27" w14:textId="77777777" w:rsidR="004421F6" w:rsidRDefault="004421F6">
            <w:pPr>
              <w:rPr>
                <w:rFonts w:ascii="宋体"/>
              </w:rPr>
            </w:pPr>
          </w:p>
        </w:tc>
        <w:tc>
          <w:tcPr>
            <w:tcW w:w="0" w:type="auto"/>
            <w:shd w:val="clear" w:color="auto" w:fill="auto"/>
          </w:tcPr>
          <w:p w14:paraId="1D026C28" w14:textId="77777777" w:rsidR="004421F6" w:rsidRDefault="004421F6">
            <w:pPr>
              <w:rPr>
                <w:rFonts w:ascii="宋体"/>
              </w:rPr>
            </w:pPr>
          </w:p>
        </w:tc>
        <w:tc>
          <w:tcPr>
            <w:tcW w:w="0" w:type="auto"/>
            <w:shd w:val="clear" w:color="auto" w:fill="auto"/>
          </w:tcPr>
          <w:p w14:paraId="1D026C29" w14:textId="77777777" w:rsidR="004421F6" w:rsidRDefault="004421F6">
            <w:pPr>
              <w:rPr>
                <w:rFonts w:ascii="宋体"/>
              </w:rPr>
            </w:pPr>
          </w:p>
        </w:tc>
        <w:tc>
          <w:tcPr>
            <w:tcW w:w="0" w:type="auto"/>
            <w:shd w:val="clear" w:color="auto" w:fill="auto"/>
          </w:tcPr>
          <w:p w14:paraId="1D026C2A" w14:textId="77777777" w:rsidR="004421F6" w:rsidRDefault="004421F6">
            <w:pPr>
              <w:rPr>
                <w:rFonts w:ascii="宋体"/>
              </w:rPr>
            </w:pPr>
          </w:p>
        </w:tc>
        <w:tc>
          <w:tcPr>
            <w:tcW w:w="0" w:type="auto"/>
            <w:shd w:val="clear" w:color="auto" w:fill="auto"/>
          </w:tcPr>
          <w:p w14:paraId="1D026C2B" w14:textId="77777777" w:rsidR="004421F6" w:rsidRDefault="004421F6">
            <w:pPr>
              <w:rPr>
                <w:rFonts w:ascii="宋体"/>
              </w:rPr>
            </w:pPr>
          </w:p>
        </w:tc>
        <w:tc>
          <w:tcPr>
            <w:tcW w:w="0" w:type="auto"/>
            <w:shd w:val="clear" w:color="auto" w:fill="auto"/>
          </w:tcPr>
          <w:p w14:paraId="1D026C2C" w14:textId="77777777" w:rsidR="004421F6" w:rsidRDefault="004421F6">
            <w:pPr>
              <w:rPr>
                <w:rFonts w:ascii="宋体"/>
              </w:rPr>
            </w:pPr>
          </w:p>
        </w:tc>
        <w:tc>
          <w:tcPr>
            <w:tcW w:w="0" w:type="auto"/>
            <w:shd w:val="clear" w:color="auto" w:fill="auto"/>
          </w:tcPr>
          <w:p w14:paraId="1D026C2D" w14:textId="77777777" w:rsidR="004421F6" w:rsidRDefault="004421F6">
            <w:pPr>
              <w:rPr>
                <w:rFonts w:ascii="宋体"/>
              </w:rPr>
            </w:pPr>
          </w:p>
        </w:tc>
        <w:tc>
          <w:tcPr>
            <w:tcW w:w="0" w:type="auto"/>
            <w:shd w:val="clear" w:color="auto" w:fill="auto"/>
          </w:tcPr>
          <w:p w14:paraId="1D026C2E" w14:textId="77777777" w:rsidR="004421F6" w:rsidRDefault="004421F6">
            <w:pPr>
              <w:rPr>
                <w:rFonts w:ascii="宋体"/>
              </w:rPr>
            </w:pPr>
          </w:p>
        </w:tc>
        <w:tc>
          <w:tcPr>
            <w:tcW w:w="0" w:type="auto"/>
            <w:shd w:val="clear" w:color="auto" w:fill="auto"/>
          </w:tcPr>
          <w:p w14:paraId="1D026C2F" w14:textId="77777777" w:rsidR="004421F6" w:rsidRDefault="004421F6">
            <w:pPr>
              <w:rPr>
                <w:rFonts w:ascii="宋体"/>
              </w:rPr>
            </w:pPr>
          </w:p>
        </w:tc>
        <w:tc>
          <w:tcPr>
            <w:tcW w:w="0" w:type="auto"/>
            <w:shd w:val="clear" w:color="auto" w:fill="auto"/>
          </w:tcPr>
          <w:p w14:paraId="1D026C30" w14:textId="77777777" w:rsidR="004421F6" w:rsidRDefault="004421F6">
            <w:pPr>
              <w:rPr>
                <w:rFonts w:ascii="宋体"/>
              </w:rPr>
            </w:pPr>
          </w:p>
        </w:tc>
      </w:tr>
      <w:tr w:rsidR="004421F6" w14:paraId="1D026C46"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C32" w14:textId="77777777" w:rsidR="004421F6" w:rsidRDefault="00F1562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tcMar>
            <w:vAlign w:val="bottom"/>
          </w:tcPr>
          <w:p w14:paraId="1D026C33"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C34" w14:textId="77777777" w:rsidR="004421F6" w:rsidRDefault="00F15622">
            <w:pPr>
              <w:jc w:val="right"/>
              <w:textAlignment w:val="bottom"/>
            </w:pPr>
            <w:r>
              <w:rPr>
                <w:rFonts w:ascii="Arial" w:eastAsia="宋体" w:hAnsi="Arial" w:cs="Arial"/>
                <w:color w:val="000000"/>
                <w:sz w:val="17"/>
                <w:szCs w:val="17"/>
              </w:rPr>
              <w:t>2,957 </w:t>
            </w:r>
          </w:p>
        </w:tc>
        <w:tc>
          <w:tcPr>
            <w:tcW w:w="0" w:type="auto"/>
            <w:tcBorders>
              <w:top w:val="single" w:sz="8" w:space="0" w:color="808080"/>
            </w:tcBorders>
            <w:shd w:val="clear" w:color="auto" w:fill="FFF1E7"/>
            <w:tcMar>
              <w:top w:w="40" w:type="dxa"/>
              <w:bottom w:w="40" w:type="dxa"/>
              <w:right w:w="20" w:type="dxa"/>
            </w:tcMar>
            <w:vAlign w:val="bottom"/>
          </w:tcPr>
          <w:p w14:paraId="1D026C35"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C36"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C37" w14:textId="77777777" w:rsidR="004421F6" w:rsidRDefault="00F15622">
            <w:pPr>
              <w:jc w:val="right"/>
              <w:textAlignment w:val="bottom"/>
            </w:pPr>
            <w:r>
              <w:rPr>
                <w:rFonts w:ascii="Arial" w:eastAsia="宋体" w:hAnsi="Arial" w:cs="Arial"/>
                <w:color w:val="000000"/>
                <w:sz w:val="17"/>
                <w:szCs w:val="17"/>
              </w:rPr>
              <w:t>2,669 </w:t>
            </w:r>
          </w:p>
        </w:tc>
        <w:tc>
          <w:tcPr>
            <w:tcW w:w="0" w:type="auto"/>
            <w:tcBorders>
              <w:top w:val="single" w:sz="8" w:space="0" w:color="808080"/>
            </w:tcBorders>
            <w:shd w:val="clear" w:color="auto" w:fill="auto"/>
            <w:tcMar>
              <w:top w:w="40" w:type="dxa"/>
              <w:bottom w:w="40" w:type="dxa"/>
              <w:right w:w="20" w:type="dxa"/>
            </w:tcMar>
            <w:vAlign w:val="bottom"/>
          </w:tcPr>
          <w:p w14:paraId="1D026C38"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C39" w14:textId="77777777" w:rsidR="004421F6" w:rsidRDefault="00F15622">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bottom w:w="40" w:type="dxa"/>
              <w:right w:w="20" w:type="dxa"/>
            </w:tcMar>
            <w:vAlign w:val="bottom"/>
          </w:tcPr>
          <w:p w14:paraId="1D026C3A"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C3B" w14:textId="77777777" w:rsidR="004421F6" w:rsidRDefault="00F15622">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bottom w:w="40" w:type="dxa"/>
              <w:right w:w="20" w:type="dxa"/>
            </w:tcMar>
            <w:vAlign w:val="bottom"/>
          </w:tcPr>
          <w:p w14:paraId="1D026C3C"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C3D" w14:textId="77777777" w:rsidR="004421F6" w:rsidRDefault="004421F6">
            <w:pPr>
              <w:rPr>
                <w:rFonts w:ascii="宋体"/>
              </w:rPr>
            </w:pPr>
          </w:p>
        </w:tc>
        <w:tc>
          <w:tcPr>
            <w:tcW w:w="0" w:type="auto"/>
            <w:shd w:val="clear" w:color="auto" w:fill="auto"/>
          </w:tcPr>
          <w:p w14:paraId="1D026C3E" w14:textId="77777777" w:rsidR="004421F6" w:rsidRDefault="004421F6">
            <w:pPr>
              <w:rPr>
                <w:rFonts w:ascii="宋体"/>
              </w:rPr>
            </w:pPr>
          </w:p>
        </w:tc>
        <w:tc>
          <w:tcPr>
            <w:tcW w:w="0" w:type="auto"/>
            <w:shd w:val="clear" w:color="auto" w:fill="auto"/>
          </w:tcPr>
          <w:p w14:paraId="1D026C3F" w14:textId="77777777" w:rsidR="004421F6" w:rsidRDefault="004421F6">
            <w:pPr>
              <w:rPr>
                <w:rFonts w:ascii="宋体"/>
              </w:rPr>
            </w:pPr>
          </w:p>
        </w:tc>
        <w:tc>
          <w:tcPr>
            <w:tcW w:w="0" w:type="auto"/>
            <w:shd w:val="clear" w:color="auto" w:fill="auto"/>
          </w:tcPr>
          <w:p w14:paraId="1D026C40" w14:textId="77777777" w:rsidR="004421F6" w:rsidRDefault="004421F6">
            <w:pPr>
              <w:rPr>
                <w:rFonts w:ascii="宋体"/>
              </w:rPr>
            </w:pPr>
          </w:p>
        </w:tc>
        <w:tc>
          <w:tcPr>
            <w:tcW w:w="0" w:type="auto"/>
            <w:shd w:val="clear" w:color="auto" w:fill="auto"/>
          </w:tcPr>
          <w:p w14:paraId="1D026C41" w14:textId="77777777" w:rsidR="004421F6" w:rsidRDefault="004421F6">
            <w:pPr>
              <w:rPr>
                <w:rFonts w:ascii="宋体"/>
              </w:rPr>
            </w:pPr>
          </w:p>
        </w:tc>
        <w:tc>
          <w:tcPr>
            <w:tcW w:w="0" w:type="auto"/>
            <w:shd w:val="clear" w:color="auto" w:fill="auto"/>
          </w:tcPr>
          <w:p w14:paraId="1D026C42" w14:textId="77777777" w:rsidR="004421F6" w:rsidRDefault="004421F6">
            <w:pPr>
              <w:rPr>
                <w:rFonts w:ascii="宋体"/>
              </w:rPr>
            </w:pPr>
          </w:p>
        </w:tc>
        <w:tc>
          <w:tcPr>
            <w:tcW w:w="0" w:type="auto"/>
            <w:shd w:val="clear" w:color="auto" w:fill="auto"/>
          </w:tcPr>
          <w:p w14:paraId="1D026C43" w14:textId="77777777" w:rsidR="004421F6" w:rsidRDefault="004421F6">
            <w:pPr>
              <w:rPr>
                <w:rFonts w:ascii="宋体"/>
              </w:rPr>
            </w:pPr>
          </w:p>
        </w:tc>
        <w:tc>
          <w:tcPr>
            <w:tcW w:w="0" w:type="auto"/>
            <w:shd w:val="clear" w:color="auto" w:fill="auto"/>
          </w:tcPr>
          <w:p w14:paraId="1D026C44" w14:textId="77777777" w:rsidR="004421F6" w:rsidRDefault="004421F6">
            <w:pPr>
              <w:rPr>
                <w:rFonts w:ascii="宋体"/>
              </w:rPr>
            </w:pPr>
          </w:p>
        </w:tc>
        <w:tc>
          <w:tcPr>
            <w:tcW w:w="0" w:type="auto"/>
            <w:shd w:val="clear" w:color="auto" w:fill="auto"/>
          </w:tcPr>
          <w:p w14:paraId="1D026C45" w14:textId="77777777" w:rsidR="004421F6" w:rsidRDefault="004421F6">
            <w:pPr>
              <w:rPr>
                <w:rFonts w:ascii="宋体"/>
              </w:rPr>
            </w:pPr>
          </w:p>
        </w:tc>
      </w:tr>
      <w:tr w:rsidR="004421F6" w14:paraId="1D026C59"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C47" w14:textId="77777777" w:rsidR="004421F6" w:rsidRDefault="00F1562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C48" w14:textId="77777777" w:rsidR="004421F6" w:rsidRDefault="00F15622">
            <w:pPr>
              <w:jc w:val="right"/>
              <w:textAlignment w:val="bottom"/>
            </w:pPr>
            <w:r>
              <w:rPr>
                <w:rFonts w:ascii="Arial" w:eastAsia="宋体" w:hAnsi="Arial" w:cs="Arial"/>
                <w:color w:val="000000"/>
                <w:sz w:val="17"/>
                <w:szCs w:val="17"/>
              </w:rPr>
              <w:t>1,125 </w:t>
            </w:r>
          </w:p>
        </w:tc>
        <w:tc>
          <w:tcPr>
            <w:tcW w:w="0" w:type="auto"/>
            <w:tcBorders>
              <w:top w:val="single" w:sz="8" w:space="0" w:color="808080"/>
            </w:tcBorders>
            <w:shd w:val="clear" w:color="auto" w:fill="FFF1E7"/>
            <w:tcMar>
              <w:top w:w="40" w:type="dxa"/>
              <w:bottom w:w="40" w:type="dxa"/>
              <w:right w:w="20" w:type="dxa"/>
            </w:tcMar>
            <w:vAlign w:val="bottom"/>
          </w:tcPr>
          <w:p w14:paraId="1D026C49"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C4A" w14:textId="77777777" w:rsidR="004421F6" w:rsidRDefault="00F15622">
            <w:pPr>
              <w:jc w:val="right"/>
              <w:textAlignment w:val="bottom"/>
            </w:pPr>
            <w:r>
              <w:rPr>
                <w:rFonts w:ascii="Arial" w:eastAsia="宋体" w:hAnsi="Arial" w:cs="Arial"/>
                <w:color w:val="000000"/>
                <w:sz w:val="17"/>
                <w:szCs w:val="17"/>
              </w:rPr>
              <w:t>1,431 </w:t>
            </w:r>
          </w:p>
        </w:tc>
        <w:tc>
          <w:tcPr>
            <w:tcW w:w="0" w:type="auto"/>
            <w:tcBorders>
              <w:top w:val="single" w:sz="8" w:space="0" w:color="808080"/>
            </w:tcBorders>
            <w:shd w:val="clear" w:color="auto" w:fill="auto"/>
            <w:tcMar>
              <w:top w:w="40" w:type="dxa"/>
              <w:bottom w:w="40" w:type="dxa"/>
              <w:right w:w="20" w:type="dxa"/>
            </w:tcMar>
            <w:vAlign w:val="bottom"/>
          </w:tcPr>
          <w:p w14:paraId="1D026C4B"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C4C" w14:textId="77777777" w:rsidR="004421F6" w:rsidRDefault="00F15622">
            <w:pPr>
              <w:jc w:val="right"/>
              <w:textAlignment w:val="bottom"/>
            </w:pPr>
            <w:r>
              <w:rPr>
                <w:rFonts w:ascii="Arial" w:eastAsia="宋体" w:hAnsi="Arial" w:cs="Arial"/>
                <w:color w:val="000000"/>
                <w:sz w:val="17"/>
                <w:szCs w:val="17"/>
              </w:rPr>
              <w:t>-21 </w:t>
            </w:r>
          </w:p>
        </w:tc>
        <w:tc>
          <w:tcPr>
            <w:tcW w:w="0" w:type="auto"/>
            <w:tcBorders>
              <w:top w:val="single" w:sz="8" w:space="0" w:color="808080"/>
            </w:tcBorders>
            <w:shd w:val="clear" w:color="auto" w:fill="auto"/>
            <w:tcMar>
              <w:top w:w="40" w:type="dxa"/>
              <w:bottom w:w="40" w:type="dxa"/>
              <w:right w:w="20" w:type="dxa"/>
            </w:tcMar>
            <w:vAlign w:val="bottom"/>
          </w:tcPr>
          <w:p w14:paraId="1D026C4D"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C4E" w14:textId="77777777" w:rsidR="004421F6" w:rsidRDefault="00F15622">
            <w:pPr>
              <w:jc w:val="right"/>
              <w:textAlignment w:val="bottom"/>
            </w:pPr>
            <w:r>
              <w:rPr>
                <w:rFonts w:ascii="Arial" w:eastAsia="宋体" w:hAnsi="Arial" w:cs="Arial"/>
                <w:color w:val="000000"/>
                <w:sz w:val="17"/>
                <w:szCs w:val="17"/>
              </w:rPr>
              <w:t>-21 </w:t>
            </w:r>
          </w:p>
        </w:tc>
        <w:tc>
          <w:tcPr>
            <w:tcW w:w="0" w:type="auto"/>
            <w:tcBorders>
              <w:top w:val="single" w:sz="8" w:space="0" w:color="808080"/>
            </w:tcBorders>
            <w:shd w:val="clear" w:color="auto" w:fill="auto"/>
            <w:tcMar>
              <w:top w:w="40" w:type="dxa"/>
              <w:bottom w:w="40" w:type="dxa"/>
              <w:right w:w="20" w:type="dxa"/>
            </w:tcMar>
            <w:vAlign w:val="bottom"/>
          </w:tcPr>
          <w:p w14:paraId="1D026C4F"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C50" w14:textId="77777777" w:rsidR="004421F6" w:rsidRDefault="004421F6">
            <w:pPr>
              <w:rPr>
                <w:rFonts w:ascii="宋体"/>
              </w:rPr>
            </w:pPr>
          </w:p>
        </w:tc>
        <w:tc>
          <w:tcPr>
            <w:tcW w:w="0" w:type="auto"/>
            <w:shd w:val="clear" w:color="auto" w:fill="auto"/>
          </w:tcPr>
          <w:p w14:paraId="1D026C51" w14:textId="77777777" w:rsidR="004421F6" w:rsidRDefault="004421F6">
            <w:pPr>
              <w:rPr>
                <w:rFonts w:ascii="宋体"/>
              </w:rPr>
            </w:pPr>
          </w:p>
        </w:tc>
        <w:tc>
          <w:tcPr>
            <w:tcW w:w="0" w:type="auto"/>
            <w:shd w:val="clear" w:color="auto" w:fill="auto"/>
          </w:tcPr>
          <w:p w14:paraId="1D026C52" w14:textId="77777777" w:rsidR="004421F6" w:rsidRDefault="004421F6">
            <w:pPr>
              <w:rPr>
                <w:rFonts w:ascii="宋体"/>
              </w:rPr>
            </w:pPr>
          </w:p>
        </w:tc>
        <w:tc>
          <w:tcPr>
            <w:tcW w:w="0" w:type="auto"/>
            <w:shd w:val="clear" w:color="auto" w:fill="auto"/>
          </w:tcPr>
          <w:p w14:paraId="1D026C53" w14:textId="77777777" w:rsidR="004421F6" w:rsidRDefault="004421F6">
            <w:pPr>
              <w:rPr>
                <w:rFonts w:ascii="宋体"/>
              </w:rPr>
            </w:pPr>
          </w:p>
        </w:tc>
        <w:tc>
          <w:tcPr>
            <w:tcW w:w="0" w:type="auto"/>
            <w:shd w:val="clear" w:color="auto" w:fill="auto"/>
          </w:tcPr>
          <w:p w14:paraId="1D026C54" w14:textId="77777777" w:rsidR="004421F6" w:rsidRDefault="004421F6">
            <w:pPr>
              <w:rPr>
                <w:rFonts w:ascii="宋体"/>
              </w:rPr>
            </w:pPr>
          </w:p>
        </w:tc>
        <w:tc>
          <w:tcPr>
            <w:tcW w:w="0" w:type="auto"/>
            <w:shd w:val="clear" w:color="auto" w:fill="auto"/>
          </w:tcPr>
          <w:p w14:paraId="1D026C55" w14:textId="77777777" w:rsidR="004421F6" w:rsidRDefault="004421F6">
            <w:pPr>
              <w:rPr>
                <w:rFonts w:ascii="宋体"/>
              </w:rPr>
            </w:pPr>
          </w:p>
        </w:tc>
        <w:tc>
          <w:tcPr>
            <w:tcW w:w="0" w:type="auto"/>
            <w:shd w:val="clear" w:color="auto" w:fill="auto"/>
          </w:tcPr>
          <w:p w14:paraId="1D026C56" w14:textId="77777777" w:rsidR="004421F6" w:rsidRDefault="004421F6">
            <w:pPr>
              <w:rPr>
                <w:rFonts w:ascii="宋体"/>
              </w:rPr>
            </w:pPr>
          </w:p>
        </w:tc>
        <w:tc>
          <w:tcPr>
            <w:tcW w:w="0" w:type="auto"/>
            <w:shd w:val="clear" w:color="auto" w:fill="auto"/>
          </w:tcPr>
          <w:p w14:paraId="1D026C57" w14:textId="77777777" w:rsidR="004421F6" w:rsidRDefault="004421F6">
            <w:pPr>
              <w:rPr>
                <w:rFonts w:ascii="宋体"/>
              </w:rPr>
            </w:pPr>
          </w:p>
        </w:tc>
        <w:tc>
          <w:tcPr>
            <w:tcW w:w="0" w:type="auto"/>
            <w:shd w:val="clear" w:color="auto" w:fill="auto"/>
          </w:tcPr>
          <w:p w14:paraId="1D026C58" w14:textId="77777777" w:rsidR="004421F6" w:rsidRDefault="004421F6">
            <w:pPr>
              <w:rPr>
                <w:rFonts w:ascii="宋体"/>
              </w:rPr>
            </w:pPr>
          </w:p>
        </w:tc>
      </w:tr>
      <w:tr w:rsidR="004421F6" w14:paraId="1D026C6C"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C5A" w14:textId="77777777" w:rsidR="004421F6" w:rsidRDefault="00F1562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C5B" w14:textId="77777777" w:rsidR="004421F6" w:rsidRDefault="00F15622">
            <w:pPr>
              <w:jc w:val="right"/>
              <w:textAlignment w:val="bottom"/>
            </w:pPr>
            <w:r>
              <w:rPr>
                <w:rFonts w:ascii="Arial" w:eastAsia="宋体" w:hAnsi="Arial" w:cs="Arial"/>
                <w:color w:val="000000"/>
                <w:sz w:val="17"/>
                <w:szCs w:val="17"/>
              </w:rPr>
              <w:t>143 </w:t>
            </w:r>
          </w:p>
        </w:tc>
        <w:tc>
          <w:tcPr>
            <w:tcW w:w="0" w:type="auto"/>
            <w:tcBorders>
              <w:top w:val="single" w:sz="8" w:space="0" w:color="808080"/>
            </w:tcBorders>
            <w:shd w:val="clear" w:color="auto" w:fill="FFF1E7"/>
            <w:tcMar>
              <w:top w:w="40" w:type="dxa"/>
              <w:bottom w:w="40" w:type="dxa"/>
              <w:right w:w="20" w:type="dxa"/>
            </w:tcMar>
            <w:vAlign w:val="bottom"/>
          </w:tcPr>
          <w:p w14:paraId="1D026C5C"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C5D" w14:textId="77777777" w:rsidR="004421F6" w:rsidRDefault="00F15622">
            <w:pPr>
              <w:jc w:val="right"/>
              <w:textAlignment w:val="bottom"/>
            </w:pPr>
            <w:r>
              <w:rPr>
                <w:rFonts w:ascii="Arial" w:eastAsia="宋体" w:hAnsi="Arial" w:cs="Arial"/>
                <w:color w:val="000000"/>
                <w:sz w:val="17"/>
                <w:szCs w:val="17"/>
              </w:rPr>
              <w:t>193 </w:t>
            </w:r>
          </w:p>
        </w:tc>
        <w:tc>
          <w:tcPr>
            <w:tcW w:w="0" w:type="auto"/>
            <w:tcBorders>
              <w:top w:val="single" w:sz="8" w:space="0" w:color="808080"/>
            </w:tcBorders>
            <w:shd w:val="clear" w:color="auto" w:fill="auto"/>
            <w:tcMar>
              <w:top w:w="40" w:type="dxa"/>
              <w:bottom w:w="40" w:type="dxa"/>
              <w:right w:w="20" w:type="dxa"/>
            </w:tcMar>
            <w:vAlign w:val="bottom"/>
          </w:tcPr>
          <w:p w14:paraId="1D026C5E"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C5F" w14:textId="77777777" w:rsidR="004421F6" w:rsidRDefault="00F15622">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auto"/>
            <w:tcMar>
              <w:top w:w="40" w:type="dxa"/>
              <w:bottom w:w="40" w:type="dxa"/>
              <w:right w:w="20" w:type="dxa"/>
            </w:tcMar>
            <w:vAlign w:val="bottom"/>
          </w:tcPr>
          <w:p w14:paraId="1D026C60"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C61" w14:textId="77777777" w:rsidR="004421F6" w:rsidRDefault="00F15622">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auto"/>
            <w:tcMar>
              <w:top w:w="40" w:type="dxa"/>
              <w:bottom w:w="40" w:type="dxa"/>
              <w:right w:w="20" w:type="dxa"/>
            </w:tcMar>
            <w:vAlign w:val="bottom"/>
          </w:tcPr>
          <w:p w14:paraId="1D026C62"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C63" w14:textId="77777777" w:rsidR="004421F6" w:rsidRDefault="004421F6">
            <w:pPr>
              <w:rPr>
                <w:rFonts w:ascii="宋体"/>
              </w:rPr>
            </w:pPr>
          </w:p>
        </w:tc>
        <w:tc>
          <w:tcPr>
            <w:tcW w:w="0" w:type="auto"/>
            <w:shd w:val="clear" w:color="auto" w:fill="auto"/>
          </w:tcPr>
          <w:p w14:paraId="1D026C64" w14:textId="77777777" w:rsidR="004421F6" w:rsidRDefault="004421F6">
            <w:pPr>
              <w:rPr>
                <w:rFonts w:ascii="宋体"/>
              </w:rPr>
            </w:pPr>
          </w:p>
        </w:tc>
        <w:tc>
          <w:tcPr>
            <w:tcW w:w="0" w:type="auto"/>
            <w:shd w:val="clear" w:color="auto" w:fill="auto"/>
          </w:tcPr>
          <w:p w14:paraId="1D026C65" w14:textId="77777777" w:rsidR="004421F6" w:rsidRDefault="004421F6">
            <w:pPr>
              <w:rPr>
                <w:rFonts w:ascii="宋体"/>
              </w:rPr>
            </w:pPr>
          </w:p>
        </w:tc>
        <w:tc>
          <w:tcPr>
            <w:tcW w:w="0" w:type="auto"/>
            <w:shd w:val="clear" w:color="auto" w:fill="auto"/>
          </w:tcPr>
          <w:p w14:paraId="1D026C66" w14:textId="77777777" w:rsidR="004421F6" w:rsidRDefault="004421F6">
            <w:pPr>
              <w:rPr>
                <w:rFonts w:ascii="宋体"/>
              </w:rPr>
            </w:pPr>
          </w:p>
        </w:tc>
        <w:tc>
          <w:tcPr>
            <w:tcW w:w="0" w:type="auto"/>
            <w:shd w:val="clear" w:color="auto" w:fill="auto"/>
          </w:tcPr>
          <w:p w14:paraId="1D026C67" w14:textId="77777777" w:rsidR="004421F6" w:rsidRDefault="004421F6">
            <w:pPr>
              <w:rPr>
                <w:rFonts w:ascii="宋体"/>
              </w:rPr>
            </w:pPr>
          </w:p>
        </w:tc>
        <w:tc>
          <w:tcPr>
            <w:tcW w:w="0" w:type="auto"/>
            <w:shd w:val="clear" w:color="auto" w:fill="auto"/>
          </w:tcPr>
          <w:p w14:paraId="1D026C68" w14:textId="77777777" w:rsidR="004421F6" w:rsidRDefault="004421F6">
            <w:pPr>
              <w:rPr>
                <w:rFonts w:ascii="宋体"/>
              </w:rPr>
            </w:pPr>
          </w:p>
        </w:tc>
        <w:tc>
          <w:tcPr>
            <w:tcW w:w="0" w:type="auto"/>
            <w:shd w:val="clear" w:color="auto" w:fill="auto"/>
          </w:tcPr>
          <w:p w14:paraId="1D026C69" w14:textId="77777777" w:rsidR="004421F6" w:rsidRDefault="004421F6">
            <w:pPr>
              <w:rPr>
                <w:rFonts w:ascii="宋体"/>
              </w:rPr>
            </w:pPr>
          </w:p>
        </w:tc>
        <w:tc>
          <w:tcPr>
            <w:tcW w:w="0" w:type="auto"/>
            <w:shd w:val="clear" w:color="auto" w:fill="auto"/>
          </w:tcPr>
          <w:p w14:paraId="1D026C6A" w14:textId="77777777" w:rsidR="004421F6" w:rsidRDefault="004421F6">
            <w:pPr>
              <w:rPr>
                <w:rFonts w:ascii="宋体"/>
              </w:rPr>
            </w:pPr>
          </w:p>
        </w:tc>
        <w:tc>
          <w:tcPr>
            <w:tcW w:w="0" w:type="auto"/>
            <w:shd w:val="clear" w:color="auto" w:fill="auto"/>
          </w:tcPr>
          <w:p w14:paraId="1D026C6B" w14:textId="77777777" w:rsidR="004421F6" w:rsidRDefault="004421F6">
            <w:pPr>
              <w:rPr>
                <w:rFonts w:ascii="宋体"/>
              </w:rPr>
            </w:pPr>
          </w:p>
        </w:tc>
      </w:tr>
      <w:tr w:rsidR="004421F6" w14:paraId="1D026C8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C6D" w14:textId="77777777" w:rsidR="004421F6" w:rsidRDefault="00F1562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tcMar>
            <w:vAlign w:val="bottom"/>
          </w:tcPr>
          <w:p w14:paraId="1D026C6E"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C6F" w14:textId="77777777" w:rsidR="004421F6" w:rsidRDefault="00F15622">
            <w:pPr>
              <w:jc w:val="right"/>
              <w:textAlignment w:val="bottom"/>
            </w:pPr>
            <w:r>
              <w:rPr>
                <w:rFonts w:ascii="Arial" w:eastAsia="宋体" w:hAnsi="Arial" w:cs="Arial"/>
                <w:b/>
                <w:bCs/>
                <w:color w:val="000000"/>
                <w:sz w:val="17"/>
                <w:szCs w:val="17"/>
              </w:rPr>
              <w:t>4,225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C70"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C71"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C72" w14:textId="77777777" w:rsidR="004421F6" w:rsidRDefault="00F15622">
            <w:pPr>
              <w:jc w:val="right"/>
              <w:textAlignment w:val="bottom"/>
            </w:pPr>
            <w:r>
              <w:rPr>
                <w:rFonts w:ascii="Arial" w:eastAsia="宋体" w:hAnsi="Arial" w:cs="Arial"/>
                <w:b/>
                <w:bCs/>
                <w:color w:val="000000"/>
                <w:sz w:val="17"/>
                <w:szCs w:val="17"/>
              </w:rPr>
              <w:t>4,293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C73"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C74" w14:textId="77777777" w:rsidR="004421F6" w:rsidRDefault="00F15622">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C75"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C76" w14:textId="77777777" w:rsidR="004421F6" w:rsidRDefault="00F1562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C77"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6C78" w14:textId="77777777" w:rsidR="004421F6" w:rsidRDefault="004421F6">
            <w:pPr>
              <w:rPr>
                <w:rFonts w:ascii="宋体"/>
              </w:rPr>
            </w:pPr>
          </w:p>
        </w:tc>
        <w:tc>
          <w:tcPr>
            <w:tcW w:w="0" w:type="auto"/>
            <w:shd w:val="clear" w:color="auto" w:fill="auto"/>
          </w:tcPr>
          <w:p w14:paraId="1D026C79" w14:textId="77777777" w:rsidR="004421F6" w:rsidRDefault="004421F6">
            <w:pPr>
              <w:rPr>
                <w:rFonts w:ascii="宋体"/>
              </w:rPr>
            </w:pPr>
          </w:p>
        </w:tc>
        <w:tc>
          <w:tcPr>
            <w:tcW w:w="0" w:type="auto"/>
            <w:shd w:val="clear" w:color="auto" w:fill="auto"/>
          </w:tcPr>
          <w:p w14:paraId="1D026C7A" w14:textId="77777777" w:rsidR="004421F6" w:rsidRDefault="004421F6">
            <w:pPr>
              <w:rPr>
                <w:rFonts w:ascii="宋体"/>
              </w:rPr>
            </w:pPr>
          </w:p>
        </w:tc>
        <w:tc>
          <w:tcPr>
            <w:tcW w:w="0" w:type="auto"/>
            <w:shd w:val="clear" w:color="auto" w:fill="auto"/>
          </w:tcPr>
          <w:p w14:paraId="1D026C7B" w14:textId="77777777" w:rsidR="004421F6" w:rsidRDefault="004421F6">
            <w:pPr>
              <w:rPr>
                <w:rFonts w:ascii="宋体"/>
              </w:rPr>
            </w:pPr>
          </w:p>
        </w:tc>
        <w:tc>
          <w:tcPr>
            <w:tcW w:w="0" w:type="auto"/>
            <w:shd w:val="clear" w:color="auto" w:fill="auto"/>
          </w:tcPr>
          <w:p w14:paraId="1D026C7C" w14:textId="77777777" w:rsidR="004421F6" w:rsidRDefault="004421F6">
            <w:pPr>
              <w:rPr>
                <w:rFonts w:ascii="宋体"/>
              </w:rPr>
            </w:pPr>
          </w:p>
        </w:tc>
        <w:tc>
          <w:tcPr>
            <w:tcW w:w="0" w:type="auto"/>
            <w:shd w:val="clear" w:color="auto" w:fill="auto"/>
          </w:tcPr>
          <w:p w14:paraId="1D026C7D" w14:textId="77777777" w:rsidR="004421F6" w:rsidRDefault="004421F6">
            <w:pPr>
              <w:rPr>
                <w:rFonts w:ascii="宋体"/>
              </w:rPr>
            </w:pPr>
          </w:p>
        </w:tc>
        <w:tc>
          <w:tcPr>
            <w:tcW w:w="0" w:type="auto"/>
            <w:shd w:val="clear" w:color="auto" w:fill="auto"/>
          </w:tcPr>
          <w:p w14:paraId="1D026C7E" w14:textId="77777777" w:rsidR="004421F6" w:rsidRDefault="004421F6">
            <w:pPr>
              <w:rPr>
                <w:rFonts w:ascii="宋体"/>
              </w:rPr>
            </w:pPr>
          </w:p>
        </w:tc>
        <w:tc>
          <w:tcPr>
            <w:tcW w:w="0" w:type="auto"/>
            <w:shd w:val="clear" w:color="auto" w:fill="auto"/>
          </w:tcPr>
          <w:p w14:paraId="1D026C7F" w14:textId="77777777" w:rsidR="004421F6" w:rsidRDefault="004421F6">
            <w:pPr>
              <w:rPr>
                <w:rFonts w:ascii="宋体"/>
              </w:rPr>
            </w:pPr>
          </w:p>
        </w:tc>
        <w:tc>
          <w:tcPr>
            <w:tcW w:w="0" w:type="auto"/>
            <w:shd w:val="clear" w:color="auto" w:fill="auto"/>
          </w:tcPr>
          <w:p w14:paraId="1D026C80" w14:textId="77777777" w:rsidR="004421F6" w:rsidRDefault="004421F6">
            <w:pPr>
              <w:rPr>
                <w:rFonts w:ascii="宋体"/>
              </w:rPr>
            </w:pPr>
          </w:p>
        </w:tc>
      </w:tr>
      <w:tr w:rsidR="004421F6" w14:paraId="1D026C9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C82" w14:textId="77777777" w:rsidR="004421F6" w:rsidRDefault="00F1562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1D026C83" w14:textId="77777777" w:rsidR="004421F6" w:rsidRDefault="00F15622">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C84" w14:textId="77777777" w:rsidR="004421F6" w:rsidRDefault="00F15622">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left w:w="20" w:type="dxa"/>
              <w:right w:w="20" w:type="dxa"/>
            </w:tcMar>
            <w:vAlign w:val="bottom"/>
          </w:tcPr>
          <w:p w14:paraId="1D026C85"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C86" w14:textId="77777777" w:rsidR="004421F6" w:rsidRDefault="004421F6">
            <w:pPr>
              <w:rPr>
                <w:rFonts w:ascii="宋体"/>
              </w:rPr>
            </w:pPr>
          </w:p>
        </w:tc>
        <w:tc>
          <w:tcPr>
            <w:tcW w:w="0" w:type="auto"/>
            <w:shd w:val="clear" w:color="auto" w:fill="auto"/>
          </w:tcPr>
          <w:p w14:paraId="1D026C87" w14:textId="77777777" w:rsidR="004421F6" w:rsidRDefault="004421F6">
            <w:pPr>
              <w:rPr>
                <w:rFonts w:ascii="宋体"/>
              </w:rPr>
            </w:pPr>
          </w:p>
        </w:tc>
        <w:tc>
          <w:tcPr>
            <w:tcW w:w="0" w:type="auto"/>
            <w:shd w:val="clear" w:color="auto" w:fill="auto"/>
          </w:tcPr>
          <w:p w14:paraId="1D026C88" w14:textId="77777777" w:rsidR="004421F6" w:rsidRDefault="004421F6">
            <w:pPr>
              <w:rPr>
                <w:rFonts w:ascii="宋体"/>
              </w:rPr>
            </w:pPr>
          </w:p>
        </w:tc>
        <w:tc>
          <w:tcPr>
            <w:tcW w:w="0" w:type="auto"/>
            <w:shd w:val="clear" w:color="auto" w:fill="auto"/>
          </w:tcPr>
          <w:p w14:paraId="1D026C89" w14:textId="77777777" w:rsidR="004421F6" w:rsidRDefault="004421F6">
            <w:pPr>
              <w:rPr>
                <w:rFonts w:ascii="宋体"/>
              </w:rPr>
            </w:pPr>
          </w:p>
        </w:tc>
        <w:tc>
          <w:tcPr>
            <w:tcW w:w="0" w:type="auto"/>
            <w:shd w:val="clear" w:color="auto" w:fill="auto"/>
          </w:tcPr>
          <w:p w14:paraId="1D026C8A" w14:textId="77777777" w:rsidR="004421F6" w:rsidRDefault="004421F6">
            <w:pPr>
              <w:rPr>
                <w:rFonts w:ascii="宋体"/>
              </w:rPr>
            </w:pPr>
          </w:p>
        </w:tc>
        <w:tc>
          <w:tcPr>
            <w:tcW w:w="0" w:type="auto"/>
            <w:shd w:val="clear" w:color="auto" w:fill="auto"/>
          </w:tcPr>
          <w:p w14:paraId="1D026C8B" w14:textId="77777777" w:rsidR="004421F6" w:rsidRDefault="004421F6">
            <w:pPr>
              <w:rPr>
                <w:rFonts w:ascii="宋体"/>
              </w:rPr>
            </w:pPr>
          </w:p>
        </w:tc>
        <w:tc>
          <w:tcPr>
            <w:tcW w:w="0" w:type="auto"/>
            <w:shd w:val="clear" w:color="auto" w:fill="auto"/>
          </w:tcPr>
          <w:p w14:paraId="1D026C8C" w14:textId="77777777" w:rsidR="004421F6" w:rsidRDefault="004421F6">
            <w:pPr>
              <w:rPr>
                <w:rFonts w:ascii="宋体"/>
              </w:rPr>
            </w:pPr>
          </w:p>
        </w:tc>
        <w:tc>
          <w:tcPr>
            <w:tcW w:w="0" w:type="auto"/>
            <w:shd w:val="clear" w:color="auto" w:fill="auto"/>
          </w:tcPr>
          <w:p w14:paraId="1D026C8D" w14:textId="77777777" w:rsidR="004421F6" w:rsidRDefault="004421F6">
            <w:pPr>
              <w:rPr>
                <w:rFonts w:ascii="宋体"/>
              </w:rPr>
            </w:pPr>
          </w:p>
        </w:tc>
        <w:tc>
          <w:tcPr>
            <w:tcW w:w="0" w:type="auto"/>
            <w:shd w:val="clear" w:color="auto" w:fill="auto"/>
          </w:tcPr>
          <w:p w14:paraId="1D026C8E" w14:textId="77777777" w:rsidR="004421F6" w:rsidRDefault="004421F6">
            <w:pPr>
              <w:rPr>
                <w:rFonts w:ascii="宋体"/>
              </w:rPr>
            </w:pPr>
          </w:p>
        </w:tc>
        <w:tc>
          <w:tcPr>
            <w:tcW w:w="0" w:type="auto"/>
            <w:shd w:val="clear" w:color="auto" w:fill="auto"/>
          </w:tcPr>
          <w:p w14:paraId="1D026C8F" w14:textId="77777777" w:rsidR="004421F6" w:rsidRDefault="004421F6">
            <w:pPr>
              <w:rPr>
                <w:rFonts w:ascii="宋体"/>
              </w:rPr>
            </w:pPr>
          </w:p>
        </w:tc>
      </w:tr>
      <w:tr w:rsidR="004421F6" w14:paraId="1D026CA5"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C91" w14:textId="77777777" w:rsidR="004421F6" w:rsidRDefault="00F1562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tcMar>
            <w:vAlign w:val="bottom"/>
          </w:tcPr>
          <w:p w14:paraId="1D026C92"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C93" w14:textId="77777777" w:rsidR="004421F6" w:rsidRDefault="00F15622">
            <w:pPr>
              <w:jc w:val="right"/>
              <w:textAlignment w:val="bottom"/>
            </w:pPr>
            <w:r>
              <w:rPr>
                <w:rFonts w:ascii="Arial" w:eastAsia="宋体" w:hAnsi="Arial" w:cs="Arial"/>
                <w:color w:val="000000"/>
                <w:sz w:val="17"/>
                <w:szCs w:val="17"/>
              </w:rPr>
              <w:t>2,719 </w:t>
            </w:r>
          </w:p>
        </w:tc>
        <w:tc>
          <w:tcPr>
            <w:tcW w:w="0" w:type="auto"/>
            <w:tcBorders>
              <w:top w:val="single" w:sz="8" w:space="0" w:color="808080"/>
            </w:tcBorders>
            <w:shd w:val="clear" w:color="auto" w:fill="FFF1E7"/>
            <w:tcMar>
              <w:top w:w="40" w:type="dxa"/>
              <w:bottom w:w="40" w:type="dxa"/>
              <w:right w:w="20" w:type="dxa"/>
            </w:tcMar>
            <w:vAlign w:val="bottom"/>
          </w:tcPr>
          <w:p w14:paraId="1D026C94"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C95"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C96" w14:textId="77777777" w:rsidR="004421F6" w:rsidRDefault="00F15622">
            <w:pPr>
              <w:jc w:val="right"/>
              <w:textAlignment w:val="bottom"/>
            </w:pPr>
            <w:r>
              <w:rPr>
                <w:rFonts w:ascii="Arial" w:eastAsia="宋体" w:hAnsi="Arial" w:cs="Arial"/>
                <w:color w:val="000000"/>
                <w:sz w:val="17"/>
                <w:szCs w:val="17"/>
              </w:rPr>
              <w:t>2,864 </w:t>
            </w:r>
          </w:p>
        </w:tc>
        <w:tc>
          <w:tcPr>
            <w:tcW w:w="0" w:type="auto"/>
            <w:tcBorders>
              <w:top w:val="single" w:sz="8" w:space="0" w:color="808080"/>
            </w:tcBorders>
            <w:shd w:val="clear" w:color="auto" w:fill="auto"/>
            <w:tcMar>
              <w:top w:w="40" w:type="dxa"/>
              <w:bottom w:w="40" w:type="dxa"/>
              <w:right w:w="20" w:type="dxa"/>
            </w:tcMar>
            <w:vAlign w:val="bottom"/>
          </w:tcPr>
          <w:p w14:paraId="1D026C97"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C98" w14:textId="77777777" w:rsidR="004421F6" w:rsidRDefault="00F1562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bottom w:w="40" w:type="dxa"/>
              <w:right w:w="20" w:type="dxa"/>
            </w:tcMar>
            <w:vAlign w:val="bottom"/>
          </w:tcPr>
          <w:p w14:paraId="1D026C99"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C9A" w14:textId="77777777" w:rsidR="004421F6" w:rsidRDefault="00F1562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bottom w:w="40" w:type="dxa"/>
              <w:right w:w="20" w:type="dxa"/>
            </w:tcMar>
            <w:vAlign w:val="bottom"/>
          </w:tcPr>
          <w:p w14:paraId="1D026C9B"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C9C" w14:textId="77777777" w:rsidR="004421F6" w:rsidRDefault="004421F6">
            <w:pPr>
              <w:rPr>
                <w:rFonts w:ascii="宋体"/>
              </w:rPr>
            </w:pPr>
          </w:p>
        </w:tc>
        <w:tc>
          <w:tcPr>
            <w:tcW w:w="0" w:type="auto"/>
            <w:shd w:val="clear" w:color="auto" w:fill="auto"/>
          </w:tcPr>
          <w:p w14:paraId="1D026C9D" w14:textId="77777777" w:rsidR="004421F6" w:rsidRDefault="004421F6">
            <w:pPr>
              <w:rPr>
                <w:rFonts w:ascii="宋体"/>
              </w:rPr>
            </w:pPr>
          </w:p>
        </w:tc>
        <w:tc>
          <w:tcPr>
            <w:tcW w:w="0" w:type="auto"/>
            <w:shd w:val="clear" w:color="auto" w:fill="auto"/>
          </w:tcPr>
          <w:p w14:paraId="1D026C9E" w14:textId="77777777" w:rsidR="004421F6" w:rsidRDefault="004421F6">
            <w:pPr>
              <w:rPr>
                <w:rFonts w:ascii="宋体"/>
              </w:rPr>
            </w:pPr>
          </w:p>
        </w:tc>
        <w:tc>
          <w:tcPr>
            <w:tcW w:w="0" w:type="auto"/>
            <w:shd w:val="clear" w:color="auto" w:fill="auto"/>
          </w:tcPr>
          <w:p w14:paraId="1D026C9F" w14:textId="77777777" w:rsidR="004421F6" w:rsidRDefault="004421F6">
            <w:pPr>
              <w:rPr>
                <w:rFonts w:ascii="宋体"/>
              </w:rPr>
            </w:pPr>
          </w:p>
        </w:tc>
        <w:tc>
          <w:tcPr>
            <w:tcW w:w="0" w:type="auto"/>
            <w:shd w:val="clear" w:color="auto" w:fill="auto"/>
          </w:tcPr>
          <w:p w14:paraId="1D026CA0" w14:textId="77777777" w:rsidR="004421F6" w:rsidRDefault="004421F6">
            <w:pPr>
              <w:rPr>
                <w:rFonts w:ascii="宋体"/>
              </w:rPr>
            </w:pPr>
          </w:p>
        </w:tc>
        <w:tc>
          <w:tcPr>
            <w:tcW w:w="0" w:type="auto"/>
            <w:shd w:val="clear" w:color="auto" w:fill="auto"/>
          </w:tcPr>
          <w:p w14:paraId="1D026CA1" w14:textId="77777777" w:rsidR="004421F6" w:rsidRDefault="004421F6">
            <w:pPr>
              <w:rPr>
                <w:rFonts w:ascii="宋体"/>
              </w:rPr>
            </w:pPr>
          </w:p>
        </w:tc>
        <w:tc>
          <w:tcPr>
            <w:tcW w:w="0" w:type="auto"/>
            <w:shd w:val="clear" w:color="auto" w:fill="auto"/>
          </w:tcPr>
          <w:p w14:paraId="1D026CA2" w14:textId="77777777" w:rsidR="004421F6" w:rsidRDefault="004421F6">
            <w:pPr>
              <w:rPr>
                <w:rFonts w:ascii="宋体"/>
              </w:rPr>
            </w:pPr>
          </w:p>
        </w:tc>
        <w:tc>
          <w:tcPr>
            <w:tcW w:w="0" w:type="auto"/>
            <w:shd w:val="clear" w:color="auto" w:fill="auto"/>
          </w:tcPr>
          <w:p w14:paraId="1D026CA3" w14:textId="77777777" w:rsidR="004421F6" w:rsidRDefault="004421F6">
            <w:pPr>
              <w:rPr>
                <w:rFonts w:ascii="宋体"/>
              </w:rPr>
            </w:pPr>
          </w:p>
        </w:tc>
        <w:tc>
          <w:tcPr>
            <w:tcW w:w="0" w:type="auto"/>
            <w:shd w:val="clear" w:color="auto" w:fill="auto"/>
          </w:tcPr>
          <w:p w14:paraId="1D026CA4" w14:textId="77777777" w:rsidR="004421F6" w:rsidRDefault="004421F6">
            <w:pPr>
              <w:rPr>
                <w:rFonts w:ascii="宋体"/>
              </w:rPr>
            </w:pPr>
          </w:p>
        </w:tc>
      </w:tr>
      <w:tr w:rsidR="004421F6" w14:paraId="1D026CB8"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CA6" w14:textId="77777777" w:rsidR="004421F6" w:rsidRDefault="00F15622">
            <w:pPr>
              <w:textAlignment w:val="bottom"/>
            </w:pPr>
            <w:r>
              <w:rPr>
                <w:rFonts w:ascii="Arial" w:eastAsia="宋体" w:hAnsi="Arial" w:cs="Arial"/>
                <w:color w:val="000000"/>
                <w:sz w:val="17"/>
                <w:szCs w:val="17"/>
              </w:rPr>
              <w:t>Sales through NIKE Direct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CA7" w14:textId="77777777" w:rsidR="004421F6" w:rsidRDefault="00F15622">
            <w:pPr>
              <w:jc w:val="right"/>
              <w:textAlignment w:val="bottom"/>
            </w:pPr>
            <w:r>
              <w:rPr>
                <w:rFonts w:ascii="Arial" w:eastAsia="宋体" w:hAnsi="Arial" w:cs="Arial"/>
                <w:color w:val="000000"/>
                <w:sz w:val="17"/>
                <w:szCs w:val="17"/>
              </w:rPr>
              <w:t>1,506 </w:t>
            </w:r>
          </w:p>
        </w:tc>
        <w:tc>
          <w:tcPr>
            <w:tcW w:w="0" w:type="auto"/>
            <w:tcBorders>
              <w:top w:val="single" w:sz="8" w:space="0" w:color="808080"/>
            </w:tcBorders>
            <w:shd w:val="clear" w:color="auto" w:fill="FFF1E7"/>
            <w:tcMar>
              <w:top w:w="40" w:type="dxa"/>
              <w:bottom w:w="40" w:type="dxa"/>
              <w:right w:w="20" w:type="dxa"/>
            </w:tcMar>
            <w:vAlign w:val="bottom"/>
          </w:tcPr>
          <w:p w14:paraId="1D026CA8"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CA9" w14:textId="77777777" w:rsidR="004421F6" w:rsidRDefault="00F15622">
            <w:pPr>
              <w:jc w:val="right"/>
              <w:textAlignment w:val="bottom"/>
            </w:pPr>
            <w:r>
              <w:rPr>
                <w:rFonts w:ascii="Arial" w:eastAsia="宋体" w:hAnsi="Arial" w:cs="Arial"/>
                <w:color w:val="000000"/>
                <w:sz w:val="17"/>
                <w:szCs w:val="17"/>
              </w:rPr>
              <w:t>1,429 </w:t>
            </w:r>
          </w:p>
        </w:tc>
        <w:tc>
          <w:tcPr>
            <w:tcW w:w="0" w:type="auto"/>
            <w:tcBorders>
              <w:top w:val="single" w:sz="8" w:space="0" w:color="808080"/>
            </w:tcBorders>
            <w:shd w:val="clear" w:color="auto" w:fill="auto"/>
            <w:tcMar>
              <w:top w:w="40" w:type="dxa"/>
              <w:bottom w:w="40" w:type="dxa"/>
              <w:right w:w="20" w:type="dxa"/>
            </w:tcMar>
            <w:vAlign w:val="bottom"/>
          </w:tcPr>
          <w:p w14:paraId="1D026CA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CAB" w14:textId="77777777" w:rsidR="004421F6" w:rsidRDefault="00F1562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bottom w:w="40" w:type="dxa"/>
              <w:right w:w="20" w:type="dxa"/>
            </w:tcMar>
            <w:vAlign w:val="bottom"/>
          </w:tcPr>
          <w:p w14:paraId="1D026CAC"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CAD" w14:textId="77777777" w:rsidR="004421F6" w:rsidRDefault="00F1562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bottom w:w="40" w:type="dxa"/>
              <w:right w:w="20" w:type="dxa"/>
            </w:tcMar>
            <w:vAlign w:val="bottom"/>
          </w:tcPr>
          <w:p w14:paraId="1D026CAE"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CAF" w14:textId="77777777" w:rsidR="004421F6" w:rsidRDefault="004421F6">
            <w:pPr>
              <w:rPr>
                <w:rFonts w:ascii="宋体"/>
              </w:rPr>
            </w:pPr>
          </w:p>
        </w:tc>
        <w:tc>
          <w:tcPr>
            <w:tcW w:w="0" w:type="auto"/>
            <w:shd w:val="clear" w:color="auto" w:fill="auto"/>
          </w:tcPr>
          <w:p w14:paraId="1D026CB0" w14:textId="77777777" w:rsidR="004421F6" w:rsidRDefault="004421F6">
            <w:pPr>
              <w:rPr>
                <w:rFonts w:ascii="宋体"/>
              </w:rPr>
            </w:pPr>
          </w:p>
        </w:tc>
        <w:tc>
          <w:tcPr>
            <w:tcW w:w="0" w:type="auto"/>
            <w:shd w:val="clear" w:color="auto" w:fill="auto"/>
          </w:tcPr>
          <w:p w14:paraId="1D026CB1" w14:textId="77777777" w:rsidR="004421F6" w:rsidRDefault="004421F6">
            <w:pPr>
              <w:rPr>
                <w:rFonts w:ascii="宋体"/>
              </w:rPr>
            </w:pPr>
          </w:p>
        </w:tc>
        <w:tc>
          <w:tcPr>
            <w:tcW w:w="0" w:type="auto"/>
            <w:shd w:val="clear" w:color="auto" w:fill="auto"/>
          </w:tcPr>
          <w:p w14:paraId="1D026CB2" w14:textId="77777777" w:rsidR="004421F6" w:rsidRDefault="004421F6">
            <w:pPr>
              <w:rPr>
                <w:rFonts w:ascii="宋体"/>
              </w:rPr>
            </w:pPr>
          </w:p>
        </w:tc>
        <w:tc>
          <w:tcPr>
            <w:tcW w:w="0" w:type="auto"/>
            <w:shd w:val="clear" w:color="auto" w:fill="auto"/>
          </w:tcPr>
          <w:p w14:paraId="1D026CB3" w14:textId="77777777" w:rsidR="004421F6" w:rsidRDefault="004421F6">
            <w:pPr>
              <w:rPr>
                <w:rFonts w:ascii="宋体"/>
              </w:rPr>
            </w:pPr>
          </w:p>
        </w:tc>
        <w:tc>
          <w:tcPr>
            <w:tcW w:w="0" w:type="auto"/>
            <w:shd w:val="clear" w:color="auto" w:fill="auto"/>
          </w:tcPr>
          <w:p w14:paraId="1D026CB4" w14:textId="77777777" w:rsidR="004421F6" w:rsidRDefault="004421F6">
            <w:pPr>
              <w:rPr>
                <w:rFonts w:ascii="宋体"/>
              </w:rPr>
            </w:pPr>
          </w:p>
        </w:tc>
        <w:tc>
          <w:tcPr>
            <w:tcW w:w="0" w:type="auto"/>
            <w:shd w:val="clear" w:color="auto" w:fill="auto"/>
          </w:tcPr>
          <w:p w14:paraId="1D026CB5" w14:textId="77777777" w:rsidR="004421F6" w:rsidRDefault="004421F6">
            <w:pPr>
              <w:rPr>
                <w:rFonts w:ascii="宋体"/>
              </w:rPr>
            </w:pPr>
          </w:p>
        </w:tc>
        <w:tc>
          <w:tcPr>
            <w:tcW w:w="0" w:type="auto"/>
            <w:shd w:val="clear" w:color="auto" w:fill="auto"/>
          </w:tcPr>
          <w:p w14:paraId="1D026CB6" w14:textId="77777777" w:rsidR="004421F6" w:rsidRDefault="004421F6">
            <w:pPr>
              <w:rPr>
                <w:rFonts w:ascii="宋体"/>
              </w:rPr>
            </w:pPr>
          </w:p>
        </w:tc>
        <w:tc>
          <w:tcPr>
            <w:tcW w:w="0" w:type="auto"/>
            <w:shd w:val="clear" w:color="auto" w:fill="auto"/>
          </w:tcPr>
          <w:p w14:paraId="1D026CB7" w14:textId="77777777" w:rsidR="004421F6" w:rsidRDefault="004421F6">
            <w:pPr>
              <w:rPr>
                <w:rFonts w:ascii="宋体"/>
              </w:rPr>
            </w:pPr>
          </w:p>
        </w:tc>
      </w:tr>
      <w:tr w:rsidR="004421F6" w14:paraId="1D026CC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CB9" w14:textId="77777777" w:rsidR="004421F6" w:rsidRDefault="00F1562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tcMar>
            <w:vAlign w:val="bottom"/>
          </w:tcPr>
          <w:p w14:paraId="1D026CBA"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CBB" w14:textId="77777777" w:rsidR="004421F6" w:rsidRDefault="00F15622">
            <w:pPr>
              <w:jc w:val="right"/>
              <w:textAlignment w:val="bottom"/>
            </w:pPr>
            <w:r>
              <w:rPr>
                <w:rFonts w:ascii="Arial" w:eastAsia="宋体" w:hAnsi="Arial" w:cs="Arial"/>
                <w:b/>
                <w:bCs/>
                <w:color w:val="000000"/>
                <w:sz w:val="17"/>
                <w:szCs w:val="17"/>
              </w:rPr>
              <w:t>4,225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CBC"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CBD"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CBE" w14:textId="77777777" w:rsidR="004421F6" w:rsidRDefault="00F15622">
            <w:pPr>
              <w:jc w:val="right"/>
              <w:textAlignment w:val="bottom"/>
            </w:pPr>
            <w:r>
              <w:rPr>
                <w:rFonts w:ascii="Arial" w:eastAsia="宋体" w:hAnsi="Arial" w:cs="Arial"/>
                <w:b/>
                <w:bCs/>
                <w:color w:val="000000"/>
                <w:sz w:val="17"/>
                <w:szCs w:val="17"/>
              </w:rPr>
              <w:t>4,293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CBF"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CC0" w14:textId="77777777" w:rsidR="004421F6" w:rsidRDefault="00F15622">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CC1"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CC2" w14:textId="77777777" w:rsidR="004421F6" w:rsidRDefault="00F1562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CC3"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6CC4" w14:textId="77777777" w:rsidR="004421F6" w:rsidRDefault="004421F6">
            <w:pPr>
              <w:rPr>
                <w:rFonts w:ascii="宋体"/>
              </w:rPr>
            </w:pPr>
          </w:p>
        </w:tc>
        <w:tc>
          <w:tcPr>
            <w:tcW w:w="0" w:type="auto"/>
            <w:shd w:val="clear" w:color="auto" w:fill="auto"/>
          </w:tcPr>
          <w:p w14:paraId="1D026CC5" w14:textId="77777777" w:rsidR="004421F6" w:rsidRDefault="004421F6">
            <w:pPr>
              <w:rPr>
                <w:rFonts w:ascii="宋体"/>
              </w:rPr>
            </w:pPr>
          </w:p>
        </w:tc>
        <w:tc>
          <w:tcPr>
            <w:tcW w:w="0" w:type="auto"/>
            <w:shd w:val="clear" w:color="auto" w:fill="auto"/>
          </w:tcPr>
          <w:p w14:paraId="1D026CC6" w14:textId="77777777" w:rsidR="004421F6" w:rsidRDefault="004421F6">
            <w:pPr>
              <w:rPr>
                <w:rFonts w:ascii="宋体"/>
              </w:rPr>
            </w:pPr>
          </w:p>
        </w:tc>
        <w:tc>
          <w:tcPr>
            <w:tcW w:w="0" w:type="auto"/>
            <w:shd w:val="clear" w:color="auto" w:fill="auto"/>
          </w:tcPr>
          <w:p w14:paraId="1D026CC7" w14:textId="77777777" w:rsidR="004421F6" w:rsidRDefault="004421F6">
            <w:pPr>
              <w:rPr>
                <w:rFonts w:ascii="宋体"/>
              </w:rPr>
            </w:pPr>
          </w:p>
        </w:tc>
        <w:tc>
          <w:tcPr>
            <w:tcW w:w="0" w:type="auto"/>
            <w:shd w:val="clear" w:color="auto" w:fill="auto"/>
          </w:tcPr>
          <w:p w14:paraId="1D026CC8" w14:textId="77777777" w:rsidR="004421F6" w:rsidRDefault="004421F6">
            <w:pPr>
              <w:rPr>
                <w:rFonts w:ascii="宋体"/>
              </w:rPr>
            </w:pPr>
          </w:p>
        </w:tc>
        <w:tc>
          <w:tcPr>
            <w:tcW w:w="0" w:type="auto"/>
            <w:shd w:val="clear" w:color="auto" w:fill="auto"/>
          </w:tcPr>
          <w:p w14:paraId="1D026CC9" w14:textId="77777777" w:rsidR="004421F6" w:rsidRDefault="004421F6">
            <w:pPr>
              <w:rPr>
                <w:rFonts w:ascii="宋体"/>
              </w:rPr>
            </w:pPr>
          </w:p>
        </w:tc>
        <w:tc>
          <w:tcPr>
            <w:tcW w:w="0" w:type="auto"/>
            <w:shd w:val="clear" w:color="auto" w:fill="auto"/>
          </w:tcPr>
          <w:p w14:paraId="1D026CCA" w14:textId="77777777" w:rsidR="004421F6" w:rsidRDefault="004421F6">
            <w:pPr>
              <w:rPr>
                <w:rFonts w:ascii="宋体"/>
              </w:rPr>
            </w:pPr>
          </w:p>
        </w:tc>
        <w:tc>
          <w:tcPr>
            <w:tcW w:w="0" w:type="auto"/>
            <w:shd w:val="clear" w:color="auto" w:fill="auto"/>
          </w:tcPr>
          <w:p w14:paraId="1D026CCB" w14:textId="77777777" w:rsidR="004421F6" w:rsidRDefault="004421F6">
            <w:pPr>
              <w:rPr>
                <w:rFonts w:ascii="宋体"/>
              </w:rPr>
            </w:pPr>
          </w:p>
        </w:tc>
        <w:tc>
          <w:tcPr>
            <w:tcW w:w="0" w:type="auto"/>
            <w:shd w:val="clear" w:color="auto" w:fill="auto"/>
          </w:tcPr>
          <w:p w14:paraId="1D026CCC" w14:textId="77777777" w:rsidR="004421F6" w:rsidRDefault="004421F6">
            <w:pPr>
              <w:rPr>
                <w:rFonts w:ascii="宋体"/>
              </w:rPr>
            </w:pPr>
          </w:p>
        </w:tc>
      </w:tr>
      <w:tr w:rsidR="004421F6" w14:paraId="1D026CE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6CCE" w14:textId="77777777" w:rsidR="004421F6" w:rsidRDefault="00F15622">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CCF"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CD0" w14:textId="77777777" w:rsidR="004421F6" w:rsidRDefault="00F15622">
            <w:pPr>
              <w:jc w:val="right"/>
              <w:textAlignment w:val="bottom"/>
            </w:pPr>
            <w:r>
              <w:rPr>
                <w:rFonts w:ascii="Arial" w:eastAsia="宋体" w:hAnsi="Arial" w:cs="Arial"/>
                <w:b/>
                <w:bCs/>
                <w:color w:val="000000"/>
                <w:sz w:val="17"/>
                <w:szCs w:val="17"/>
              </w:rPr>
              <w:t>1,302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CD1"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CD2"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CD3" w14:textId="77777777" w:rsidR="004421F6" w:rsidRDefault="00F15622">
            <w:pPr>
              <w:jc w:val="right"/>
              <w:textAlignment w:val="bottom"/>
            </w:pPr>
            <w:r>
              <w:rPr>
                <w:rFonts w:ascii="Arial" w:eastAsia="宋体" w:hAnsi="Arial" w:cs="Arial"/>
                <w:b/>
                <w:bCs/>
                <w:color w:val="000000"/>
                <w:sz w:val="17"/>
                <w:szCs w:val="17"/>
              </w:rPr>
              <w:t>1,100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CD4" w14:textId="77777777" w:rsidR="004421F6" w:rsidRDefault="004421F6">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D026CD5" w14:textId="77777777" w:rsidR="004421F6" w:rsidRDefault="00F15622">
            <w:pPr>
              <w:jc w:val="right"/>
              <w:textAlignment w:val="bottom"/>
            </w:pPr>
            <w:r>
              <w:rPr>
                <w:rFonts w:ascii="Arial" w:eastAsia="宋体" w:hAnsi="Arial" w:cs="Arial"/>
                <w:b/>
                <w:bCs/>
                <w:color w:val="000000"/>
                <w:sz w:val="17"/>
                <w:szCs w:val="17"/>
              </w:rPr>
              <w:t>18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CD6"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6CD7" w14:textId="77777777" w:rsidR="004421F6" w:rsidRDefault="004421F6">
            <w:pPr>
              <w:rPr>
                <w:rFonts w:ascii="宋体"/>
              </w:rPr>
            </w:pPr>
          </w:p>
        </w:tc>
        <w:tc>
          <w:tcPr>
            <w:tcW w:w="0" w:type="auto"/>
            <w:shd w:val="clear" w:color="auto" w:fill="auto"/>
          </w:tcPr>
          <w:p w14:paraId="1D026CD8" w14:textId="77777777" w:rsidR="004421F6" w:rsidRDefault="004421F6">
            <w:pPr>
              <w:rPr>
                <w:rFonts w:ascii="宋体"/>
              </w:rPr>
            </w:pPr>
          </w:p>
        </w:tc>
        <w:tc>
          <w:tcPr>
            <w:tcW w:w="0" w:type="auto"/>
            <w:shd w:val="clear" w:color="auto" w:fill="auto"/>
          </w:tcPr>
          <w:p w14:paraId="1D026CD9" w14:textId="77777777" w:rsidR="004421F6" w:rsidRDefault="004421F6">
            <w:pPr>
              <w:rPr>
                <w:rFonts w:ascii="宋体"/>
              </w:rPr>
            </w:pPr>
          </w:p>
        </w:tc>
        <w:tc>
          <w:tcPr>
            <w:tcW w:w="0" w:type="auto"/>
            <w:shd w:val="clear" w:color="auto" w:fill="auto"/>
          </w:tcPr>
          <w:p w14:paraId="1D026CDA" w14:textId="77777777" w:rsidR="004421F6" w:rsidRDefault="004421F6">
            <w:pPr>
              <w:rPr>
                <w:rFonts w:ascii="宋体"/>
              </w:rPr>
            </w:pPr>
          </w:p>
        </w:tc>
        <w:tc>
          <w:tcPr>
            <w:tcW w:w="0" w:type="auto"/>
            <w:shd w:val="clear" w:color="auto" w:fill="auto"/>
          </w:tcPr>
          <w:p w14:paraId="1D026CDB" w14:textId="77777777" w:rsidR="004421F6" w:rsidRDefault="004421F6">
            <w:pPr>
              <w:rPr>
                <w:rFonts w:ascii="宋体"/>
              </w:rPr>
            </w:pPr>
          </w:p>
        </w:tc>
        <w:tc>
          <w:tcPr>
            <w:tcW w:w="0" w:type="auto"/>
            <w:shd w:val="clear" w:color="auto" w:fill="auto"/>
          </w:tcPr>
          <w:p w14:paraId="1D026CDC" w14:textId="77777777" w:rsidR="004421F6" w:rsidRDefault="004421F6">
            <w:pPr>
              <w:rPr>
                <w:rFonts w:ascii="宋体"/>
              </w:rPr>
            </w:pPr>
          </w:p>
        </w:tc>
        <w:tc>
          <w:tcPr>
            <w:tcW w:w="0" w:type="auto"/>
            <w:shd w:val="clear" w:color="auto" w:fill="auto"/>
          </w:tcPr>
          <w:p w14:paraId="1D026CDD" w14:textId="77777777" w:rsidR="004421F6" w:rsidRDefault="004421F6">
            <w:pPr>
              <w:rPr>
                <w:rFonts w:ascii="宋体"/>
              </w:rPr>
            </w:pPr>
          </w:p>
        </w:tc>
        <w:tc>
          <w:tcPr>
            <w:tcW w:w="0" w:type="auto"/>
            <w:shd w:val="clear" w:color="auto" w:fill="auto"/>
          </w:tcPr>
          <w:p w14:paraId="1D026CDE" w14:textId="77777777" w:rsidR="004421F6" w:rsidRDefault="004421F6">
            <w:pPr>
              <w:rPr>
                <w:rFonts w:ascii="宋体"/>
              </w:rPr>
            </w:pPr>
          </w:p>
        </w:tc>
        <w:tc>
          <w:tcPr>
            <w:tcW w:w="0" w:type="auto"/>
            <w:shd w:val="clear" w:color="auto" w:fill="auto"/>
          </w:tcPr>
          <w:p w14:paraId="1D026CDF" w14:textId="77777777" w:rsidR="004421F6" w:rsidRDefault="004421F6">
            <w:pPr>
              <w:rPr>
                <w:rFonts w:ascii="宋体"/>
              </w:rPr>
            </w:pPr>
          </w:p>
        </w:tc>
        <w:tc>
          <w:tcPr>
            <w:tcW w:w="0" w:type="auto"/>
            <w:shd w:val="clear" w:color="auto" w:fill="auto"/>
          </w:tcPr>
          <w:p w14:paraId="1D026CE0" w14:textId="77777777" w:rsidR="004421F6" w:rsidRDefault="004421F6">
            <w:pPr>
              <w:rPr>
                <w:rFonts w:ascii="宋体"/>
              </w:rPr>
            </w:pPr>
          </w:p>
        </w:tc>
      </w:tr>
    </w:tbl>
    <w:p w14:paraId="1D026CE2" w14:textId="77777777" w:rsidR="004421F6" w:rsidRDefault="00F15622">
      <w:pPr>
        <w:spacing w:before="120" w:after="120"/>
      </w:pPr>
      <w:r>
        <w:rPr>
          <w:rFonts w:ascii="Arial" w:eastAsia="宋体" w:hAnsi="Arial" w:cs="Arial"/>
          <w:color w:val="000000"/>
          <w:sz w:val="17"/>
          <w:szCs w:val="17"/>
        </w:rPr>
        <w:t>We believe there continues to be a meaningful shift in the way consumers shop for product and make purchasing decisions across each of our geographies. Consumers are demanding a constant flow of fresh and innovative product, and have an expectatio</w:t>
      </w:r>
      <w:r>
        <w:rPr>
          <w:rFonts w:ascii="Arial" w:eastAsia="宋体" w:hAnsi="Arial" w:cs="Arial"/>
          <w:color w:val="000000"/>
          <w:sz w:val="17"/>
          <w:szCs w:val="17"/>
        </w:rPr>
        <w:t>n for superior service and rapid delivery, all fueled by the shift toward digital and mono-brand experiences in NIKE Direct. We anticipate continued evolution within the retail landscape, driven by shifting consumer traffic patterns across digital and phys</w:t>
      </w:r>
      <w:r>
        <w:rPr>
          <w:rFonts w:ascii="Arial" w:eastAsia="宋体" w:hAnsi="Arial" w:cs="Arial"/>
          <w:color w:val="000000"/>
          <w:sz w:val="17"/>
          <w:szCs w:val="17"/>
        </w:rPr>
        <w:t>ical channels. Specifically, the evolution of the North America marketplace is resulting in third-party retail store closures, which is expected to be further accelerated as a result of the effects of COVID-19; however, we remain focused on building long-t</w:t>
      </w:r>
      <w:r>
        <w:rPr>
          <w:rFonts w:ascii="Arial" w:eastAsia="宋体" w:hAnsi="Arial" w:cs="Arial"/>
          <w:color w:val="000000"/>
          <w:sz w:val="17"/>
          <w:szCs w:val="17"/>
        </w:rPr>
        <w:t>erm momentum with our differentiated strategic wholesale customers, fueled by our deliberate shifts in product allocations and investments in enhanced consumer experiences leveraging digital.</w:t>
      </w:r>
    </w:p>
    <w:p w14:paraId="1D026CE3" w14:textId="77777777" w:rsidR="004421F6" w:rsidRDefault="00F15622">
      <w:pPr>
        <w:spacing w:before="120"/>
      </w:pPr>
      <w:r>
        <w:rPr>
          <w:rFonts w:ascii="sans-serif" w:eastAsia="sans-serif" w:hAnsi="sans-serif" w:cs="sans-serif"/>
          <w:b/>
          <w:bCs/>
          <w:color w:val="808080"/>
          <w:sz w:val="22"/>
          <w:szCs w:val="22"/>
        </w:rPr>
        <w:t>FIRST QUARTER OF FISCAL 2021 COMPARED TO FIRST QUARTER OF FISCAL</w:t>
      </w:r>
      <w:r>
        <w:rPr>
          <w:rFonts w:ascii="sans-serif" w:eastAsia="sans-serif" w:hAnsi="sans-serif" w:cs="sans-serif"/>
          <w:b/>
          <w:bCs/>
          <w:color w:val="808080"/>
          <w:sz w:val="22"/>
          <w:szCs w:val="22"/>
        </w:rPr>
        <w:t xml:space="preserve"> 2020</w:t>
      </w:r>
    </w:p>
    <w:p w14:paraId="1D026CE4" w14:textId="77777777" w:rsidR="004421F6" w:rsidRDefault="00F15622">
      <w:pPr>
        <w:spacing w:after="120"/>
      </w:pPr>
      <w:r>
        <w:rPr>
          <w:rFonts w:ascii="Arial" w:eastAsia="宋体" w:hAnsi="Arial" w:cs="Arial"/>
          <w:color w:val="000000"/>
          <w:sz w:val="17"/>
          <w:szCs w:val="17"/>
        </w:rPr>
        <w:t>On a currency-neutral basis, North America revenues for the first quarter of fiscal 2021 decreased 1%, as lower revenues in most key categories, led by Training, were partially offset by growth in Sportswear and the Jordan Brand. NIKE Direct revenues</w:t>
      </w:r>
      <w:r>
        <w:rPr>
          <w:rFonts w:ascii="Arial" w:eastAsia="宋体" w:hAnsi="Arial" w:cs="Arial"/>
          <w:color w:val="000000"/>
          <w:sz w:val="17"/>
          <w:szCs w:val="17"/>
        </w:rPr>
        <w:t xml:space="preserve"> increased 5% as strong digital commerce sales growth of 99% more than offset a 35% decline in comparable store sales </w:t>
      </w:r>
      <w:r>
        <w:rPr>
          <w:rFonts w:ascii="Arial" w:eastAsia="宋体" w:hAnsi="Arial" w:cs="Arial"/>
          <w:color w:val="212529"/>
          <w:sz w:val="17"/>
          <w:szCs w:val="17"/>
        </w:rPr>
        <w:t>primarily due to reduced physical retail traffic, in part resulting from safety-related measures in response to COVID-19</w:t>
      </w:r>
      <w:r>
        <w:rPr>
          <w:rFonts w:ascii="Arial" w:eastAsia="宋体" w:hAnsi="Arial" w:cs="Arial"/>
          <w:color w:val="000000"/>
          <w:sz w:val="17"/>
          <w:szCs w:val="17"/>
        </w:rPr>
        <w:t>.</w:t>
      </w:r>
    </w:p>
    <w:p w14:paraId="1D026CE5" w14:textId="77777777" w:rsidR="004421F6" w:rsidRDefault="00F15622">
      <w:pPr>
        <w:spacing w:before="120" w:after="120"/>
      </w:pPr>
      <w:r>
        <w:rPr>
          <w:rFonts w:ascii="Arial" w:eastAsia="宋体" w:hAnsi="Arial" w:cs="Arial"/>
          <w:color w:val="000000"/>
          <w:sz w:val="17"/>
          <w:szCs w:val="17"/>
        </w:rPr>
        <w:t>Footwear revenue</w:t>
      </w:r>
      <w:r>
        <w:rPr>
          <w:rFonts w:ascii="Arial" w:eastAsia="宋体" w:hAnsi="Arial" w:cs="Arial"/>
          <w:color w:val="000000"/>
          <w:sz w:val="17"/>
          <w:szCs w:val="17"/>
        </w:rPr>
        <w:t xml:space="preserve">s increased 11% on a currency-neutral basis, driven by growth in Sportswear and the Jordan Brand. Unit sales of footwear increased 6% and higher ASP per pair contributed approximately 5 percentage points of footwear revenue growth. Higher ASP per pair was </w:t>
      </w:r>
      <w:r>
        <w:rPr>
          <w:rFonts w:ascii="Arial" w:eastAsia="宋体" w:hAnsi="Arial" w:cs="Arial"/>
          <w:color w:val="000000"/>
          <w:sz w:val="17"/>
          <w:szCs w:val="17"/>
        </w:rPr>
        <w:t>primarily due to higher NIKE Direct and full-price ASPs.</w:t>
      </w:r>
    </w:p>
    <w:p w14:paraId="1D026CE6" w14:textId="77777777" w:rsidR="004421F6" w:rsidRDefault="00F15622">
      <w:pPr>
        <w:spacing w:before="120" w:after="120"/>
      </w:pPr>
      <w:r>
        <w:rPr>
          <w:rFonts w:ascii="Arial" w:eastAsia="宋体" w:hAnsi="Arial" w:cs="Arial"/>
          <w:color w:val="E87722"/>
          <w:sz w:val="17"/>
          <w:szCs w:val="17"/>
        </w:rPr>
        <w:t>28</w:t>
      </w:r>
      <w:r>
        <w:rPr>
          <w:rFonts w:ascii="sans-serif" w:eastAsia="sans-serif" w:hAnsi="sans-serif" w:cs="sans-serif"/>
          <w:color w:val="000000"/>
          <w:sz w:val="17"/>
          <w:szCs w:val="17"/>
        </w:rPr>
        <w:t xml:space="preserve"> </w:t>
      </w:r>
    </w:p>
    <w:p w14:paraId="1D026CE7" w14:textId="77777777" w:rsidR="004421F6" w:rsidRDefault="00F15622">
      <w:r>
        <w:pict w14:anchorId="1D027297">
          <v:rect id="_x0000_i1054" style="width:415.3pt;height:1.5pt" o:hralign="center" o:hrstd="t" o:hr="t" fillcolor="#a0a0a0" stroked="f"/>
        </w:pict>
      </w:r>
    </w:p>
    <w:p w14:paraId="1D026CE8" w14:textId="77777777" w:rsidR="004421F6" w:rsidRDefault="004421F6"/>
    <w:p w14:paraId="1D026CE9" w14:textId="77777777" w:rsidR="004421F6" w:rsidRDefault="00F15622">
      <w:hyperlink r:id="rId99" w:anchor="i3e524f2e23844e81ba9d33a05ac3917c_7" w:history="1">
        <w:r>
          <w:rPr>
            <w:rStyle w:val="a5"/>
            <w:rFonts w:ascii="sans-serif" w:eastAsia="sans-serif" w:hAnsi="sans-serif" w:cs="sans-serif"/>
            <w:sz w:val="17"/>
            <w:szCs w:val="17"/>
          </w:rPr>
          <w:t>Table of Contents</w:t>
        </w:r>
      </w:hyperlink>
    </w:p>
    <w:p w14:paraId="1D026CEA" w14:textId="77777777" w:rsidR="004421F6" w:rsidRDefault="004421F6"/>
    <w:p w14:paraId="1D026CEB" w14:textId="77777777" w:rsidR="004421F6" w:rsidRDefault="00F15622">
      <w:pPr>
        <w:spacing w:before="120" w:after="120"/>
      </w:pPr>
      <w:r>
        <w:rPr>
          <w:rFonts w:ascii="Arial" w:eastAsia="宋体" w:hAnsi="Arial" w:cs="Arial"/>
          <w:color w:val="000000"/>
          <w:sz w:val="17"/>
          <w:szCs w:val="17"/>
        </w:rPr>
        <w:t>On a currency-neutral basis, apparel revenues decreased 21%, reflecting lower revenue</w:t>
      </w:r>
      <w:r>
        <w:rPr>
          <w:rFonts w:ascii="Arial" w:eastAsia="宋体" w:hAnsi="Arial" w:cs="Arial"/>
          <w:color w:val="000000"/>
          <w:sz w:val="17"/>
          <w:szCs w:val="17"/>
        </w:rPr>
        <w:t>s in nearly all key categories, primarily Training and Sportswear. Unit sales of apparel contracted 19%, while lower ASP per unit reduced apparel revenues by approximately 2 percentage points. The decrease in ASP per unit was primarily driven by lower full</w:t>
      </w:r>
      <w:r>
        <w:rPr>
          <w:rFonts w:ascii="Arial" w:eastAsia="宋体" w:hAnsi="Arial" w:cs="Arial"/>
          <w:color w:val="000000"/>
          <w:sz w:val="17"/>
          <w:szCs w:val="17"/>
        </w:rPr>
        <w:t>-price ASP, partially offset by the favorable impact of growth in our NIKE Direct business, as well as higher NIKE Direct ASP.</w:t>
      </w:r>
    </w:p>
    <w:p w14:paraId="1D026CEC" w14:textId="77777777" w:rsidR="004421F6" w:rsidRDefault="00F15622">
      <w:r>
        <w:rPr>
          <w:rFonts w:ascii="Arial" w:eastAsia="宋体" w:hAnsi="Arial" w:cs="Arial"/>
          <w:color w:val="000000"/>
          <w:sz w:val="17"/>
          <w:szCs w:val="17"/>
        </w:rPr>
        <w:t>Reported EBIT increased 18% as lower selling and administrative expense and gross margin expansion more than offset lower revenue</w:t>
      </w:r>
      <w:r>
        <w:rPr>
          <w:rFonts w:ascii="Arial" w:eastAsia="宋体" w:hAnsi="Arial" w:cs="Arial"/>
          <w:color w:val="000000"/>
          <w:sz w:val="17"/>
          <w:szCs w:val="17"/>
        </w:rPr>
        <w:t>s. Gross margin increased approximately 150 basis points primarily due to higher full-price ASP and lower other costs, partially offset by higher product costs, in part due to incremental tariffs, and lower margin in our NIKE Direct business driven by high</w:t>
      </w:r>
      <w:r>
        <w:rPr>
          <w:rFonts w:ascii="Arial" w:eastAsia="宋体" w:hAnsi="Arial" w:cs="Arial"/>
          <w:color w:val="000000"/>
          <w:sz w:val="17"/>
          <w:szCs w:val="17"/>
        </w:rPr>
        <w:t xml:space="preserve">er promotions to reduce excess inventory. The decrease in other costs was primarily a result of the favorable impact from the release of factory cancellation cost accruals due to an increase in consumer demand. Selling and administrative expense decreased </w:t>
      </w:r>
      <w:r>
        <w:rPr>
          <w:rFonts w:ascii="Arial" w:eastAsia="宋体" w:hAnsi="Arial" w:cs="Arial"/>
          <w:color w:val="000000"/>
          <w:sz w:val="17"/>
          <w:szCs w:val="17"/>
        </w:rPr>
        <w:t xml:space="preserve">due to lower demand creation and operating overhead expense. The decrease in demand creation expense reflected lower advertising and marketing costs, a decline in retail brand presentation costs, as well as lower sports marketing expense, partially offset </w:t>
      </w:r>
      <w:r>
        <w:rPr>
          <w:rFonts w:ascii="Arial" w:eastAsia="宋体" w:hAnsi="Arial" w:cs="Arial"/>
          <w:color w:val="000000"/>
          <w:sz w:val="17"/>
          <w:szCs w:val="17"/>
        </w:rPr>
        <w:t xml:space="preserve">by continued investments in digital marketing to support heightened digital demand. Operating overhead expense decreased primarily as a result of lower wage-related expense and administrative costs. </w:t>
      </w:r>
    </w:p>
    <w:p w14:paraId="1D026CED" w14:textId="77777777" w:rsidR="004421F6" w:rsidRDefault="00F15622">
      <w:pPr>
        <w:spacing w:before="240" w:after="120"/>
      </w:pPr>
      <w:r>
        <w:rPr>
          <w:rFonts w:ascii="sans-serif" w:eastAsia="sans-serif" w:hAnsi="sans-serif" w:cs="sans-serif"/>
          <w:b/>
          <w:bCs/>
          <w:color w:val="000000"/>
          <w:sz w:val="28"/>
          <w:szCs w:val="28"/>
        </w:rPr>
        <w:t>EUROPE, MIDDLE EAST &amp; AFRICA</w:t>
      </w:r>
    </w:p>
    <w:tbl>
      <w:tblPr>
        <w:tblW w:w="5000" w:type="pct"/>
        <w:tblCellMar>
          <w:top w:w="15" w:type="dxa"/>
          <w:left w:w="15" w:type="dxa"/>
          <w:bottom w:w="15" w:type="dxa"/>
          <w:right w:w="15" w:type="dxa"/>
        </w:tblCellMar>
        <w:tblLook w:val="04A0" w:firstRow="1" w:lastRow="0" w:firstColumn="1" w:lastColumn="0" w:noHBand="0" w:noVBand="1"/>
      </w:tblPr>
      <w:tblGrid>
        <w:gridCol w:w="37"/>
        <w:gridCol w:w="3820"/>
        <w:gridCol w:w="36"/>
        <w:gridCol w:w="130"/>
        <w:gridCol w:w="845"/>
        <w:gridCol w:w="41"/>
        <w:gridCol w:w="130"/>
        <w:gridCol w:w="845"/>
        <w:gridCol w:w="41"/>
        <w:gridCol w:w="52"/>
        <w:gridCol w:w="804"/>
        <w:gridCol w:w="187"/>
        <w:gridCol w:w="70"/>
        <w:gridCol w:w="787"/>
        <w:gridCol w:w="187"/>
        <w:gridCol w:w="36"/>
        <w:gridCol w:w="36"/>
        <w:gridCol w:w="36"/>
        <w:gridCol w:w="36"/>
        <w:gridCol w:w="36"/>
        <w:gridCol w:w="36"/>
        <w:gridCol w:w="36"/>
        <w:gridCol w:w="36"/>
        <w:gridCol w:w="36"/>
      </w:tblGrid>
      <w:tr w:rsidR="004421F6" w14:paraId="1D026CFD" w14:textId="77777777">
        <w:trPr>
          <w:gridAfter w:val="9"/>
        </w:trPr>
        <w:tc>
          <w:tcPr>
            <w:tcW w:w="50" w:type="pct"/>
            <w:shd w:val="clear" w:color="auto" w:fill="auto"/>
          </w:tcPr>
          <w:p w14:paraId="1D026CEE" w14:textId="77777777" w:rsidR="004421F6" w:rsidRDefault="004421F6">
            <w:pPr>
              <w:rPr>
                <w:rFonts w:ascii="宋体"/>
              </w:rPr>
            </w:pPr>
          </w:p>
        </w:tc>
        <w:tc>
          <w:tcPr>
            <w:tcW w:w="2445" w:type="pct"/>
            <w:shd w:val="clear" w:color="auto" w:fill="auto"/>
          </w:tcPr>
          <w:p w14:paraId="1D026CEF" w14:textId="77777777" w:rsidR="004421F6" w:rsidRDefault="004421F6">
            <w:pPr>
              <w:rPr>
                <w:rFonts w:ascii="宋体"/>
              </w:rPr>
            </w:pPr>
          </w:p>
        </w:tc>
        <w:tc>
          <w:tcPr>
            <w:tcW w:w="5" w:type="pct"/>
            <w:shd w:val="clear" w:color="auto" w:fill="auto"/>
          </w:tcPr>
          <w:p w14:paraId="1D026CF0" w14:textId="77777777" w:rsidR="004421F6" w:rsidRDefault="004421F6">
            <w:pPr>
              <w:rPr>
                <w:rFonts w:ascii="宋体"/>
              </w:rPr>
            </w:pPr>
          </w:p>
        </w:tc>
        <w:tc>
          <w:tcPr>
            <w:tcW w:w="50" w:type="pct"/>
            <w:shd w:val="clear" w:color="auto" w:fill="auto"/>
          </w:tcPr>
          <w:p w14:paraId="1D026CF1" w14:textId="77777777" w:rsidR="004421F6" w:rsidRDefault="004421F6">
            <w:pPr>
              <w:rPr>
                <w:rFonts w:ascii="宋体"/>
              </w:rPr>
            </w:pPr>
          </w:p>
        </w:tc>
        <w:tc>
          <w:tcPr>
            <w:tcW w:w="570" w:type="pct"/>
            <w:shd w:val="clear" w:color="auto" w:fill="auto"/>
          </w:tcPr>
          <w:p w14:paraId="1D026CF2" w14:textId="77777777" w:rsidR="004421F6" w:rsidRDefault="004421F6">
            <w:pPr>
              <w:rPr>
                <w:rFonts w:ascii="宋体"/>
              </w:rPr>
            </w:pPr>
          </w:p>
        </w:tc>
        <w:tc>
          <w:tcPr>
            <w:tcW w:w="5" w:type="pct"/>
            <w:shd w:val="clear" w:color="auto" w:fill="auto"/>
          </w:tcPr>
          <w:p w14:paraId="1D026CF3" w14:textId="77777777" w:rsidR="004421F6" w:rsidRDefault="004421F6">
            <w:pPr>
              <w:rPr>
                <w:rFonts w:ascii="宋体"/>
              </w:rPr>
            </w:pPr>
          </w:p>
        </w:tc>
        <w:tc>
          <w:tcPr>
            <w:tcW w:w="50" w:type="pct"/>
            <w:shd w:val="clear" w:color="auto" w:fill="auto"/>
          </w:tcPr>
          <w:p w14:paraId="1D026CF4" w14:textId="77777777" w:rsidR="004421F6" w:rsidRDefault="004421F6">
            <w:pPr>
              <w:rPr>
                <w:rFonts w:ascii="宋体"/>
              </w:rPr>
            </w:pPr>
          </w:p>
        </w:tc>
        <w:tc>
          <w:tcPr>
            <w:tcW w:w="570" w:type="pct"/>
            <w:shd w:val="clear" w:color="auto" w:fill="auto"/>
          </w:tcPr>
          <w:p w14:paraId="1D026CF5" w14:textId="77777777" w:rsidR="004421F6" w:rsidRDefault="004421F6">
            <w:pPr>
              <w:rPr>
                <w:rFonts w:ascii="宋体"/>
              </w:rPr>
            </w:pPr>
          </w:p>
        </w:tc>
        <w:tc>
          <w:tcPr>
            <w:tcW w:w="5" w:type="pct"/>
            <w:shd w:val="clear" w:color="auto" w:fill="auto"/>
          </w:tcPr>
          <w:p w14:paraId="1D026CF6" w14:textId="77777777" w:rsidR="004421F6" w:rsidRDefault="004421F6">
            <w:pPr>
              <w:rPr>
                <w:rFonts w:ascii="宋体"/>
              </w:rPr>
            </w:pPr>
          </w:p>
        </w:tc>
        <w:tc>
          <w:tcPr>
            <w:tcW w:w="50" w:type="pct"/>
            <w:shd w:val="clear" w:color="auto" w:fill="auto"/>
          </w:tcPr>
          <w:p w14:paraId="1D026CF7" w14:textId="77777777" w:rsidR="004421F6" w:rsidRDefault="004421F6">
            <w:pPr>
              <w:rPr>
                <w:rFonts w:ascii="宋体"/>
              </w:rPr>
            </w:pPr>
          </w:p>
        </w:tc>
        <w:tc>
          <w:tcPr>
            <w:tcW w:w="570" w:type="pct"/>
            <w:shd w:val="clear" w:color="auto" w:fill="auto"/>
          </w:tcPr>
          <w:p w14:paraId="1D026CF8" w14:textId="77777777" w:rsidR="004421F6" w:rsidRDefault="004421F6">
            <w:pPr>
              <w:rPr>
                <w:rFonts w:ascii="宋体"/>
              </w:rPr>
            </w:pPr>
          </w:p>
        </w:tc>
        <w:tc>
          <w:tcPr>
            <w:tcW w:w="5" w:type="pct"/>
            <w:shd w:val="clear" w:color="auto" w:fill="auto"/>
          </w:tcPr>
          <w:p w14:paraId="1D026CF9" w14:textId="77777777" w:rsidR="004421F6" w:rsidRDefault="004421F6">
            <w:pPr>
              <w:rPr>
                <w:rFonts w:ascii="宋体"/>
              </w:rPr>
            </w:pPr>
          </w:p>
        </w:tc>
        <w:tc>
          <w:tcPr>
            <w:tcW w:w="50" w:type="pct"/>
            <w:shd w:val="clear" w:color="auto" w:fill="auto"/>
          </w:tcPr>
          <w:p w14:paraId="1D026CFA" w14:textId="77777777" w:rsidR="004421F6" w:rsidRDefault="004421F6">
            <w:pPr>
              <w:rPr>
                <w:rFonts w:ascii="宋体"/>
              </w:rPr>
            </w:pPr>
          </w:p>
        </w:tc>
        <w:tc>
          <w:tcPr>
            <w:tcW w:w="570" w:type="pct"/>
            <w:shd w:val="clear" w:color="auto" w:fill="auto"/>
          </w:tcPr>
          <w:p w14:paraId="1D026CFB" w14:textId="77777777" w:rsidR="004421F6" w:rsidRDefault="004421F6">
            <w:pPr>
              <w:rPr>
                <w:rFonts w:ascii="宋体"/>
              </w:rPr>
            </w:pPr>
          </w:p>
        </w:tc>
        <w:tc>
          <w:tcPr>
            <w:tcW w:w="5" w:type="pct"/>
            <w:shd w:val="clear" w:color="auto" w:fill="auto"/>
          </w:tcPr>
          <w:p w14:paraId="1D026CFC" w14:textId="77777777" w:rsidR="004421F6" w:rsidRDefault="004421F6">
            <w:pPr>
              <w:rPr>
                <w:rFonts w:ascii="宋体"/>
              </w:rPr>
            </w:pPr>
          </w:p>
        </w:tc>
      </w:tr>
      <w:tr w:rsidR="004421F6" w14:paraId="1D026D03" w14:textId="77777777">
        <w:tc>
          <w:tcPr>
            <w:tcW w:w="0" w:type="auto"/>
            <w:gridSpan w:val="3"/>
            <w:shd w:val="clear" w:color="auto" w:fill="auto"/>
            <w:tcMar>
              <w:left w:w="20" w:type="dxa"/>
              <w:right w:w="20" w:type="dxa"/>
            </w:tcMar>
            <w:vAlign w:val="bottom"/>
          </w:tcPr>
          <w:p w14:paraId="1D026CFE" w14:textId="77777777" w:rsidR="004421F6" w:rsidRDefault="004421F6">
            <w:pPr>
              <w:rPr>
                <w:rFonts w:ascii="宋体"/>
              </w:rPr>
            </w:pPr>
          </w:p>
        </w:tc>
        <w:tc>
          <w:tcPr>
            <w:tcW w:w="0" w:type="auto"/>
            <w:gridSpan w:val="12"/>
            <w:shd w:val="clear" w:color="auto" w:fill="auto"/>
            <w:tcMar>
              <w:top w:w="40" w:type="dxa"/>
              <w:left w:w="20" w:type="dxa"/>
              <w:bottom w:w="40" w:type="dxa"/>
              <w:right w:w="20" w:type="dxa"/>
            </w:tcMar>
            <w:vAlign w:val="bottom"/>
          </w:tcPr>
          <w:p w14:paraId="1D026CFF" w14:textId="77777777" w:rsidR="004421F6" w:rsidRDefault="00F15622">
            <w:pPr>
              <w:jc w:val="center"/>
              <w:textAlignment w:val="bottom"/>
            </w:pPr>
            <w:r>
              <w:rPr>
                <w:rFonts w:ascii="sans-serif" w:eastAsia="sans-serif" w:hAnsi="sans-serif" w:cs="sans-serif"/>
                <w:b/>
                <w:bCs/>
                <w:color w:val="000000"/>
                <w:sz w:val="17"/>
                <w:szCs w:val="17"/>
              </w:rPr>
              <w:t xml:space="preserve">THREE </w:t>
            </w:r>
            <w:r>
              <w:rPr>
                <w:rFonts w:ascii="sans-serif" w:eastAsia="sans-serif" w:hAnsi="sans-serif" w:cs="sans-serif"/>
                <w:b/>
                <w:bCs/>
                <w:color w:val="000000"/>
                <w:sz w:val="17"/>
                <w:szCs w:val="17"/>
              </w:rPr>
              <w:t>MONTHS ENDED AUGUST 31,</w:t>
            </w:r>
          </w:p>
        </w:tc>
        <w:tc>
          <w:tcPr>
            <w:tcW w:w="0" w:type="auto"/>
            <w:gridSpan w:val="3"/>
            <w:shd w:val="clear" w:color="auto" w:fill="auto"/>
          </w:tcPr>
          <w:p w14:paraId="1D026D00" w14:textId="77777777" w:rsidR="004421F6" w:rsidRDefault="004421F6">
            <w:pPr>
              <w:rPr>
                <w:rFonts w:ascii="宋体"/>
                <w:vanish/>
              </w:rPr>
            </w:pPr>
          </w:p>
        </w:tc>
        <w:tc>
          <w:tcPr>
            <w:tcW w:w="0" w:type="auto"/>
            <w:gridSpan w:val="3"/>
            <w:shd w:val="clear" w:color="auto" w:fill="auto"/>
          </w:tcPr>
          <w:p w14:paraId="1D026D01" w14:textId="77777777" w:rsidR="004421F6" w:rsidRDefault="004421F6">
            <w:pPr>
              <w:rPr>
                <w:rFonts w:ascii="宋体"/>
                <w:vanish/>
              </w:rPr>
            </w:pPr>
          </w:p>
        </w:tc>
        <w:tc>
          <w:tcPr>
            <w:tcW w:w="0" w:type="auto"/>
            <w:gridSpan w:val="3"/>
            <w:shd w:val="clear" w:color="auto" w:fill="auto"/>
          </w:tcPr>
          <w:p w14:paraId="1D026D02" w14:textId="77777777" w:rsidR="004421F6" w:rsidRDefault="004421F6">
            <w:pPr>
              <w:rPr>
                <w:rFonts w:ascii="宋体"/>
                <w:vanish/>
              </w:rPr>
            </w:pPr>
          </w:p>
        </w:tc>
      </w:tr>
      <w:tr w:rsidR="004421F6" w14:paraId="1D026D12" w14:textId="77777777">
        <w:tc>
          <w:tcPr>
            <w:tcW w:w="0" w:type="auto"/>
            <w:gridSpan w:val="3"/>
            <w:shd w:val="clear" w:color="auto" w:fill="auto"/>
            <w:tcMar>
              <w:top w:w="40" w:type="dxa"/>
              <w:left w:w="20" w:type="dxa"/>
              <w:bottom w:w="40" w:type="dxa"/>
              <w:right w:w="20" w:type="dxa"/>
            </w:tcMar>
            <w:vAlign w:val="bottom"/>
          </w:tcPr>
          <w:p w14:paraId="1D026D04" w14:textId="77777777" w:rsidR="004421F6" w:rsidRDefault="00F15622">
            <w:pPr>
              <w:spacing w:before="120" w:after="120"/>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D05"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D06"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D07" w14:textId="77777777" w:rsidR="004421F6" w:rsidRDefault="00F1562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D08" w14:textId="77777777" w:rsidR="004421F6" w:rsidRDefault="00F15622">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tcPr>
          <w:p w14:paraId="1D026D09" w14:textId="77777777" w:rsidR="004421F6" w:rsidRDefault="004421F6">
            <w:pPr>
              <w:rPr>
                <w:rFonts w:ascii="宋体"/>
              </w:rPr>
            </w:pPr>
          </w:p>
        </w:tc>
        <w:tc>
          <w:tcPr>
            <w:tcW w:w="0" w:type="auto"/>
            <w:shd w:val="clear" w:color="auto" w:fill="auto"/>
          </w:tcPr>
          <w:p w14:paraId="1D026D0A" w14:textId="77777777" w:rsidR="004421F6" w:rsidRDefault="004421F6">
            <w:pPr>
              <w:rPr>
                <w:rFonts w:ascii="宋体"/>
              </w:rPr>
            </w:pPr>
          </w:p>
        </w:tc>
        <w:tc>
          <w:tcPr>
            <w:tcW w:w="0" w:type="auto"/>
            <w:shd w:val="clear" w:color="auto" w:fill="auto"/>
          </w:tcPr>
          <w:p w14:paraId="1D026D0B" w14:textId="77777777" w:rsidR="004421F6" w:rsidRDefault="004421F6">
            <w:pPr>
              <w:rPr>
                <w:rFonts w:ascii="宋体"/>
              </w:rPr>
            </w:pPr>
          </w:p>
        </w:tc>
        <w:tc>
          <w:tcPr>
            <w:tcW w:w="0" w:type="auto"/>
            <w:shd w:val="clear" w:color="auto" w:fill="auto"/>
          </w:tcPr>
          <w:p w14:paraId="1D026D0C" w14:textId="77777777" w:rsidR="004421F6" w:rsidRDefault="004421F6">
            <w:pPr>
              <w:rPr>
                <w:rFonts w:ascii="宋体"/>
              </w:rPr>
            </w:pPr>
          </w:p>
        </w:tc>
        <w:tc>
          <w:tcPr>
            <w:tcW w:w="0" w:type="auto"/>
            <w:shd w:val="clear" w:color="auto" w:fill="auto"/>
          </w:tcPr>
          <w:p w14:paraId="1D026D0D" w14:textId="77777777" w:rsidR="004421F6" w:rsidRDefault="004421F6">
            <w:pPr>
              <w:rPr>
                <w:rFonts w:ascii="宋体"/>
              </w:rPr>
            </w:pPr>
          </w:p>
        </w:tc>
        <w:tc>
          <w:tcPr>
            <w:tcW w:w="0" w:type="auto"/>
            <w:shd w:val="clear" w:color="auto" w:fill="auto"/>
          </w:tcPr>
          <w:p w14:paraId="1D026D0E" w14:textId="77777777" w:rsidR="004421F6" w:rsidRDefault="004421F6">
            <w:pPr>
              <w:rPr>
                <w:rFonts w:ascii="宋体"/>
              </w:rPr>
            </w:pPr>
          </w:p>
        </w:tc>
        <w:tc>
          <w:tcPr>
            <w:tcW w:w="0" w:type="auto"/>
            <w:shd w:val="clear" w:color="auto" w:fill="auto"/>
          </w:tcPr>
          <w:p w14:paraId="1D026D0F" w14:textId="77777777" w:rsidR="004421F6" w:rsidRDefault="004421F6">
            <w:pPr>
              <w:rPr>
                <w:rFonts w:ascii="宋体"/>
              </w:rPr>
            </w:pPr>
          </w:p>
        </w:tc>
        <w:tc>
          <w:tcPr>
            <w:tcW w:w="0" w:type="auto"/>
            <w:shd w:val="clear" w:color="auto" w:fill="auto"/>
          </w:tcPr>
          <w:p w14:paraId="1D026D10" w14:textId="77777777" w:rsidR="004421F6" w:rsidRDefault="004421F6">
            <w:pPr>
              <w:rPr>
                <w:rFonts w:ascii="宋体"/>
              </w:rPr>
            </w:pPr>
          </w:p>
        </w:tc>
        <w:tc>
          <w:tcPr>
            <w:tcW w:w="0" w:type="auto"/>
            <w:shd w:val="clear" w:color="auto" w:fill="auto"/>
          </w:tcPr>
          <w:p w14:paraId="1D026D11" w14:textId="77777777" w:rsidR="004421F6" w:rsidRDefault="004421F6">
            <w:pPr>
              <w:rPr>
                <w:rFonts w:ascii="宋体"/>
              </w:rPr>
            </w:pPr>
          </w:p>
        </w:tc>
      </w:tr>
      <w:tr w:rsidR="004421F6" w14:paraId="1D026D2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D13" w14:textId="77777777" w:rsidR="004421F6" w:rsidRDefault="00F1562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left w:w="20" w:type="dxa"/>
              <w:right w:w="20" w:type="dxa"/>
            </w:tcMar>
            <w:vAlign w:val="bottom"/>
          </w:tcPr>
          <w:p w14:paraId="1D026D14"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D15"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D16"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D17" w14:textId="77777777" w:rsidR="004421F6" w:rsidRDefault="004421F6">
            <w:pPr>
              <w:rPr>
                <w:rFonts w:ascii="宋体"/>
              </w:rPr>
            </w:pPr>
          </w:p>
        </w:tc>
        <w:tc>
          <w:tcPr>
            <w:tcW w:w="0" w:type="auto"/>
            <w:shd w:val="clear" w:color="auto" w:fill="auto"/>
          </w:tcPr>
          <w:p w14:paraId="1D026D18" w14:textId="77777777" w:rsidR="004421F6" w:rsidRDefault="004421F6">
            <w:pPr>
              <w:rPr>
                <w:rFonts w:ascii="宋体"/>
              </w:rPr>
            </w:pPr>
          </w:p>
        </w:tc>
        <w:tc>
          <w:tcPr>
            <w:tcW w:w="0" w:type="auto"/>
            <w:shd w:val="clear" w:color="auto" w:fill="auto"/>
          </w:tcPr>
          <w:p w14:paraId="1D026D19" w14:textId="77777777" w:rsidR="004421F6" w:rsidRDefault="004421F6">
            <w:pPr>
              <w:rPr>
                <w:rFonts w:ascii="宋体"/>
              </w:rPr>
            </w:pPr>
          </w:p>
        </w:tc>
        <w:tc>
          <w:tcPr>
            <w:tcW w:w="0" w:type="auto"/>
            <w:shd w:val="clear" w:color="auto" w:fill="auto"/>
          </w:tcPr>
          <w:p w14:paraId="1D026D1A" w14:textId="77777777" w:rsidR="004421F6" w:rsidRDefault="004421F6">
            <w:pPr>
              <w:rPr>
                <w:rFonts w:ascii="宋体"/>
              </w:rPr>
            </w:pPr>
          </w:p>
        </w:tc>
        <w:tc>
          <w:tcPr>
            <w:tcW w:w="0" w:type="auto"/>
            <w:shd w:val="clear" w:color="auto" w:fill="auto"/>
          </w:tcPr>
          <w:p w14:paraId="1D026D1B" w14:textId="77777777" w:rsidR="004421F6" w:rsidRDefault="004421F6">
            <w:pPr>
              <w:rPr>
                <w:rFonts w:ascii="宋体"/>
              </w:rPr>
            </w:pPr>
          </w:p>
        </w:tc>
        <w:tc>
          <w:tcPr>
            <w:tcW w:w="0" w:type="auto"/>
            <w:shd w:val="clear" w:color="auto" w:fill="auto"/>
          </w:tcPr>
          <w:p w14:paraId="1D026D1C" w14:textId="77777777" w:rsidR="004421F6" w:rsidRDefault="004421F6">
            <w:pPr>
              <w:rPr>
                <w:rFonts w:ascii="宋体"/>
              </w:rPr>
            </w:pPr>
          </w:p>
        </w:tc>
        <w:tc>
          <w:tcPr>
            <w:tcW w:w="0" w:type="auto"/>
            <w:shd w:val="clear" w:color="auto" w:fill="auto"/>
          </w:tcPr>
          <w:p w14:paraId="1D026D1D" w14:textId="77777777" w:rsidR="004421F6" w:rsidRDefault="004421F6">
            <w:pPr>
              <w:rPr>
                <w:rFonts w:ascii="宋体"/>
              </w:rPr>
            </w:pPr>
          </w:p>
        </w:tc>
        <w:tc>
          <w:tcPr>
            <w:tcW w:w="0" w:type="auto"/>
            <w:shd w:val="clear" w:color="auto" w:fill="auto"/>
          </w:tcPr>
          <w:p w14:paraId="1D026D1E" w14:textId="77777777" w:rsidR="004421F6" w:rsidRDefault="004421F6">
            <w:pPr>
              <w:rPr>
                <w:rFonts w:ascii="宋体"/>
              </w:rPr>
            </w:pPr>
          </w:p>
        </w:tc>
        <w:tc>
          <w:tcPr>
            <w:tcW w:w="0" w:type="auto"/>
            <w:shd w:val="clear" w:color="auto" w:fill="auto"/>
          </w:tcPr>
          <w:p w14:paraId="1D026D1F" w14:textId="77777777" w:rsidR="004421F6" w:rsidRDefault="004421F6">
            <w:pPr>
              <w:rPr>
                <w:rFonts w:ascii="宋体"/>
              </w:rPr>
            </w:pPr>
          </w:p>
        </w:tc>
        <w:tc>
          <w:tcPr>
            <w:tcW w:w="0" w:type="auto"/>
            <w:shd w:val="clear" w:color="auto" w:fill="auto"/>
          </w:tcPr>
          <w:p w14:paraId="1D026D20" w14:textId="77777777" w:rsidR="004421F6" w:rsidRDefault="004421F6">
            <w:pPr>
              <w:rPr>
                <w:rFonts w:ascii="宋体"/>
              </w:rPr>
            </w:pPr>
          </w:p>
        </w:tc>
      </w:tr>
      <w:tr w:rsidR="004421F6" w14:paraId="1D026D36"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D22" w14:textId="77777777" w:rsidR="004421F6" w:rsidRDefault="00F1562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tcMar>
            <w:vAlign w:val="bottom"/>
          </w:tcPr>
          <w:p w14:paraId="1D026D23"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D24" w14:textId="77777777" w:rsidR="004421F6" w:rsidRDefault="00F15622">
            <w:pPr>
              <w:jc w:val="right"/>
              <w:textAlignment w:val="bottom"/>
            </w:pPr>
            <w:r>
              <w:rPr>
                <w:rFonts w:ascii="Arial" w:eastAsia="宋体" w:hAnsi="Arial" w:cs="Arial"/>
                <w:color w:val="000000"/>
                <w:sz w:val="17"/>
                <w:szCs w:val="17"/>
              </w:rPr>
              <w:t>1,802 </w:t>
            </w:r>
          </w:p>
        </w:tc>
        <w:tc>
          <w:tcPr>
            <w:tcW w:w="0" w:type="auto"/>
            <w:tcBorders>
              <w:top w:val="single" w:sz="8" w:space="0" w:color="808080"/>
            </w:tcBorders>
            <w:shd w:val="clear" w:color="auto" w:fill="FFF1E7"/>
            <w:tcMar>
              <w:top w:w="40" w:type="dxa"/>
              <w:bottom w:w="40" w:type="dxa"/>
              <w:right w:w="20" w:type="dxa"/>
            </w:tcMar>
            <w:vAlign w:val="bottom"/>
          </w:tcPr>
          <w:p w14:paraId="1D026D25"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D26"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D27" w14:textId="77777777" w:rsidR="004421F6" w:rsidRDefault="00F15622">
            <w:pPr>
              <w:jc w:val="right"/>
              <w:textAlignment w:val="bottom"/>
            </w:pPr>
            <w:r>
              <w:rPr>
                <w:rFonts w:ascii="Arial" w:eastAsia="宋体" w:hAnsi="Arial" w:cs="Arial"/>
                <w:color w:val="000000"/>
                <w:sz w:val="17"/>
                <w:szCs w:val="17"/>
              </w:rPr>
              <w:t>1,758 </w:t>
            </w:r>
          </w:p>
        </w:tc>
        <w:tc>
          <w:tcPr>
            <w:tcW w:w="0" w:type="auto"/>
            <w:tcBorders>
              <w:top w:val="single" w:sz="8" w:space="0" w:color="808080"/>
            </w:tcBorders>
            <w:shd w:val="clear" w:color="auto" w:fill="auto"/>
            <w:tcMar>
              <w:top w:w="40" w:type="dxa"/>
              <w:bottom w:w="40" w:type="dxa"/>
              <w:right w:w="20" w:type="dxa"/>
            </w:tcMar>
            <w:vAlign w:val="bottom"/>
          </w:tcPr>
          <w:p w14:paraId="1D026D28"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D29" w14:textId="77777777" w:rsidR="004421F6" w:rsidRDefault="00F1562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bottom w:w="40" w:type="dxa"/>
              <w:right w:w="20" w:type="dxa"/>
            </w:tcMar>
            <w:vAlign w:val="bottom"/>
          </w:tcPr>
          <w:p w14:paraId="1D026D2A"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D2B" w14:textId="77777777" w:rsidR="004421F6" w:rsidRDefault="00F1562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bottom w:w="40" w:type="dxa"/>
              <w:right w:w="20" w:type="dxa"/>
            </w:tcMar>
            <w:vAlign w:val="bottom"/>
          </w:tcPr>
          <w:p w14:paraId="1D026D2C"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D2D" w14:textId="77777777" w:rsidR="004421F6" w:rsidRDefault="004421F6">
            <w:pPr>
              <w:rPr>
                <w:rFonts w:ascii="宋体"/>
              </w:rPr>
            </w:pPr>
          </w:p>
        </w:tc>
        <w:tc>
          <w:tcPr>
            <w:tcW w:w="0" w:type="auto"/>
            <w:shd w:val="clear" w:color="auto" w:fill="auto"/>
          </w:tcPr>
          <w:p w14:paraId="1D026D2E" w14:textId="77777777" w:rsidR="004421F6" w:rsidRDefault="004421F6">
            <w:pPr>
              <w:rPr>
                <w:rFonts w:ascii="宋体"/>
              </w:rPr>
            </w:pPr>
          </w:p>
        </w:tc>
        <w:tc>
          <w:tcPr>
            <w:tcW w:w="0" w:type="auto"/>
            <w:shd w:val="clear" w:color="auto" w:fill="auto"/>
          </w:tcPr>
          <w:p w14:paraId="1D026D2F" w14:textId="77777777" w:rsidR="004421F6" w:rsidRDefault="004421F6">
            <w:pPr>
              <w:rPr>
                <w:rFonts w:ascii="宋体"/>
              </w:rPr>
            </w:pPr>
          </w:p>
        </w:tc>
        <w:tc>
          <w:tcPr>
            <w:tcW w:w="0" w:type="auto"/>
            <w:shd w:val="clear" w:color="auto" w:fill="auto"/>
          </w:tcPr>
          <w:p w14:paraId="1D026D30" w14:textId="77777777" w:rsidR="004421F6" w:rsidRDefault="004421F6">
            <w:pPr>
              <w:rPr>
                <w:rFonts w:ascii="宋体"/>
              </w:rPr>
            </w:pPr>
          </w:p>
        </w:tc>
        <w:tc>
          <w:tcPr>
            <w:tcW w:w="0" w:type="auto"/>
            <w:shd w:val="clear" w:color="auto" w:fill="auto"/>
          </w:tcPr>
          <w:p w14:paraId="1D026D31" w14:textId="77777777" w:rsidR="004421F6" w:rsidRDefault="004421F6">
            <w:pPr>
              <w:rPr>
                <w:rFonts w:ascii="宋体"/>
              </w:rPr>
            </w:pPr>
          </w:p>
        </w:tc>
        <w:tc>
          <w:tcPr>
            <w:tcW w:w="0" w:type="auto"/>
            <w:shd w:val="clear" w:color="auto" w:fill="auto"/>
          </w:tcPr>
          <w:p w14:paraId="1D026D32" w14:textId="77777777" w:rsidR="004421F6" w:rsidRDefault="004421F6">
            <w:pPr>
              <w:rPr>
                <w:rFonts w:ascii="宋体"/>
              </w:rPr>
            </w:pPr>
          </w:p>
        </w:tc>
        <w:tc>
          <w:tcPr>
            <w:tcW w:w="0" w:type="auto"/>
            <w:shd w:val="clear" w:color="auto" w:fill="auto"/>
          </w:tcPr>
          <w:p w14:paraId="1D026D33" w14:textId="77777777" w:rsidR="004421F6" w:rsidRDefault="004421F6">
            <w:pPr>
              <w:rPr>
                <w:rFonts w:ascii="宋体"/>
              </w:rPr>
            </w:pPr>
          </w:p>
        </w:tc>
        <w:tc>
          <w:tcPr>
            <w:tcW w:w="0" w:type="auto"/>
            <w:shd w:val="clear" w:color="auto" w:fill="auto"/>
          </w:tcPr>
          <w:p w14:paraId="1D026D34" w14:textId="77777777" w:rsidR="004421F6" w:rsidRDefault="004421F6">
            <w:pPr>
              <w:rPr>
                <w:rFonts w:ascii="宋体"/>
              </w:rPr>
            </w:pPr>
          </w:p>
        </w:tc>
        <w:tc>
          <w:tcPr>
            <w:tcW w:w="0" w:type="auto"/>
            <w:shd w:val="clear" w:color="auto" w:fill="auto"/>
          </w:tcPr>
          <w:p w14:paraId="1D026D35" w14:textId="77777777" w:rsidR="004421F6" w:rsidRDefault="004421F6">
            <w:pPr>
              <w:rPr>
                <w:rFonts w:ascii="宋体"/>
              </w:rPr>
            </w:pPr>
          </w:p>
        </w:tc>
      </w:tr>
      <w:tr w:rsidR="004421F6" w14:paraId="1D026D49"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D37" w14:textId="77777777" w:rsidR="004421F6" w:rsidRDefault="00F1562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D38" w14:textId="77777777" w:rsidR="004421F6" w:rsidRDefault="00F15622">
            <w:pPr>
              <w:jc w:val="right"/>
              <w:textAlignment w:val="bottom"/>
            </w:pPr>
            <w:r>
              <w:rPr>
                <w:rFonts w:ascii="Arial" w:eastAsia="宋体" w:hAnsi="Arial" w:cs="Arial"/>
                <w:color w:val="000000"/>
                <w:sz w:val="17"/>
                <w:szCs w:val="17"/>
              </w:rPr>
              <w:t>971 </w:t>
            </w:r>
          </w:p>
        </w:tc>
        <w:tc>
          <w:tcPr>
            <w:tcW w:w="0" w:type="auto"/>
            <w:tcBorders>
              <w:top w:val="single" w:sz="8" w:space="0" w:color="808080"/>
            </w:tcBorders>
            <w:shd w:val="clear" w:color="auto" w:fill="FFF1E7"/>
            <w:tcMar>
              <w:top w:w="40" w:type="dxa"/>
              <w:bottom w:w="40" w:type="dxa"/>
              <w:right w:w="20" w:type="dxa"/>
            </w:tcMar>
            <w:vAlign w:val="bottom"/>
          </w:tcPr>
          <w:p w14:paraId="1D026D39"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D3A" w14:textId="77777777" w:rsidR="004421F6" w:rsidRDefault="00F15622">
            <w:pPr>
              <w:jc w:val="right"/>
              <w:textAlignment w:val="bottom"/>
            </w:pPr>
            <w:r>
              <w:rPr>
                <w:rFonts w:ascii="Arial" w:eastAsia="宋体" w:hAnsi="Arial" w:cs="Arial"/>
                <w:color w:val="000000"/>
                <w:sz w:val="17"/>
                <w:szCs w:val="17"/>
              </w:rPr>
              <w:t>869 </w:t>
            </w:r>
          </w:p>
        </w:tc>
        <w:tc>
          <w:tcPr>
            <w:tcW w:w="0" w:type="auto"/>
            <w:tcBorders>
              <w:top w:val="single" w:sz="8" w:space="0" w:color="808080"/>
            </w:tcBorders>
            <w:shd w:val="clear" w:color="auto" w:fill="auto"/>
            <w:tcMar>
              <w:top w:w="40" w:type="dxa"/>
              <w:bottom w:w="40" w:type="dxa"/>
              <w:right w:w="20" w:type="dxa"/>
            </w:tcMar>
            <w:vAlign w:val="bottom"/>
          </w:tcPr>
          <w:p w14:paraId="1D026D3B"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D3C" w14:textId="77777777" w:rsidR="004421F6" w:rsidRDefault="00F1562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bottom w:w="40" w:type="dxa"/>
              <w:right w:w="20" w:type="dxa"/>
            </w:tcMar>
            <w:vAlign w:val="bottom"/>
          </w:tcPr>
          <w:p w14:paraId="1D026D3D"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D3E" w14:textId="77777777" w:rsidR="004421F6" w:rsidRDefault="00F15622">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bottom w:w="40" w:type="dxa"/>
              <w:right w:w="20" w:type="dxa"/>
            </w:tcMar>
            <w:vAlign w:val="bottom"/>
          </w:tcPr>
          <w:p w14:paraId="1D026D3F"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D40" w14:textId="77777777" w:rsidR="004421F6" w:rsidRDefault="004421F6">
            <w:pPr>
              <w:rPr>
                <w:rFonts w:ascii="宋体"/>
              </w:rPr>
            </w:pPr>
          </w:p>
        </w:tc>
        <w:tc>
          <w:tcPr>
            <w:tcW w:w="0" w:type="auto"/>
            <w:shd w:val="clear" w:color="auto" w:fill="auto"/>
          </w:tcPr>
          <w:p w14:paraId="1D026D41" w14:textId="77777777" w:rsidR="004421F6" w:rsidRDefault="004421F6">
            <w:pPr>
              <w:rPr>
                <w:rFonts w:ascii="宋体"/>
              </w:rPr>
            </w:pPr>
          </w:p>
        </w:tc>
        <w:tc>
          <w:tcPr>
            <w:tcW w:w="0" w:type="auto"/>
            <w:shd w:val="clear" w:color="auto" w:fill="auto"/>
          </w:tcPr>
          <w:p w14:paraId="1D026D42" w14:textId="77777777" w:rsidR="004421F6" w:rsidRDefault="004421F6">
            <w:pPr>
              <w:rPr>
                <w:rFonts w:ascii="宋体"/>
              </w:rPr>
            </w:pPr>
          </w:p>
        </w:tc>
        <w:tc>
          <w:tcPr>
            <w:tcW w:w="0" w:type="auto"/>
            <w:shd w:val="clear" w:color="auto" w:fill="auto"/>
          </w:tcPr>
          <w:p w14:paraId="1D026D43" w14:textId="77777777" w:rsidR="004421F6" w:rsidRDefault="004421F6">
            <w:pPr>
              <w:rPr>
                <w:rFonts w:ascii="宋体"/>
              </w:rPr>
            </w:pPr>
          </w:p>
        </w:tc>
        <w:tc>
          <w:tcPr>
            <w:tcW w:w="0" w:type="auto"/>
            <w:shd w:val="clear" w:color="auto" w:fill="auto"/>
          </w:tcPr>
          <w:p w14:paraId="1D026D44" w14:textId="77777777" w:rsidR="004421F6" w:rsidRDefault="004421F6">
            <w:pPr>
              <w:rPr>
                <w:rFonts w:ascii="宋体"/>
              </w:rPr>
            </w:pPr>
          </w:p>
        </w:tc>
        <w:tc>
          <w:tcPr>
            <w:tcW w:w="0" w:type="auto"/>
            <w:shd w:val="clear" w:color="auto" w:fill="auto"/>
          </w:tcPr>
          <w:p w14:paraId="1D026D45" w14:textId="77777777" w:rsidR="004421F6" w:rsidRDefault="004421F6">
            <w:pPr>
              <w:rPr>
                <w:rFonts w:ascii="宋体"/>
              </w:rPr>
            </w:pPr>
          </w:p>
        </w:tc>
        <w:tc>
          <w:tcPr>
            <w:tcW w:w="0" w:type="auto"/>
            <w:shd w:val="clear" w:color="auto" w:fill="auto"/>
          </w:tcPr>
          <w:p w14:paraId="1D026D46" w14:textId="77777777" w:rsidR="004421F6" w:rsidRDefault="004421F6">
            <w:pPr>
              <w:rPr>
                <w:rFonts w:ascii="宋体"/>
              </w:rPr>
            </w:pPr>
          </w:p>
        </w:tc>
        <w:tc>
          <w:tcPr>
            <w:tcW w:w="0" w:type="auto"/>
            <w:shd w:val="clear" w:color="auto" w:fill="auto"/>
          </w:tcPr>
          <w:p w14:paraId="1D026D47" w14:textId="77777777" w:rsidR="004421F6" w:rsidRDefault="004421F6">
            <w:pPr>
              <w:rPr>
                <w:rFonts w:ascii="宋体"/>
              </w:rPr>
            </w:pPr>
          </w:p>
        </w:tc>
        <w:tc>
          <w:tcPr>
            <w:tcW w:w="0" w:type="auto"/>
            <w:shd w:val="clear" w:color="auto" w:fill="auto"/>
          </w:tcPr>
          <w:p w14:paraId="1D026D48" w14:textId="77777777" w:rsidR="004421F6" w:rsidRDefault="004421F6">
            <w:pPr>
              <w:rPr>
                <w:rFonts w:ascii="宋体"/>
              </w:rPr>
            </w:pPr>
          </w:p>
        </w:tc>
      </w:tr>
      <w:tr w:rsidR="004421F6" w14:paraId="1D026D5C"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D4A" w14:textId="77777777" w:rsidR="004421F6" w:rsidRDefault="00F1562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D4B" w14:textId="77777777" w:rsidR="004421F6" w:rsidRDefault="00F15622">
            <w:pPr>
              <w:jc w:val="right"/>
              <w:textAlignment w:val="bottom"/>
            </w:pPr>
            <w:r>
              <w:rPr>
                <w:rFonts w:ascii="Arial" w:eastAsia="宋体" w:hAnsi="Arial" w:cs="Arial"/>
                <w:color w:val="000000"/>
                <w:sz w:val="17"/>
                <w:szCs w:val="17"/>
              </w:rPr>
              <w:t>137 </w:t>
            </w:r>
          </w:p>
        </w:tc>
        <w:tc>
          <w:tcPr>
            <w:tcW w:w="0" w:type="auto"/>
            <w:tcBorders>
              <w:top w:val="single" w:sz="8" w:space="0" w:color="808080"/>
            </w:tcBorders>
            <w:shd w:val="clear" w:color="auto" w:fill="FFF1E7"/>
            <w:tcMar>
              <w:top w:w="40" w:type="dxa"/>
              <w:bottom w:w="40" w:type="dxa"/>
              <w:right w:w="20" w:type="dxa"/>
            </w:tcMar>
            <w:vAlign w:val="bottom"/>
          </w:tcPr>
          <w:p w14:paraId="1D026D4C"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D4D" w14:textId="77777777" w:rsidR="004421F6" w:rsidRDefault="00F15622">
            <w:pPr>
              <w:jc w:val="right"/>
              <w:textAlignment w:val="bottom"/>
            </w:pPr>
            <w:r>
              <w:rPr>
                <w:rFonts w:ascii="Arial" w:eastAsia="宋体" w:hAnsi="Arial" w:cs="Arial"/>
                <w:color w:val="000000"/>
                <w:sz w:val="17"/>
                <w:szCs w:val="17"/>
              </w:rPr>
              <w:t>146 </w:t>
            </w:r>
          </w:p>
        </w:tc>
        <w:tc>
          <w:tcPr>
            <w:tcW w:w="0" w:type="auto"/>
            <w:tcBorders>
              <w:top w:val="single" w:sz="8" w:space="0" w:color="808080"/>
            </w:tcBorders>
            <w:shd w:val="clear" w:color="auto" w:fill="auto"/>
            <w:tcMar>
              <w:top w:w="40" w:type="dxa"/>
              <w:bottom w:w="40" w:type="dxa"/>
              <w:right w:w="20" w:type="dxa"/>
            </w:tcMar>
            <w:vAlign w:val="bottom"/>
          </w:tcPr>
          <w:p w14:paraId="1D026D4E"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D4F" w14:textId="77777777" w:rsidR="004421F6" w:rsidRDefault="00F1562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bottom w:w="40" w:type="dxa"/>
              <w:right w:w="20" w:type="dxa"/>
            </w:tcMar>
            <w:vAlign w:val="bottom"/>
          </w:tcPr>
          <w:p w14:paraId="1D026D50"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D51" w14:textId="77777777" w:rsidR="004421F6" w:rsidRDefault="00F1562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bottom w:w="40" w:type="dxa"/>
              <w:right w:w="20" w:type="dxa"/>
            </w:tcMar>
            <w:vAlign w:val="bottom"/>
          </w:tcPr>
          <w:p w14:paraId="1D026D52"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D53" w14:textId="77777777" w:rsidR="004421F6" w:rsidRDefault="004421F6">
            <w:pPr>
              <w:rPr>
                <w:rFonts w:ascii="宋体"/>
              </w:rPr>
            </w:pPr>
          </w:p>
        </w:tc>
        <w:tc>
          <w:tcPr>
            <w:tcW w:w="0" w:type="auto"/>
            <w:shd w:val="clear" w:color="auto" w:fill="auto"/>
          </w:tcPr>
          <w:p w14:paraId="1D026D54" w14:textId="77777777" w:rsidR="004421F6" w:rsidRDefault="004421F6">
            <w:pPr>
              <w:rPr>
                <w:rFonts w:ascii="宋体"/>
              </w:rPr>
            </w:pPr>
          </w:p>
        </w:tc>
        <w:tc>
          <w:tcPr>
            <w:tcW w:w="0" w:type="auto"/>
            <w:shd w:val="clear" w:color="auto" w:fill="auto"/>
          </w:tcPr>
          <w:p w14:paraId="1D026D55" w14:textId="77777777" w:rsidR="004421F6" w:rsidRDefault="004421F6">
            <w:pPr>
              <w:rPr>
                <w:rFonts w:ascii="宋体"/>
              </w:rPr>
            </w:pPr>
          </w:p>
        </w:tc>
        <w:tc>
          <w:tcPr>
            <w:tcW w:w="0" w:type="auto"/>
            <w:shd w:val="clear" w:color="auto" w:fill="auto"/>
          </w:tcPr>
          <w:p w14:paraId="1D026D56" w14:textId="77777777" w:rsidR="004421F6" w:rsidRDefault="004421F6">
            <w:pPr>
              <w:rPr>
                <w:rFonts w:ascii="宋体"/>
              </w:rPr>
            </w:pPr>
          </w:p>
        </w:tc>
        <w:tc>
          <w:tcPr>
            <w:tcW w:w="0" w:type="auto"/>
            <w:shd w:val="clear" w:color="auto" w:fill="auto"/>
          </w:tcPr>
          <w:p w14:paraId="1D026D57" w14:textId="77777777" w:rsidR="004421F6" w:rsidRDefault="004421F6">
            <w:pPr>
              <w:rPr>
                <w:rFonts w:ascii="宋体"/>
              </w:rPr>
            </w:pPr>
          </w:p>
        </w:tc>
        <w:tc>
          <w:tcPr>
            <w:tcW w:w="0" w:type="auto"/>
            <w:shd w:val="clear" w:color="auto" w:fill="auto"/>
          </w:tcPr>
          <w:p w14:paraId="1D026D58" w14:textId="77777777" w:rsidR="004421F6" w:rsidRDefault="004421F6">
            <w:pPr>
              <w:rPr>
                <w:rFonts w:ascii="宋体"/>
              </w:rPr>
            </w:pPr>
          </w:p>
        </w:tc>
        <w:tc>
          <w:tcPr>
            <w:tcW w:w="0" w:type="auto"/>
            <w:shd w:val="clear" w:color="auto" w:fill="auto"/>
          </w:tcPr>
          <w:p w14:paraId="1D026D59" w14:textId="77777777" w:rsidR="004421F6" w:rsidRDefault="004421F6">
            <w:pPr>
              <w:rPr>
                <w:rFonts w:ascii="宋体"/>
              </w:rPr>
            </w:pPr>
          </w:p>
        </w:tc>
        <w:tc>
          <w:tcPr>
            <w:tcW w:w="0" w:type="auto"/>
            <w:shd w:val="clear" w:color="auto" w:fill="auto"/>
          </w:tcPr>
          <w:p w14:paraId="1D026D5A" w14:textId="77777777" w:rsidR="004421F6" w:rsidRDefault="004421F6">
            <w:pPr>
              <w:rPr>
                <w:rFonts w:ascii="宋体"/>
              </w:rPr>
            </w:pPr>
          </w:p>
        </w:tc>
        <w:tc>
          <w:tcPr>
            <w:tcW w:w="0" w:type="auto"/>
            <w:shd w:val="clear" w:color="auto" w:fill="auto"/>
          </w:tcPr>
          <w:p w14:paraId="1D026D5B" w14:textId="77777777" w:rsidR="004421F6" w:rsidRDefault="004421F6">
            <w:pPr>
              <w:rPr>
                <w:rFonts w:ascii="宋体"/>
              </w:rPr>
            </w:pPr>
          </w:p>
        </w:tc>
      </w:tr>
      <w:tr w:rsidR="004421F6" w14:paraId="1D026D7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D5D" w14:textId="77777777" w:rsidR="004421F6" w:rsidRDefault="00F1562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tcMar>
            <w:vAlign w:val="bottom"/>
          </w:tcPr>
          <w:p w14:paraId="1D026D5E"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D5F" w14:textId="77777777" w:rsidR="004421F6" w:rsidRDefault="00F15622">
            <w:pPr>
              <w:jc w:val="right"/>
              <w:textAlignment w:val="bottom"/>
            </w:pPr>
            <w:r>
              <w:rPr>
                <w:rFonts w:ascii="Arial" w:eastAsia="宋体" w:hAnsi="Arial" w:cs="Arial"/>
                <w:b/>
                <w:bCs/>
                <w:color w:val="000000"/>
                <w:sz w:val="17"/>
                <w:szCs w:val="17"/>
              </w:rPr>
              <w:t>2,910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D60"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D61"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D62" w14:textId="77777777" w:rsidR="004421F6" w:rsidRDefault="00F15622">
            <w:pPr>
              <w:jc w:val="right"/>
              <w:textAlignment w:val="bottom"/>
            </w:pPr>
            <w:r>
              <w:rPr>
                <w:rFonts w:ascii="Arial" w:eastAsia="宋体" w:hAnsi="Arial" w:cs="Arial"/>
                <w:b/>
                <w:bCs/>
                <w:color w:val="000000"/>
                <w:sz w:val="17"/>
                <w:szCs w:val="17"/>
              </w:rPr>
              <w:t>2,773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D63"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D64" w14:textId="77777777" w:rsidR="004421F6" w:rsidRDefault="00F15622">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D65"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D66" w14:textId="77777777" w:rsidR="004421F6" w:rsidRDefault="00F15622">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D67"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6D68" w14:textId="77777777" w:rsidR="004421F6" w:rsidRDefault="004421F6">
            <w:pPr>
              <w:rPr>
                <w:rFonts w:ascii="宋体"/>
              </w:rPr>
            </w:pPr>
          </w:p>
        </w:tc>
        <w:tc>
          <w:tcPr>
            <w:tcW w:w="0" w:type="auto"/>
            <w:shd w:val="clear" w:color="auto" w:fill="auto"/>
          </w:tcPr>
          <w:p w14:paraId="1D026D69" w14:textId="77777777" w:rsidR="004421F6" w:rsidRDefault="004421F6">
            <w:pPr>
              <w:rPr>
                <w:rFonts w:ascii="宋体"/>
              </w:rPr>
            </w:pPr>
          </w:p>
        </w:tc>
        <w:tc>
          <w:tcPr>
            <w:tcW w:w="0" w:type="auto"/>
            <w:shd w:val="clear" w:color="auto" w:fill="auto"/>
          </w:tcPr>
          <w:p w14:paraId="1D026D6A" w14:textId="77777777" w:rsidR="004421F6" w:rsidRDefault="004421F6">
            <w:pPr>
              <w:rPr>
                <w:rFonts w:ascii="宋体"/>
              </w:rPr>
            </w:pPr>
          </w:p>
        </w:tc>
        <w:tc>
          <w:tcPr>
            <w:tcW w:w="0" w:type="auto"/>
            <w:shd w:val="clear" w:color="auto" w:fill="auto"/>
          </w:tcPr>
          <w:p w14:paraId="1D026D6B" w14:textId="77777777" w:rsidR="004421F6" w:rsidRDefault="004421F6">
            <w:pPr>
              <w:rPr>
                <w:rFonts w:ascii="宋体"/>
              </w:rPr>
            </w:pPr>
          </w:p>
        </w:tc>
        <w:tc>
          <w:tcPr>
            <w:tcW w:w="0" w:type="auto"/>
            <w:shd w:val="clear" w:color="auto" w:fill="auto"/>
          </w:tcPr>
          <w:p w14:paraId="1D026D6C" w14:textId="77777777" w:rsidR="004421F6" w:rsidRDefault="004421F6">
            <w:pPr>
              <w:rPr>
                <w:rFonts w:ascii="宋体"/>
              </w:rPr>
            </w:pPr>
          </w:p>
        </w:tc>
        <w:tc>
          <w:tcPr>
            <w:tcW w:w="0" w:type="auto"/>
            <w:shd w:val="clear" w:color="auto" w:fill="auto"/>
          </w:tcPr>
          <w:p w14:paraId="1D026D6D" w14:textId="77777777" w:rsidR="004421F6" w:rsidRDefault="004421F6">
            <w:pPr>
              <w:rPr>
                <w:rFonts w:ascii="宋体"/>
              </w:rPr>
            </w:pPr>
          </w:p>
        </w:tc>
        <w:tc>
          <w:tcPr>
            <w:tcW w:w="0" w:type="auto"/>
            <w:shd w:val="clear" w:color="auto" w:fill="auto"/>
          </w:tcPr>
          <w:p w14:paraId="1D026D6E" w14:textId="77777777" w:rsidR="004421F6" w:rsidRDefault="004421F6">
            <w:pPr>
              <w:rPr>
                <w:rFonts w:ascii="宋体"/>
              </w:rPr>
            </w:pPr>
          </w:p>
        </w:tc>
        <w:tc>
          <w:tcPr>
            <w:tcW w:w="0" w:type="auto"/>
            <w:shd w:val="clear" w:color="auto" w:fill="auto"/>
          </w:tcPr>
          <w:p w14:paraId="1D026D6F" w14:textId="77777777" w:rsidR="004421F6" w:rsidRDefault="004421F6">
            <w:pPr>
              <w:rPr>
                <w:rFonts w:ascii="宋体"/>
              </w:rPr>
            </w:pPr>
          </w:p>
        </w:tc>
        <w:tc>
          <w:tcPr>
            <w:tcW w:w="0" w:type="auto"/>
            <w:shd w:val="clear" w:color="auto" w:fill="auto"/>
          </w:tcPr>
          <w:p w14:paraId="1D026D70" w14:textId="77777777" w:rsidR="004421F6" w:rsidRDefault="004421F6">
            <w:pPr>
              <w:rPr>
                <w:rFonts w:ascii="宋体"/>
              </w:rPr>
            </w:pPr>
          </w:p>
        </w:tc>
      </w:tr>
      <w:tr w:rsidR="004421F6" w14:paraId="1D026D8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D72" w14:textId="77777777" w:rsidR="004421F6" w:rsidRDefault="00F1562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1D026D73" w14:textId="77777777" w:rsidR="004421F6" w:rsidRDefault="00F15622">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D74" w14:textId="77777777" w:rsidR="004421F6" w:rsidRDefault="00F15622">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left w:w="20" w:type="dxa"/>
              <w:right w:w="20" w:type="dxa"/>
            </w:tcMar>
            <w:vAlign w:val="bottom"/>
          </w:tcPr>
          <w:p w14:paraId="1D026D75"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D76" w14:textId="77777777" w:rsidR="004421F6" w:rsidRDefault="004421F6">
            <w:pPr>
              <w:rPr>
                <w:rFonts w:ascii="宋体"/>
              </w:rPr>
            </w:pPr>
          </w:p>
        </w:tc>
        <w:tc>
          <w:tcPr>
            <w:tcW w:w="0" w:type="auto"/>
            <w:shd w:val="clear" w:color="auto" w:fill="auto"/>
          </w:tcPr>
          <w:p w14:paraId="1D026D77" w14:textId="77777777" w:rsidR="004421F6" w:rsidRDefault="004421F6">
            <w:pPr>
              <w:rPr>
                <w:rFonts w:ascii="宋体"/>
              </w:rPr>
            </w:pPr>
          </w:p>
        </w:tc>
        <w:tc>
          <w:tcPr>
            <w:tcW w:w="0" w:type="auto"/>
            <w:shd w:val="clear" w:color="auto" w:fill="auto"/>
          </w:tcPr>
          <w:p w14:paraId="1D026D78" w14:textId="77777777" w:rsidR="004421F6" w:rsidRDefault="004421F6">
            <w:pPr>
              <w:rPr>
                <w:rFonts w:ascii="宋体"/>
              </w:rPr>
            </w:pPr>
          </w:p>
        </w:tc>
        <w:tc>
          <w:tcPr>
            <w:tcW w:w="0" w:type="auto"/>
            <w:shd w:val="clear" w:color="auto" w:fill="auto"/>
          </w:tcPr>
          <w:p w14:paraId="1D026D79" w14:textId="77777777" w:rsidR="004421F6" w:rsidRDefault="004421F6">
            <w:pPr>
              <w:rPr>
                <w:rFonts w:ascii="宋体"/>
              </w:rPr>
            </w:pPr>
          </w:p>
        </w:tc>
        <w:tc>
          <w:tcPr>
            <w:tcW w:w="0" w:type="auto"/>
            <w:shd w:val="clear" w:color="auto" w:fill="auto"/>
          </w:tcPr>
          <w:p w14:paraId="1D026D7A" w14:textId="77777777" w:rsidR="004421F6" w:rsidRDefault="004421F6">
            <w:pPr>
              <w:rPr>
                <w:rFonts w:ascii="宋体"/>
              </w:rPr>
            </w:pPr>
          </w:p>
        </w:tc>
        <w:tc>
          <w:tcPr>
            <w:tcW w:w="0" w:type="auto"/>
            <w:shd w:val="clear" w:color="auto" w:fill="auto"/>
          </w:tcPr>
          <w:p w14:paraId="1D026D7B" w14:textId="77777777" w:rsidR="004421F6" w:rsidRDefault="004421F6">
            <w:pPr>
              <w:rPr>
                <w:rFonts w:ascii="宋体"/>
              </w:rPr>
            </w:pPr>
          </w:p>
        </w:tc>
        <w:tc>
          <w:tcPr>
            <w:tcW w:w="0" w:type="auto"/>
            <w:shd w:val="clear" w:color="auto" w:fill="auto"/>
          </w:tcPr>
          <w:p w14:paraId="1D026D7C" w14:textId="77777777" w:rsidR="004421F6" w:rsidRDefault="004421F6">
            <w:pPr>
              <w:rPr>
                <w:rFonts w:ascii="宋体"/>
              </w:rPr>
            </w:pPr>
          </w:p>
        </w:tc>
        <w:tc>
          <w:tcPr>
            <w:tcW w:w="0" w:type="auto"/>
            <w:shd w:val="clear" w:color="auto" w:fill="auto"/>
          </w:tcPr>
          <w:p w14:paraId="1D026D7D" w14:textId="77777777" w:rsidR="004421F6" w:rsidRDefault="004421F6">
            <w:pPr>
              <w:rPr>
                <w:rFonts w:ascii="宋体"/>
              </w:rPr>
            </w:pPr>
          </w:p>
        </w:tc>
        <w:tc>
          <w:tcPr>
            <w:tcW w:w="0" w:type="auto"/>
            <w:shd w:val="clear" w:color="auto" w:fill="auto"/>
          </w:tcPr>
          <w:p w14:paraId="1D026D7E" w14:textId="77777777" w:rsidR="004421F6" w:rsidRDefault="004421F6">
            <w:pPr>
              <w:rPr>
                <w:rFonts w:ascii="宋体"/>
              </w:rPr>
            </w:pPr>
          </w:p>
        </w:tc>
        <w:tc>
          <w:tcPr>
            <w:tcW w:w="0" w:type="auto"/>
            <w:shd w:val="clear" w:color="auto" w:fill="auto"/>
          </w:tcPr>
          <w:p w14:paraId="1D026D7F" w14:textId="77777777" w:rsidR="004421F6" w:rsidRDefault="004421F6">
            <w:pPr>
              <w:rPr>
                <w:rFonts w:ascii="宋体"/>
              </w:rPr>
            </w:pPr>
          </w:p>
        </w:tc>
      </w:tr>
      <w:tr w:rsidR="004421F6" w14:paraId="1D026D95"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D81" w14:textId="77777777" w:rsidR="004421F6" w:rsidRDefault="00F1562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tcMar>
            <w:vAlign w:val="bottom"/>
          </w:tcPr>
          <w:p w14:paraId="1D026D82"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D83" w14:textId="77777777" w:rsidR="004421F6" w:rsidRDefault="00F15622">
            <w:pPr>
              <w:jc w:val="right"/>
              <w:textAlignment w:val="bottom"/>
            </w:pPr>
            <w:r>
              <w:rPr>
                <w:rFonts w:ascii="Arial" w:eastAsia="宋体" w:hAnsi="Arial" w:cs="Arial"/>
                <w:color w:val="000000"/>
                <w:sz w:val="17"/>
                <w:szCs w:val="17"/>
              </w:rPr>
              <w:t>1,973 </w:t>
            </w:r>
          </w:p>
        </w:tc>
        <w:tc>
          <w:tcPr>
            <w:tcW w:w="0" w:type="auto"/>
            <w:tcBorders>
              <w:top w:val="single" w:sz="8" w:space="0" w:color="808080"/>
            </w:tcBorders>
            <w:shd w:val="clear" w:color="auto" w:fill="FFF1E7"/>
            <w:tcMar>
              <w:top w:w="40" w:type="dxa"/>
              <w:bottom w:w="40" w:type="dxa"/>
              <w:right w:w="20" w:type="dxa"/>
            </w:tcMar>
            <w:vAlign w:val="bottom"/>
          </w:tcPr>
          <w:p w14:paraId="1D026D84"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D85"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D86" w14:textId="77777777" w:rsidR="004421F6" w:rsidRDefault="00F15622">
            <w:pPr>
              <w:jc w:val="right"/>
              <w:textAlignment w:val="bottom"/>
            </w:pPr>
            <w:r>
              <w:rPr>
                <w:rFonts w:ascii="Arial" w:eastAsia="宋体" w:hAnsi="Arial" w:cs="Arial"/>
                <w:color w:val="000000"/>
                <w:sz w:val="17"/>
                <w:szCs w:val="17"/>
              </w:rPr>
              <w:t>2,042 </w:t>
            </w:r>
          </w:p>
        </w:tc>
        <w:tc>
          <w:tcPr>
            <w:tcW w:w="0" w:type="auto"/>
            <w:tcBorders>
              <w:top w:val="single" w:sz="8" w:space="0" w:color="808080"/>
            </w:tcBorders>
            <w:shd w:val="clear" w:color="auto" w:fill="auto"/>
            <w:tcMar>
              <w:top w:w="40" w:type="dxa"/>
              <w:bottom w:w="40" w:type="dxa"/>
              <w:right w:w="20" w:type="dxa"/>
            </w:tcMar>
            <w:vAlign w:val="bottom"/>
          </w:tcPr>
          <w:p w14:paraId="1D026D87"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D88" w14:textId="77777777" w:rsidR="004421F6" w:rsidRDefault="00F1562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bottom w:w="40" w:type="dxa"/>
              <w:right w:w="20" w:type="dxa"/>
            </w:tcMar>
            <w:vAlign w:val="bottom"/>
          </w:tcPr>
          <w:p w14:paraId="1D026D89"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D8A" w14:textId="77777777" w:rsidR="004421F6" w:rsidRDefault="00F1562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bottom w:w="40" w:type="dxa"/>
              <w:right w:w="20" w:type="dxa"/>
            </w:tcMar>
            <w:vAlign w:val="bottom"/>
          </w:tcPr>
          <w:p w14:paraId="1D026D8B"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D8C" w14:textId="77777777" w:rsidR="004421F6" w:rsidRDefault="004421F6">
            <w:pPr>
              <w:rPr>
                <w:rFonts w:ascii="宋体"/>
              </w:rPr>
            </w:pPr>
          </w:p>
        </w:tc>
        <w:tc>
          <w:tcPr>
            <w:tcW w:w="0" w:type="auto"/>
            <w:shd w:val="clear" w:color="auto" w:fill="auto"/>
          </w:tcPr>
          <w:p w14:paraId="1D026D8D" w14:textId="77777777" w:rsidR="004421F6" w:rsidRDefault="004421F6">
            <w:pPr>
              <w:rPr>
                <w:rFonts w:ascii="宋体"/>
              </w:rPr>
            </w:pPr>
          </w:p>
        </w:tc>
        <w:tc>
          <w:tcPr>
            <w:tcW w:w="0" w:type="auto"/>
            <w:shd w:val="clear" w:color="auto" w:fill="auto"/>
          </w:tcPr>
          <w:p w14:paraId="1D026D8E" w14:textId="77777777" w:rsidR="004421F6" w:rsidRDefault="004421F6">
            <w:pPr>
              <w:rPr>
                <w:rFonts w:ascii="宋体"/>
              </w:rPr>
            </w:pPr>
          </w:p>
        </w:tc>
        <w:tc>
          <w:tcPr>
            <w:tcW w:w="0" w:type="auto"/>
            <w:shd w:val="clear" w:color="auto" w:fill="auto"/>
          </w:tcPr>
          <w:p w14:paraId="1D026D8F" w14:textId="77777777" w:rsidR="004421F6" w:rsidRDefault="004421F6">
            <w:pPr>
              <w:rPr>
                <w:rFonts w:ascii="宋体"/>
              </w:rPr>
            </w:pPr>
          </w:p>
        </w:tc>
        <w:tc>
          <w:tcPr>
            <w:tcW w:w="0" w:type="auto"/>
            <w:shd w:val="clear" w:color="auto" w:fill="auto"/>
          </w:tcPr>
          <w:p w14:paraId="1D026D90" w14:textId="77777777" w:rsidR="004421F6" w:rsidRDefault="004421F6">
            <w:pPr>
              <w:rPr>
                <w:rFonts w:ascii="宋体"/>
              </w:rPr>
            </w:pPr>
          </w:p>
        </w:tc>
        <w:tc>
          <w:tcPr>
            <w:tcW w:w="0" w:type="auto"/>
            <w:shd w:val="clear" w:color="auto" w:fill="auto"/>
          </w:tcPr>
          <w:p w14:paraId="1D026D91" w14:textId="77777777" w:rsidR="004421F6" w:rsidRDefault="004421F6">
            <w:pPr>
              <w:rPr>
                <w:rFonts w:ascii="宋体"/>
              </w:rPr>
            </w:pPr>
          </w:p>
        </w:tc>
        <w:tc>
          <w:tcPr>
            <w:tcW w:w="0" w:type="auto"/>
            <w:shd w:val="clear" w:color="auto" w:fill="auto"/>
          </w:tcPr>
          <w:p w14:paraId="1D026D92" w14:textId="77777777" w:rsidR="004421F6" w:rsidRDefault="004421F6">
            <w:pPr>
              <w:rPr>
                <w:rFonts w:ascii="宋体"/>
              </w:rPr>
            </w:pPr>
          </w:p>
        </w:tc>
        <w:tc>
          <w:tcPr>
            <w:tcW w:w="0" w:type="auto"/>
            <w:shd w:val="clear" w:color="auto" w:fill="auto"/>
          </w:tcPr>
          <w:p w14:paraId="1D026D93" w14:textId="77777777" w:rsidR="004421F6" w:rsidRDefault="004421F6">
            <w:pPr>
              <w:rPr>
                <w:rFonts w:ascii="宋体"/>
              </w:rPr>
            </w:pPr>
          </w:p>
        </w:tc>
        <w:tc>
          <w:tcPr>
            <w:tcW w:w="0" w:type="auto"/>
            <w:shd w:val="clear" w:color="auto" w:fill="auto"/>
          </w:tcPr>
          <w:p w14:paraId="1D026D94" w14:textId="77777777" w:rsidR="004421F6" w:rsidRDefault="004421F6">
            <w:pPr>
              <w:rPr>
                <w:rFonts w:ascii="宋体"/>
              </w:rPr>
            </w:pPr>
          </w:p>
        </w:tc>
      </w:tr>
      <w:tr w:rsidR="004421F6" w14:paraId="1D026DA8"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D96" w14:textId="77777777" w:rsidR="004421F6" w:rsidRDefault="00F15622">
            <w:pPr>
              <w:textAlignment w:val="bottom"/>
            </w:pPr>
            <w:r>
              <w:rPr>
                <w:rFonts w:ascii="Arial" w:eastAsia="宋体" w:hAnsi="Arial" w:cs="Arial"/>
                <w:color w:val="000000"/>
                <w:sz w:val="17"/>
                <w:szCs w:val="17"/>
              </w:rPr>
              <w:t>Sales through NIKE Direct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D97" w14:textId="77777777" w:rsidR="004421F6" w:rsidRDefault="00F15622">
            <w:pPr>
              <w:jc w:val="right"/>
              <w:textAlignment w:val="bottom"/>
            </w:pPr>
            <w:r>
              <w:rPr>
                <w:rFonts w:ascii="Arial" w:eastAsia="宋体" w:hAnsi="Arial" w:cs="Arial"/>
                <w:color w:val="000000"/>
                <w:sz w:val="17"/>
                <w:szCs w:val="17"/>
              </w:rPr>
              <w:t>937 </w:t>
            </w:r>
          </w:p>
        </w:tc>
        <w:tc>
          <w:tcPr>
            <w:tcW w:w="0" w:type="auto"/>
            <w:tcBorders>
              <w:top w:val="single" w:sz="8" w:space="0" w:color="808080"/>
            </w:tcBorders>
            <w:shd w:val="clear" w:color="auto" w:fill="FFF1E7"/>
            <w:tcMar>
              <w:top w:w="40" w:type="dxa"/>
              <w:bottom w:w="40" w:type="dxa"/>
              <w:right w:w="20" w:type="dxa"/>
            </w:tcMar>
            <w:vAlign w:val="bottom"/>
          </w:tcPr>
          <w:p w14:paraId="1D026D98"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D99" w14:textId="77777777" w:rsidR="004421F6" w:rsidRDefault="00F15622">
            <w:pPr>
              <w:jc w:val="right"/>
              <w:textAlignment w:val="bottom"/>
            </w:pPr>
            <w:r>
              <w:rPr>
                <w:rFonts w:ascii="Arial" w:eastAsia="宋体" w:hAnsi="Arial" w:cs="Arial"/>
                <w:color w:val="000000"/>
                <w:sz w:val="17"/>
                <w:szCs w:val="17"/>
              </w:rPr>
              <w:t>731 </w:t>
            </w:r>
          </w:p>
        </w:tc>
        <w:tc>
          <w:tcPr>
            <w:tcW w:w="0" w:type="auto"/>
            <w:tcBorders>
              <w:top w:val="single" w:sz="8" w:space="0" w:color="808080"/>
            </w:tcBorders>
            <w:shd w:val="clear" w:color="auto" w:fill="auto"/>
            <w:tcMar>
              <w:top w:w="40" w:type="dxa"/>
              <w:bottom w:w="40" w:type="dxa"/>
              <w:right w:w="20" w:type="dxa"/>
            </w:tcMar>
            <w:vAlign w:val="bottom"/>
          </w:tcPr>
          <w:p w14:paraId="1D026D9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D9B" w14:textId="77777777" w:rsidR="004421F6" w:rsidRDefault="00F15622">
            <w:pPr>
              <w:jc w:val="right"/>
              <w:textAlignment w:val="bottom"/>
            </w:pPr>
            <w:r>
              <w:rPr>
                <w:rFonts w:ascii="Arial" w:eastAsia="宋体" w:hAnsi="Arial" w:cs="Arial"/>
                <w:color w:val="000000"/>
                <w:sz w:val="17"/>
                <w:szCs w:val="17"/>
              </w:rPr>
              <w:t>28 </w:t>
            </w:r>
          </w:p>
        </w:tc>
        <w:tc>
          <w:tcPr>
            <w:tcW w:w="0" w:type="auto"/>
            <w:tcBorders>
              <w:top w:val="single" w:sz="8" w:space="0" w:color="808080"/>
            </w:tcBorders>
            <w:shd w:val="clear" w:color="auto" w:fill="auto"/>
            <w:tcMar>
              <w:top w:w="40" w:type="dxa"/>
              <w:bottom w:w="40" w:type="dxa"/>
              <w:right w:w="20" w:type="dxa"/>
            </w:tcMar>
            <w:vAlign w:val="bottom"/>
          </w:tcPr>
          <w:p w14:paraId="1D026D9C"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D9D" w14:textId="77777777" w:rsidR="004421F6" w:rsidRDefault="00F15622">
            <w:pPr>
              <w:jc w:val="right"/>
              <w:textAlignment w:val="bottom"/>
            </w:pPr>
            <w:r>
              <w:rPr>
                <w:rFonts w:ascii="Arial" w:eastAsia="宋体" w:hAnsi="Arial" w:cs="Arial"/>
                <w:color w:val="000000"/>
                <w:sz w:val="17"/>
                <w:szCs w:val="17"/>
              </w:rPr>
              <w:t>27 </w:t>
            </w:r>
          </w:p>
        </w:tc>
        <w:tc>
          <w:tcPr>
            <w:tcW w:w="0" w:type="auto"/>
            <w:tcBorders>
              <w:top w:val="single" w:sz="8" w:space="0" w:color="808080"/>
            </w:tcBorders>
            <w:shd w:val="clear" w:color="auto" w:fill="auto"/>
            <w:tcMar>
              <w:top w:w="40" w:type="dxa"/>
              <w:bottom w:w="40" w:type="dxa"/>
              <w:right w:w="20" w:type="dxa"/>
            </w:tcMar>
            <w:vAlign w:val="bottom"/>
          </w:tcPr>
          <w:p w14:paraId="1D026D9E"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D9F" w14:textId="77777777" w:rsidR="004421F6" w:rsidRDefault="004421F6">
            <w:pPr>
              <w:rPr>
                <w:rFonts w:ascii="宋体"/>
              </w:rPr>
            </w:pPr>
          </w:p>
        </w:tc>
        <w:tc>
          <w:tcPr>
            <w:tcW w:w="0" w:type="auto"/>
            <w:shd w:val="clear" w:color="auto" w:fill="auto"/>
          </w:tcPr>
          <w:p w14:paraId="1D026DA0" w14:textId="77777777" w:rsidR="004421F6" w:rsidRDefault="004421F6">
            <w:pPr>
              <w:rPr>
                <w:rFonts w:ascii="宋体"/>
              </w:rPr>
            </w:pPr>
          </w:p>
        </w:tc>
        <w:tc>
          <w:tcPr>
            <w:tcW w:w="0" w:type="auto"/>
            <w:shd w:val="clear" w:color="auto" w:fill="auto"/>
          </w:tcPr>
          <w:p w14:paraId="1D026DA1" w14:textId="77777777" w:rsidR="004421F6" w:rsidRDefault="004421F6">
            <w:pPr>
              <w:rPr>
                <w:rFonts w:ascii="宋体"/>
              </w:rPr>
            </w:pPr>
          </w:p>
        </w:tc>
        <w:tc>
          <w:tcPr>
            <w:tcW w:w="0" w:type="auto"/>
            <w:shd w:val="clear" w:color="auto" w:fill="auto"/>
          </w:tcPr>
          <w:p w14:paraId="1D026DA2" w14:textId="77777777" w:rsidR="004421F6" w:rsidRDefault="004421F6">
            <w:pPr>
              <w:rPr>
                <w:rFonts w:ascii="宋体"/>
              </w:rPr>
            </w:pPr>
          </w:p>
        </w:tc>
        <w:tc>
          <w:tcPr>
            <w:tcW w:w="0" w:type="auto"/>
            <w:shd w:val="clear" w:color="auto" w:fill="auto"/>
          </w:tcPr>
          <w:p w14:paraId="1D026DA3" w14:textId="77777777" w:rsidR="004421F6" w:rsidRDefault="004421F6">
            <w:pPr>
              <w:rPr>
                <w:rFonts w:ascii="宋体"/>
              </w:rPr>
            </w:pPr>
          </w:p>
        </w:tc>
        <w:tc>
          <w:tcPr>
            <w:tcW w:w="0" w:type="auto"/>
            <w:shd w:val="clear" w:color="auto" w:fill="auto"/>
          </w:tcPr>
          <w:p w14:paraId="1D026DA4" w14:textId="77777777" w:rsidR="004421F6" w:rsidRDefault="004421F6">
            <w:pPr>
              <w:rPr>
                <w:rFonts w:ascii="宋体"/>
              </w:rPr>
            </w:pPr>
          </w:p>
        </w:tc>
        <w:tc>
          <w:tcPr>
            <w:tcW w:w="0" w:type="auto"/>
            <w:shd w:val="clear" w:color="auto" w:fill="auto"/>
          </w:tcPr>
          <w:p w14:paraId="1D026DA5" w14:textId="77777777" w:rsidR="004421F6" w:rsidRDefault="004421F6">
            <w:pPr>
              <w:rPr>
                <w:rFonts w:ascii="宋体"/>
              </w:rPr>
            </w:pPr>
          </w:p>
        </w:tc>
        <w:tc>
          <w:tcPr>
            <w:tcW w:w="0" w:type="auto"/>
            <w:shd w:val="clear" w:color="auto" w:fill="auto"/>
          </w:tcPr>
          <w:p w14:paraId="1D026DA6" w14:textId="77777777" w:rsidR="004421F6" w:rsidRDefault="004421F6">
            <w:pPr>
              <w:rPr>
                <w:rFonts w:ascii="宋体"/>
              </w:rPr>
            </w:pPr>
          </w:p>
        </w:tc>
        <w:tc>
          <w:tcPr>
            <w:tcW w:w="0" w:type="auto"/>
            <w:shd w:val="clear" w:color="auto" w:fill="auto"/>
          </w:tcPr>
          <w:p w14:paraId="1D026DA7" w14:textId="77777777" w:rsidR="004421F6" w:rsidRDefault="004421F6">
            <w:pPr>
              <w:rPr>
                <w:rFonts w:ascii="宋体"/>
              </w:rPr>
            </w:pPr>
          </w:p>
        </w:tc>
      </w:tr>
      <w:tr w:rsidR="004421F6" w14:paraId="1D026DB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DA9" w14:textId="77777777" w:rsidR="004421F6" w:rsidRDefault="00F1562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tcMar>
            <w:vAlign w:val="bottom"/>
          </w:tcPr>
          <w:p w14:paraId="1D026DAA"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DAB" w14:textId="77777777" w:rsidR="004421F6" w:rsidRDefault="00F15622">
            <w:pPr>
              <w:jc w:val="right"/>
              <w:textAlignment w:val="bottom"/>
            </w:pPr>
            <w:r>
              <w:rPr>
                <w:rFonts w:ascii="Arial" w:eastAsia="宋体" w:hAnsi="Arial" w:cs="Arial"/>
                <w:b/>
                <w:bCs/>
                <w:color w:val="000000"/>
                <w:sz w:val="17"/>
                <w:szCs w:val="17"/>
              </w:rPr>
              <w:t>2,910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DAC"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DAD"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DAE" w14:textId="77777777" w:rsidR="004421F6" w:rsidRDefault="00F15622">
            <w:pPr>
              <w:jc w:val="right"/>
              <w:textAlignment w:val="bottom"/>
            </w:pPr>
            <w:r>
              <w:rPr>
                <w:rFonts w:ascii="Arial" w:eastAsia="宋体" w:hAnsi="Arial" w:cs="Arial"/>
                <w:b/>
                <w:bCs/>
                <w:color w:val="000000"/>
                <w:sz w:val="17"/>
                <w:szCs w:val="17"/>
              </w:rPr>
              <w:t>2,773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DAF"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DB0" w14:textId="77777777" w:rsidR="004421F6" w:rsidRDefault="00F15622">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DB1"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DB2" w14:textId="77777777" w:rsidR="004421F6" w:rsidRDefault="00F15622">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DB3"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6DB4" w14:textId="77777777" w:rsidR="004421F6" w:rsidRDefault="004421F6">
            <w:pPr>
              <w:rPr>
                <w:rFonts w:ascii="宋体"/>
              </w:rPr>
            </w:pPr>
          </w:p>
        </w:tc>
        <w:tc>
          <w:tcPr>
            <w:tcW w:w="0" w:type="auto"/>
            <w:shd w:val="clear" w:color="auto" w:fill="auto"/>
          </w:tcPr>
          <w:p w14:paraId="1D026DB5" w14:textId="77777777" w:rsidR="004421F6" w:rsidRDefault="004421F6">
            <w:pPr>
              <w:rPr>
                <w:rFonts w:ascii="宋体"/>
              </w:rPr>
            </w:pPr>
          </w:p>
        </w:tc>
        <w:tc>
          <w:tcPr>
            <w:tcW w:w="0" w:type="auto"/>
            <w:shd w:val="clear" w:color="auto" w:fill="auto"/>
          </w:tcPr>
          <w:p w14:paraId="1D026DB6" w14:textId="77777777" w:rsidR="004421F6" w:rsidRDefault="004421F6">
            <w:pPr>
              <w:rPr>
                <w:rFonts w:ascii="宋体"/>
              </w:rPr>
            </w:pPr>
          </w:p>
        </w:tc>
        <w:tc>
          <w:tcPr>
            <w:tcW w:w="0" w:type="auto"/>
            <w:shd w:val="clear" w:color="auto" w:fill="auto"/>
          </w:tcPr>
          <w:p w14:paraId="1D026DB7" w14:textId="77777777" w:rsidR="004421F6" w:rsidRDefault="004421F6">
            <w:pPr>
              <w:rPr>
                <w:rFonts w:ascii="宋体"/>
              </w:rPr>
            </w:pPr>
          </w:p>
        </w:tc>
        <w:tc>
          <w:tcPr>
            <w:tcW w:w="0" w:type="auto"/>
            <w:shd w:val="clear" w:color="auto" w:fill="auto"/>
          </w:tcPr>
          <w:p w14:paraId="1D026DB8" w14:textId="77777777" w:rsidR="004421F6" w:rsidRDefault="004421F6">
            <w:pPr>
              <w:rPr>
                <w:rFonts w:ascii="宋体"/>
              </w:rPr>
            </w:pPr>
          </w:p>
        </w:tc>
        <w:tc>
          <w:tcPr>
            <w:tcW w:w="0" w:type="auto"/>
            <w:shd w:val="clear" w:color="auto" w:fill="auto"/>
          </w:tcPr>
          <w:p w14:paraId="1D026DB9" w14:textId="77777777" w:rsidR="004421F6" w:rsidRDefault="004421F6">
            <w:pPr>
              <w:rPr>
                <w:rFonts w:ascii="宋体"/>
              </w:rPr>
            </w:pPr>
          </w:p>
        </w:tc>
        <w:tc>
          <w:tcPr>
            <w:tcW w:w="0" w:type="auto"/>
            <w:shd w:val="clear" w:color="auto" w:fill="auto"/>
          </w:tcPr>
          <w:p w14:paraId="1D026DBA" w14:textId="77777777" w:rsidR="004421F6" w:rsidRDefault="004421F6">
            <w:pPr>
              <w:rPr>
                <w:rFonts w:ascii="宋体"/>
              </w:rPr>
            </w:pPr>
          </w:p>
        </w:tc>
        <w:tc>
          <w:tcPr>
            <w:tcW w:w="0" w:type="auto"/>
            <w:shd w:val="clear" w:color="auto" w:fill="auto"/>
          </w:tcPr>
          <w:p w14:paraId="1D026DBB" w14:textId="77777777" w:rsidR="004421F6" w:rsidRDefault="004421F6">
            <w:pPr>
              <w:rPr>
                <w:rFonts w:ascii="宋体"/>
              </w:rPr>
            </w:pPr>
          </w:p>
        </w:tc>
        <w:tc>
          <w:tcPr>
            <w:tcW w:w="0" w:type="auto"/>
            <w:shd w:val="clear" w:color="auto" w:fill="auto"/>
          </w:tcPr>
          <w:p w14:paraId="1D026DBC" w14:textId="77777777" w:rsidR="004421F6" w:rsidRDefault="004421F6">
            <w:pPr>
              <w:rPr>
                <w:rFonts w:ascii="宋体"/>
              </w:rPr>
            </w:pPr>
          </w:p>
        </w:tc>
      </w:tr>
      <w:tr w:rsidR="004421F6" w14:paraId="1D026DD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6DBE" w14:textId="77777777" w:rsidR="004421F6" w:rsidRDefault="00F15622">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DBF"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DC0" w14:textId="77777777" w:rsidR="004421F6" w:rsidRDefault="00F15622">
            <w:pPr>
              <w:jc w:val="right"/>
              <w:textAlignment w:val="bottom"/>
            </w:pPr>
            <w:r>
              <w:rPr>
                <w:rFonts w:ascii="Arial" w:eastAsia="宋体" w:hAnsi="Arial" w:cs="Arial"/>
                <w:b/>
                <w:bCs/>
                <w:color w:val="000000"/>
                <w:sz w:val="17"/>
                <w:szCs w:val="17"/>
              </w:rPr>
              <w:t>692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DC1"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DC2"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DC3" w14:textId="77777777" w:rsidR="004421F6" w:rsidRDefault="00F15622">
            <w:pPr>
              <w:jc w:val="right"/>
              <w:textAlignment w:val="bottom"/>
            </w:pPr>
            <w:r>
              <w:rPr>
                <w:rFonts w:ascii="Arial" w:eastAsia="宋体" w:hAnsi="Arial" w:cs="Arial"/>
                <w:b/>
                <w:bCs/>
                <w:color w:val="000000"/>
                <w:sz w:val="17"/>
                <w:szCs w:val="17"/>
              </w:rPr>
              <w:t>609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DC4" w14:textId="77777777" w:rsidR="004421F6" w:rsidRDefault="004421F6">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D026DC5" w14:textId="77777777" w:rsidR="004421F6" w:rsidRDefault="00F15622">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DC6"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6DC7" w14:textId="77777777" w:rsidR="004421F6" w:rsidRDefault="004421F6">
            <w:pPr>
              <w:rPr>
                <w:rFonts w:ascii="宋体"/>
              </w:rPr>
            </w:pPr>
          </w:p>
        </w:tc>
        <w:tc>
          <w:tcPr>
            <w:tcW w:w="0" w:type="auto"/>
            <w:shd w:val="clear" w:color="auto" w:fill="auto"/>
          </w:tcPr>
          <w:p w14:paraId="1D026DC8" w14:textId="77777777" w:rsidR="004421F6" w:rsidRDefault="004421F6">
            <w:pPr>
              <w:rPr>
                <w:rFonts w:ascii="宋体"/>
              </w:rPr>
            </w:pPr>
          </w:p>
        </w:tc>
        <w:tc>
          <w:tcPr>
            <w:tcW w:w="0" w:type="auto"/>
            <w:shd w:val="clear" w:color="auto" w:fill="auto"/>
          </w:tcPr>
          <w:p w14:paraId="1D026DC9" w14:textId="77777777" w:rsidR="004421F6" w:rsidRDefault="004421F6">
            <w:pPr>
              <w:rPr>
                <w:rFonts w:ascii="宋体"/>
              </w:rPr>
            </w:pPr>
          </w:p>
        </w:tc>
        <w:tc>
          <w:tcPr>
            <w:tcW w:w="0" w:type="auto"/>
            <w:shd w:val="clear" w:color="auto" w:fill="auto"/>
          </w:tcPr>
          <w:p w14:paraId="1D026DCA" w14:textId="77777777" w:rsidR="004421F6" w:rsidRDefault="004421F6">
            <w:pPr>
              <w:rPr>
                <w:rFonts w:ascii="宋体"/>
              </w:rPr>
            </w:pPr>
          </w:p>
        </w:tc>
        <w:tc>
          <w:tcPr>
            <w:tcW w:w="0" w:type="auto"/>
            <w:shd w:val="clear" w:color="auto" w:fill="auto"/>
          </w:tcPr>
          <w:p w14:paraId="1D026DCB" w14:textId="77777777" w:rsidR="004421F6" w:rsidRDefault="004421F6">
            <w:pPr>
              <w:rPr>
                <w:rFonts w:ascii="宋体"/>
              </w:rPr>
            </w:pPr>
          </w:p>
        </w:tc>
        <w:tc>
          <w:tcPr>
            <w:tcW w:w="0" w:type="auto"/>
            <w:shd w:val="clear" w:color="auto" w:fill="auto"/>
          </w:tcPr>
          <w:p w14:paraId="1D026DCC" w14:textId="77777777" w:rsidR="004421F6" w:rsidRDefault="004421F6">
            <w:pPr>
              <w:rPr>
                <w:rFonts w:ascii="宋体"/>
              </w:rPr>
            </w:pPr>
          </w:p>
        </w:tc>
        <w:tc>
          <w:tcPr>
            <w:tcW w:w="0" w:type="auto"/>
            <w:shd w:val="clear" w:color="auto" w:fill="auto"/>
          </w:tcPr>
          <w:p w14:paraId="1D026DCD" w14:textId="77777777" w:rsidR="004421F6" w:rsidRDefault="004421F6">
            <w:pPr>
              <w:rPr>
                <w:rFonts w:ascii="宋体"/>
              </w:rPr>
            </w:pPr>
          </w:p>
        </w:tc>
        <w:tc>
          <w:tcPr>
            <w:tcW w:w="0" w:type="auto"/>
            <w:shd w:val="clear" w:color="auto" w:fill="auto"/>
          </w:tcPr>
          <w:p w14:paraId="1D026DCE" w14:textId="77777777" w:rsidR="004421F6" w:rsidRDefault="004421F6">
            <w:pPr>
              <w:rPr>
                <w:rFonts w:ascii="宋体"/>
              </w:rPr>
            </w:pPr>
          </w:p>
        </w:tc>
        <w:tc>
          <w:tcPr>
            <w:tcW w:w="0" w:type="auto"/>
            <w:shd w:val="clear" w:color="auto" w:fill="auto"/>
          </w:tcPr>
          <w:p w14:paraId="1D026DCF" w14:textId="77777777" w:rsidR="004421F6" w:rsidRDefault="004421F6">
            <w:pPr>
              <w:rPr>
                <w:rFonts w:ascii="宋体"/>
              </w:rPr>
            </w:pPr>
          </w:p>
        </w:tc>
        <w:tc>
          <w:tcPr>
            <w:tcW w:w="0" w:type="auto"/>
            <w:shd w:val="clear" w:color="auto" w:fill="auto"/>
          </w:tcPr>
          <w:p w14:paraId="1D026DD0" w14:textId="77777777" w:rsidR="004421F6" w:rsidRDefault="004421F6">
            <w:pPr>
              <w:rPr>
                <w:rFonts w:ascii="宋体"/>
              </w:rPr>
            </w:pPr>
          </w:p>
        </w:tc>
      </w:tr>
    </w:tbl>
    <w:p w14:paraId="1D026DD2" w14:textId="77777777" w:rsidR="004421F6" w:rsidRDefault="00F15622">
      <w:pPr>
        <w:spacing w:before="120"/>
      </w:pPr>
      <w:r>
        <w:rPr>
          <w:rFonts w:ascii="sans-serif" w:eastAsia="sans-serif" w:hAnsi="sans-serif" w:cs="sans-serif"/>
          <w:b/>
          <w:bCs/>
          <w:color w:val="808080"/>
          <w:sz w:val="22"/>
          <w:szCs w:val="22"/>
        </w:rPr>
        <w:t>FIRST QUARTER OF FISCAL 2021 COMPARED TO FIRST QUARTER OF FISCAL 2020</w:t>
      </w:r>
    </w:p>
    <w:p w14:paraId="1D026DD3" w14:textId="77777777" w:rsidR="004421F6" w:rsidRDefault="00F15622">
      <w:pPr>
        <w:spacing w:after="120"/>
      </w:pPr>
      <w:r>
        <w:rPr>
          <w:rFonts w:ascii="Arial" w:eastAsia="宋体" w:hAnsi="Arial" w:cs="Arial"/>
          <w:color w:val="000000"/>
          <w:sz w:val="17"/>
          <w:szCs w:val="17"/>
        </w:rPr>
        <w:t xml:space="preserve">On a currency-neutral basis, EMEA revenues for the first quarter of fiscal 2021 grew 5%, driven by higher revenues across most territories, led by UK &amp; Ireland, which grew 30%, </w:t>
      </w:r>
      <w:r>
        <w:rPr>
          <w:rFonts w:ascii="Arial" w:eastAsia="宋体" w:hAnsi="Arial" w:cs="Arial"/>
          <w:color w:val="000000"/>
          <w:sz w:val="17"/>
          <w:szCs w:val="17"/>
        </w:rPr>
        <w:t>partially offset by lower revenues in Eastern Europe, which declined 23%. Revenues increased in all key categories, led by the Jordan Brand and Sportswear. NIKE Direct revenues increased 27% driven by strong digital commerce sales growth of 116%, partially</w:t>
      </w:r>
      <w:r>
        <w:rPr>
          <w:rFonts w:ascii="Arial" w:eastAsia="宋体" w:hAnsi="Arial" w:cs="Arial"/>
          <w:color w:val="000000"/>
          <w:sz w:val="17"/>
          <w:szCs w:val="17"/>
        </w:rPr>
        <w:t xml:space="preserve"> offset by comparable store sales contraction of 11% primarily </w:t>
      </w:r>
      <w:r>
        <w:rPr>
          <w:rFonts w:ascii="Arial" w:eastAsia="宋体" w:hAnsi="Arial" w:cs="Arial"/>
          <w:color w:val="212529"/>
          <w:sz w:val="17"/>
          <w:szCs w:val="17"/>
        </w:rPr>
        <w:t>due to reduced physical retail traffic, in part resulting from safety-related measures in response to COVID-19</w:t>
      </w:r>
      <w:r>
        <w:rPr>
          <w:rFonts w:ascii="Arial" w:eastAsia="宋体" w:hAnsi="Arial" w:cs="Arial"/>
          <w:color w:val="000000"/>
          <w:sz w:val="17"/>
          <w:szCs w:val="17"/>
        </w:rPr>
        <w:t>.</w:t>
      </w:r>
    </w:p>
    <w:p w14:paraId="1D026DD4" w14:textId="77777777" w:rsidR="004421F6" w:rsidRDefault="00F15622">
      <w:pPr>
        <w:spacing w:before="120" w:after="120"/>
      </w:pPr>
      <w:r>
        <w:rPr>
          <w:rFonts w:ascii="Arial" w:eastAsia="宋体" w:hAnsi="Arial" w:cs="Arial"/>
          <w:color w:val="000000"/>
          <w:sz w:val="17"/>
          <w:szCs w:val="17"/>
        </w:rPr>
        <w:t>Currency-neutral footwear revenues grew 2%, driven by higher revenues in most key</w:t>
      </w:r>
      <w:r>
        <w:rPr>
          <w:rFonts w:ascii="Arial" w:eastAsia="宋体" w:hAnsi="Arial" w:cs="Arial"/>
          <w:color w:val="000000"/>
          <w:sz w:val="17"/>
          <w:szCs w:val="17"/>
        </w:rPr>
        <w:t xml:space="preserve"> categories, led by the Jordan Brand and Sportswear, partially offset by declines in Football (Soccer). Unit sales of footwear decreased 6% while higher ASP per pair contributed approximately 8 percentage points of footwear revenue growth. Higher ASP per p</w:t>
      </w:r>
      <w:r>
        <w:rPr>
          <w:rFonts w:ascii="Arial" w:eastAsia="宋体" w:hAnsi="Arial" w:cs="Arial"/>
          <w:color w:val="000000"/>
          <w:sz w:val="17"/>
          <w:szCs w:val="17"/>
        </w:rPr>
        <w:t>air primarily resulted from higher full-price and off-price ASPs, as well as the favorable impact of growth in our NIKE Direct business.</w:t>
      </w:r>
    </w:p>
    <w:p w14:paraId="1D026DD5" w14:textId="77777777" w:rsidR="004421F6" w:rsidRDefault="00F15622">
      <w:pPr>
        <w:spacing w:before="120" w:after="120"/>
      </w:pPr>
      <w:r>
        <w:rPr>
          <w:rFonts w:ascii="Arial" w:eastAsia="宋体" w:hAnsi="Arial" w:cs="Arial"/>
          <w:color w:val="000000"/>
          <w:sz w:val="17"/>
          <w:szCs w:val="17"/>
        </w:rPr>
        <w:t>Currency-neutral apparel revenues increased 11% due to growth in all key categories, led by Football (Soccer) and Sport</w:t>
      </w:r>
      <w:r>
        <w:rPr>
          <w:rFonts w:ascii="Arial" w:eastAsia="宋体" w:hAnsi="Arial" w:cs="Arial"/>
          <w:color w:val="000000"/>
          <w:sz w:val="17"/>
          <w:szCs w:val="17"/>
        </w:rPr>
        <w:t>swear. Unit sales of apparel increased 9% and higher ASP per unit contributed approximately 2 percentage points of apparel revenue growth. Higher ASP per unit was primarily due to higher full-price ASP, in part reflecting lower discounts, and the favorable</w:t>
      </w:r>
      <w:r>
        <w:rPr>
          <w:rFonts w:ascii="Arial" w:eastAsia="宋体" w:hAnsi="Arial" w:cs="Arial"/>
          <w:color w:val="000000"/>
          <w:sz w:val="17"/>
          <w:szCs w:val="17"/>
        </w:rPr>
        <w:t xml:space="preserve"> impact of growth in our NIKE Direct business.</w:t>
      </w:r>
    </w:p>
    <w:p w14:paraId="1D026DD6" w14:textId="77777777" w:rsidR="004421F6" w:rsidRDefault="00F15622">
      <w:r>
        <w:rPr>
          <w:rFonts w:ascii="Arial" w:eastAsia="宋体" w:hAnsi="Arial" w:cs="Arial"/>
          <w:color w:val="000000"/>
          <w:sz w:val="17"/>
          <w:szCs w:val="17"/>
        </w:rPr>
        <w:t>Reported EBIT increased 14% as higher revenues and lower selling and administrative expense more than offset a decline in gross margin. Gross margin decreased approximately 360 basis points primarily due to lo</w:t>
      </w:r>
      <w:r>
        <w:rPr>
          <w:rFonts w:ascii="Arial" w:eastAsia="宋体" w:hAnsi="Arial" w:cs="Arial"/>
          <w:color w:val="000000"/>
          <w:sz w:val="17"/>
          <w:szCs w:val="17"/>
        </w:rPr>
        <w:t>wer margin in our NIKE Direct business driven by higher promotions to reduce excess inventory, unfavorable changes in standard foreign currency exchange rates and unfavorable full-price mix, partially offset by higher full-price ASP and off-price margin. S</w:t>
      </w:r>
      <w:r>
        <w:rPr>
          <w:rFonts w:ascii="Arial" w:eastAsia="宋体" w:hAnsi="Arial" w:cs="Arial"/>
          <w:color w:val="000000"/>
          <w:sz w:val="17"/>
          <w:szCs w:val="17"/>
        </w:rPr>
        <w:t>elling and administrative expense decreased due to lower demand creation and operating overhead expense. Lower demand creation expense was driven by lower sports marketing expense, as well as lower advertising and marketing costs. The decrease in operating</w:t>
      </w:r>
      <w:r>
        <w:rPr>
          <w:rFonts w:ascii="Arial" w:eastAsia="宋体" w:hAnsi="Arial" w:cs="Arial"/>
          <w:color w:val="000000"/>
          <w:sz w:val="17"/>
          <w:szCs w:val="17"/>
        </w:rPr>
        <w:t xml:space="preserve"> overhead expense was primarily due to lower travel and related expenses.</w:t>
      </w:r>
    </w:p>
    <w:p w14:paraId="1D026DD7" w14:textId="77777777" w:rsidR="004421F6" w:rsidRDefault="00F15622">
      <w:pPr>
        <w:spacing w:before="120" w:after="120"/>
        <w:jc w:val="right"/>
      </w:pPr>
      <w:r>
        <w:rPr>
          <w:rFonts w:ascii="Arial" w:eastAsia="宋体" w:hAnsi="Arial" w:cs="Arial"/>
          <w:color w:val="E87722"/>
          <w:sz w:val="17"/>
          <w:szCs w:val="17"/>
        </w:rPr>
        <w:t>29</w:t>
      </w:r>
    </w:p>
    <w:p w14:paraId="1D026DD8" w14:textId="77777777" w:rsidR="004421F6" w:rsidRDefault="00F15622">
      <w:r>
        <w:pict w14:anchorId="1D027298">
          <v:rect id="_x0000_i1055" style="width:415.3pt;height:1.5pt" o:hralign="center" o:hrstd="t" o:hr="t" fillcolor="#a0a0a0" stroked="f"/>
        </w:pict>
      </w:r>
    </w:p>
    <w:p w14:paraId="1D026DD9" w14:textId="77777777" w:rsidR="004421F6" w:rsidRDefault="004421F6"/>
    <w:p w14:paraId="1D026DDA" w14:textId="77777777" w:rsidR="004421F6" w:rsidRDefault="00F15622">
      <w:hyperlink r:id="rId100" w:anchor="i3e524f2e23844e81ba9d33a05ac3917c_7" w:history="1">
        <w:r>
          <w:rPr>
            <w:rStyle w:val="a5"/>
            <w:rFonts w:ascii="sans-serif" w:eastAsia="sans-serif" w:hAnsi="sans-serif" w:cs="sans-serif"/>
            <w:sz w:val="17"/>
            <w:szCs w:val="17"/>
          </w:rPr>
          <w:t>Table of Contents</w:t>
        </w:r>
      </w:hyperlink>
    </w:p>
    <w:p w14:paraId="1D026DDB" w14:textId="77777777" w:rsidR="004421F6" w:rsidRDefault="004421F6"/>
    <w:p w14:paraId="1D026DDC" w14:textId="77777777" w:rsidR="004421F6" w:rsidRDefault="00F15622">
      <w:pPr>
        <w:spacing w:before="240" w:after="120"/>
      </w:pPr>
      <w:r>
        <w:rPr>
          <w:rFonts w:ascii="sans-serif" w:eastAsia="sans-serif" w:hAnsi="sans-serif" w:cs="sans-serif"/>
          <w:b/>
          <w:bCs/>
          <w:color w:val="000000"/>
          <w:sz w:val="28"/>
          <w:szCs w:val="28"/>
        </w:rPr>
        <w:t>GREATER CHINA</w:t>
      </w:r>
    </w:p>
    <w:tbl>
      <w:tblPr>
        <w:tblW w:w="5000" w:type="pct"/>
        <w:tblCellMar>
          <w:top w:w="15" w:type="dxa"/>
          <w:left w:w="15" w:type="dxa"/>
          <w:bottom w:w="15" w:type="dxa"/>
          <w:right w:w="15" w:type="dxa"/>
        </w:tblCellMar>
        <w:tblLook w:val="04A0" w:firstRow="1" w:lastRow="0" w:firstColumn="1" w:lastColumn="0" w:noHBand="0" w:noVBand="1"/>
      </w:tblPr>
      <w:tblGrid>
        <w:gridCol w:w="37"/>
        <w:gridCol w:w="3820"/>
        <w:gridCol w:w="36"/>
        <w:gridCol w:w="130"/>
        <w:gridCol w:w="845"/>
        <w:gridCol w:w="41"/>
        <w:gridCol w:w="130"/>
        <w:gridCol w:w="845"/>
        <w:gridCol w:w="41"/>
        <w:gridCol w:w="52"/>
        <w:gridCol w:w="804"/>
        <w:gridCol w:w="187"/>
        <w:gridCol w:w="70"/>
        <w:gridCol w:w="787"/>
        <w:gridCol w:w="187"/>
        <w:gridCol w:w="36"/>
        <w:gridCol w:w="36"/>
        <w:gridCol w:w="36"/>
        <w:gridCol w:w="36"/>
        <w:gridCol w:w="36"/>
        <w:gridCol w:w="36"/>
        <w:gridCol w:w="36"/>
        <w:gridCol w:w="36"/>
        <w:gridCol w:w="36"/>
      </w:tblGrid>
      <w:tr w:rsidR="004421F6" w14:paraId="1D026DEC" w14:textId="77777777">
        <w:trPr>
          <w:gridAfter w:val="9"/>
        </w:trPr>
        <w:tc>
          <w:tcPr>
            <w:tcW w:w="50" w:type="pct"/>
            <w:shd w:val="clear" w:color="auto" w:fill="auto"/>
          </w:tcPr>
          <w:p w14:paraId="1D026DDD" w14:textId="77777777" w:rsidR="004421F6" w:rsidRDefault="004421F6">
            <w:pPr>
              <w:rPr>
                <w:rFonts w:ascii="宋体"/>
              </w:rPr>
            </w:pPr>
          </w:p>
        </w:tc>
        <w:tc>
          <w:tcPr>
            <w:tcW w:w="2445" w:type="pct"/>
            <w:shd w:val="clear" w:color="auto" w:fill="auto"/>
          </w:tcPr>
          <w:p w14:paraId="1D026DDE" w14:textId="77777777" w:rsidR="004421F6" w:rsidRDefault="004421F6">
            <w:pPr>
              <w:rPr>
                <w:rFonts w:ascii="宋体"/>
              </w:rPr>
            </w:pPr>
          </w:p>
        </w:tc>
        <w:tc>
          <w:tcPr>
            <w:tcW w:w="5" w:type="pct"/>
            <w:shd w:val="clear" w:color="auto" w:fill="auto"/>
          </w:tcPr>
          <w:p w14:paraId="1D026DDF" w14:textId="77777777" w:rsidR="004421F6" w:rsidRDefault="004421F6">
            <w:pPr>
              <w:rPr>
                <w:rFonts w:ascii="宋体"/>
              </w:rPr>
            </w:pPr>
          </w:p>
        </w:tc>
        <w:tc>
          <w:tcPr>
            <w:tcW w:w="50" w:type="pct"/>
            <w:shd w:val="clear" w:color="auto" w:fill="auto"/>
          </w:tcPr>
          <w:p w14:paraId="1D026DE0" w14:textId="77777777" w:rsidR="004421F6" w:rsidRDefault="004421F6">
            <w:pPr>
              <w:rPr>
                <w:rFonts w:ascii="宋体"/>
              </w:rPr>
            </w:pPr>
          </w:p>
        </w:tc>
        <w:tc>
          <w:tcPr>
            <w:tcW w:w="570" w:type="pct"/>
            <w:shd w:val="clear" w:color="auto" w:fill="auto"/>
          </w:tcPr>
          <w:p w14:paraId="1D026DE1" w14:textId="77777777" w:rsidR="004421F6" w:rsidRDefault="004421F6">
            <w:pPr>
              <w:rPr>
                <w:rFonts w:ascii="宋体"/>
              </w:rPr>
            </w:pPr>
          </w:p>
        </w:tc>
        <w:tc>
          <w:tcPr>
            <w:tcW w:w="5" w:type="pct"/>
            <w:shd w:val="clear" w:color="auto" w:fill="auto"/>
          </w:tcPr>
          <w:p w14:paraId="1D026DE2" w14:textId="77777777" w:rsidR="004421F6" w:rsidRDefault="004421F6">
            <w:pPr>
              <w:rPr>
                <w:rFonts w:ascii="宋体"/>
              </w:rPr>
            </w:pPr>
          </w:p>
        </w:tc>
        <w:tc>
          <w:tcPr>
            <w:tcW w:w="50" w:type="pct"/>
            <w:shd w:val="clear" w:color="auto" w:fill="auto"/>
          </w:tcPr>
          <w:p w14:paraId="1D026DE3" w14:textId="77777777" w:rsidR="004421F6" w:rsidRDefault="004421F6">
            <w:pPr>
              <w:rPr>
                <w:rFonts w:ascii="宋体"/>
              </w:rPr>
            </w:pPr>
          </w:p>
        </w:tc>
        <w:tc>
          <w:tcPr>
            <w:tcW w:w="570" w:type="pct"/>
            <w:shd w:val="clear" w:color="auto" w:fill="auto"/>
          </w:tcPr>
          <w:p w14:paraId="1D026DE4" w14:textId="77777777" w:rsidR="004421F6" w:rsidRDefault="004421F6">
            <w:pPr>
              <w:rPr>
                <w:rFonts w:ascii="宋体"/>
              </w:rPr>
            </w:pPr>
          </w:p>
        </w:tc>
        <w:tc>
          <w:tcPr>
            <w:tcW w:w="5" w:type="pct"/>
            <w:shd w:val="clear" w:color="auto" w:fill="auto"/>
          </w:tcPr>
          <w:p w14:paraId="1D026DE5" w14:textId="77777777" w:rsidR="004421F6" w:rsidRDefault="004421F6">
            <w:pPr>
              <w:rPr>
                <w:rFonts w:ascii="宋体"/>
              </w:rPr>
            </w:pPr>
          </w:p>
        </w:tc>
        <w:tc>
          <w:tcPr>
            <w:tcW w:w="50" w:type="pct"/>
            <w:shd w:val="clear" w:color="auto" w:fill="auto"/>
          </w:tcPr>
          <w:p w14:paraId="1D026DE6" w14:textId="77777777" w:rsidR="004421F6" w:rsidRDefault="004421F6">
            <w:pPr>
              <w:rPr>
                <w:rFonts w:ascii="宋体"/>
              </w:rPr>
            </w:pPr>
          </w:p>
        </w:tc>
        <w:tc>
          <w:tcPr>
            <w:tcW w:w="570" w:type="pct"/>
            <w:shd w:val="clear" w:color="auto" w:fill="auto"/>
          </w:tcPr>
          <w:p w14:paraId="1D026DE7" w14:textId="77777777" w:rsidR="004421F6" w:rsidRDefault="004421F6">
            <w:pPr>
              <w:rPr>
                <w:rFonts w:ascii="宋体"/>
              </w:rPr>
            </w:pPr>
          </w:p>
        </w:tc>
        <w:tc>
          <w:tcPr>
            <w:tcW w:w="5" w:type="pct"/>
            <w:shd w:val="clear" w:color="auto" w:fill="auto"/>
          </w:tcPr>
          <w:p w14:paraId="1D026DE8" w14:textId="77777777" w:rsidR="004421F6" w:rsidRDefault="004421F6">
            <w:pPr>
              <w:rPr>
                <w:rFonts w:ascii="宋体"/>
              </w:rPr>
            </w:pPr>
          </w:p>
        </w:tc>
        <w:tc>
          <w:tcPr>
            <w:tcW w:w="50" w:type="pct"/>
            <w:shd w:val="clear" w:color="auto" w:fill="auto"/>
          </w:tcPr>
          <w:p w14:paraId="1D026DE9" w14:textId="77777777" w:rsidR="004421F6" w:rsidRDefault="004421F6">
            <w:pPr>
              <w:rPr>
                <w:rFonts w:ascii="宋体"/>
              </w:rPr>
            </w:pPr>
          </w:p>
        </w:tc>
        <w:tc>
          <w:tcPr>
            <w:tcW w:w="570" w:type="pct"/>
            <w:shd w:val="clear" w:color="auto" w:fill="auto"/>
          </w:tcPr>
          <w:p w14:paraId="1D026DEA" w14:textId="77777777" w:rsidR="004421F6" w:rsidRDefault="004421F6">
            <w:pPr>
              <w:rPr>
                <w:rFonts w:ascii="宋体"/>
              </w:rPr>
            </w:pPr>
          </w:p>
        </w:tc>
        <w:tc>
          <w:tcPr>
            <w:tcW w:w="5" w:type="pct"/>
            <w:shd w:val="clear" w:color="auto" w:fill="auto"/>
          </w:tcPr>
          <w:p w14:paraId="1D026DEB" w14:textId="77777777" w:rsidR="004421F6" w:rsidRDefault="004421F6">
            <w:pPr>
              <w:rPr>
                <w:rFonts w:ascii="宋体"/>
              </w:rPr>
            </w:pPr>
          </w:p>
        </w:tc>
      </w:tr>
      <w:tr w:rsidR="004421F6" w14:paraId="1D026DF2" w14:textId="77777777">
        <w:tc>
          <w:tcPr>
            <w:tcW w:w="0" w:type="auto"/>
            <w:gridSpan w:val="3"/>
            <w:shd w:val="clear" w:color="auto" w:fill="auto"/>
            <w:tcMar>
              <w:left w:w="20" w:type="dxa"/>
              <w:right w:w="20" w:type="dxa"/>
            </w:tcMar>
            <w:vAlign w:val="bottom"/>
          </w:tcPr>
          <w:p w14:paraId="1D026DED" w14:textId="77777777" w:rsidR="004421F6" w:rsidRDefault="004421F6">
            <w:pPr>
              <w:rPr>
                <w:rFonts w:ascii="宋体"/>
              </w:rPr>
            </w:pPr>
          </w:p>
        </w:tc>
        <w:tc>
          <w:tcPr>
            <w:tcW w:w="0" w:type="auto"/>
            <w:gridSpan w:val="12"/>
            <w:shd w:val="clear" w:color="auto" w:fill="auto"/>
            <w:tcMar>
              <w:top w:w="40" w:type="dxa"/>
              <w:left w:w="20" w:type="dxa"/>
              <w:bottom w:w="40" w:type="dxa"/>
              <w:right w:w="20" w:type="dxa"/>
            </w:tcMar>
            <w:vAlign w:val="bottom"/>
          </w:tcPr>
          <w:p w14:paraId="1D026DEE"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6DEF" w14:textId="77777777" w:rsidR="004421F6" w:rsidRDefault="004421F6">
            <w:pPr>
              <w:rPr>
                <w:rFonts w:ascii="宋体"/>
                <w:vanish/>
              </w:rPr>
            </w:pPr>
          </w:p>
        </w:tc>
        <w:tc>
          <w:tcPr>
            <w:tcW w:w="0" w:type="auto"/>
            <w:gridSpan w:val="3"/>
            <w:shd w:val="clear" w:color="auto" w:fill="auto"/>
          </w:tcPr>
          <w:p w14:paraId="1D026DF0" w14:textId="77777777" w:rsidR="004421F6" w:rsidRDefault="004421F6">
            <w:pPr>
              <w:rPr>
                <w:rFonts w:ascii="宋体"/>
                <w:vanish/>
              </w:rPr>
            </w:pPr>
          </w:p>
        </w:tc>
        <w:tc>
          <w:tcPr>
            <w:tcW w:w="0" w:type="auto"/>
            <w:gridSpan w:val="3"/>
            <w:shd w:val="clear" w:color="auto" w:fill="auto"/>
          </w:tcPr>
          <w:p w14:paraId="1D026DF1" w14:textId="77777777" w:rsidR="004421F6" w:rsidRDefault="004421F6">
            <w:pPr>
              <w:rPr>
                <w:rFonts w:ascii="宋体"/>
                <w:vanish/>
              </w:rPr>
            </w:pPr>
          </w:p>
        </w:tc>
      </w:tr>
      <w:tr w:rsidR="004421F6" w14:paraId="1D026E01" w14:textId="77777777">
        <w:tc>
          <w:tcPr>
            <w:tcW w:w="0" w:type="auto"/>
            <w:gridSpan w:val="3"/>
            <w:shd w:val="clear" w:color="auto" w:fill="auto"/>
            <w:tcMar>
              <w:top w:w="40" w:type="dxa"/>
              <w:left w:w="20" w:type="dxa"/>
              <w:bottom w:w="40" w:type="dxa"/>
              <w:right w:w="20" w:type="dxa"/>
            </w:tcMar>
            <w:vAlign w:val="bottom"/>
          </w:tcPr>
          <w:p w14:paraId="1D026DF3" w14:textId="77777777" w:rsidR="004421F6" w:rsidRDefault="00F15622">
            <w:pPr>
              <w:spacing w:before="120" w:after="120"/>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DF4"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DF5"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DF6" w14:textId="77777777" w:rsidR="004421F6" w:rsidRDefault="00F1562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DF7" w14:textId="77777777" w:rsidR="004421F6" w:rsidRDefault="00F15622">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tcPr>
          <w:p w14:paraId="1D026DF8" w14:textId="77777777" w:rsidR="004421F6" w:rsidRDefault="004421F6">
            <w:pPr>
              <w:rPr>
                <w:rFonts w:ascii="宋体"/>
              </w:rPr>
            </w:pPr>
          </w:p>
        </w:tc>
        <w:tc>
          <w:tcPr>
            <w:tcW w:w="0" w:type="auto"/>
            <w:shd w:val="clear" w:color="auto" w:fill="auto"/>
          </w:tcPr>
          <w:p w14:paraId="1D026DF9" w14:textId="77777777" w:rsidR="004421F6" w:rsidRDefault="004421F6">
            <w:pPr>
              <w:rPr>
                <w:rFonts w:ascii="宋体"/>
              </w:rPr>
            </w:pPr>
          </w:p>
        </w:tc>
        <w:tc>
          <w:tcPr>
            <w:tcW w:w="0" w:type="auto"/>
            <w:shd w:val="clear" w:color="auto" w:fill="auto"/>
          </w:tcPr>
          <w:p w14:paraId="1D026DFA" w14:textId="77777777" w:rsidR="004421F6" w:rsidRDefault="004421F6">
            <w:pPr>
              <w:rPr>
                <w:rFonts w:ascii="宋体"/>
              </w:rPr>
            </w:pPr>
          </w:p>
        </w:tc>
        <w:tc>
          <w:tcPr>
            <w:tcW w:w="0" w:type="auto"/>
            <w:shd w:val="clear" w:color="auto" w:fill="auto"/>
          </w:tcPr>
          <w:p w14:paraId="1D026DFB" w14:textId="77777777" w:rsidR="004421F6" w:rsidRDefault="004421F6">
            <w:pPr>
              <w:rPr>
                <w:rFonts w:ascii="宋体"/>
              </w:rPr>
            </w:pPr>
          </w:p>
        </w:tc>
        <w:tc>
          <w:tcPr>
            <w:tcW w:w="0" w:type="auto"/>
            <w:shd w:val="clear" w:color="auto" w:fill="auto"/>
          </w:tcPr>
          <w:p w14:paraId="1D026DFC" w14:textId="77777777" w:rsidR="004421F6" w:rsidRDefault="004421F6">
            <w:pPr>
              <w:rPr>
                <w:rFonts w:ascii="宋体"/>
              </w:rPr>
            </w:pPr>
          </w:p>
        </w:tc>
        <w:tc>
          <w:tcPr>
            <w:tcW w:w="0" w:type="auto"/>
            <w:shd w:val="clear" w:color="auto" w:fill="auto"/>
          </w:tcPr>
          <w:p w14:paraId="1D026DFD" w14:textId="77777777" w:rsidR="004421F6" w:rsidRDefault="004421F6">
            <w:pPr>
              <w:rPr>
                <w:rFonts w:ascii="宋体"/>
              </w:rPr>
            </w:pPr>
          </w:p>
        </w:tc>
        <w:tc>
          <w:tcPr>
            <w:tcW w:w="0" w:type="auto"/>
            <w:shd w:val="clear" w:color="auto" w:fill="auto"/>
          </w:tcPr>
          <w:p w14:paraId="1D026DFE" w14:textId="77777777" w:rsidR="004421F6" w:rsidRDefault="004421F6">
            <w:pPr>
              <w:rPr>
                <w:rFonts w:ascii="宋体"/>
              </w:rPr>
            </w:pPr>
          </w:p>
        </w:tc>
        <w:tc>
          <w:tcPr>
            <w:tcW w:w="0" w:type="auto"/>
            <w:shd w:val="clear" w:color="auto" w:fill="auto"/>
          </w:tcPr>
          <w:p w14:paraId="1D026DFF" w14:textId="77777777" w:rsidR="004421F6" w:rsidRDefault="004421F6">
            <w:pPr>
              <w:rPr>
                <w:rFonts w:ascii="宋体"/>
              </w:rPr>
            </w:pPr>
          </w:p>
        </w:tc>
        <w:tc>
          <w:tcPr>
            <w:tcW w:w="0" w:type="auto"/>
            <w:shd w:val="clear" w:color="auto" w:fill="auto"/>
          </w:tcPr>
          <w:p w14:paraId="1D026E00" w14:textId="77777777" w:rsidR="004421F6" w:rsidRDefault="004421F6">
            <w:pPr>
              <w:rPr>
                <w:rFonts w:ascii="宋体"/>
              </w:rPr>
            </w:pPr>
          </w:p>
        </w:tc>
      </w:tr>
      <w:tr w:rsidR="004421F6" w14:paraId="1D026E1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E02" w14:textId="77777777" w:rsidR="004421F6" w:rsidRDefault="00F1562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left w:w="20" w:type="dxa"/>
              <w:right w:w="20" w:type="dxa"/>
            </w:tcMar>
            <w:vAlign w:val="bottom"/>
          </w:tcPr>
          <w:p w14:paraId="1D026E03"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E04"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E05"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E06" w14:textId="77777777" w:rsidR="004421F6" w:rsidRDefault="004421F6">
            <w:pPr>
              <w:rPr>
                <w:rFonts w:ascii="宋体"/>
              </w:rPr>
            </w:pPr>
          </w:p>
        </w:tc>
        <w:tc>
          <w:tcPr>
            <w:tcW w:w="0" w:type="auto"/>
            <w:shd w:val="clear" w:color="auto" w:fill="auto"/>
          </w:tcPr>
          <w:p w14:paraId="1D026E07" w14:textId="77777777" w:rsidR="004421F6" w:rsidRDefault="004421F6">
            <w:pPr>
              <w:rPr>
                <w:rFonts w:ascii="宋体"/>
              </w:rPr>
            </w:pPr>
          </w:p>
        </w:tc>
        <w:tc>
          <w:tcPr>
            <w:tcW w:w="0" w:type="auto"/>
            <w:shd w:val="clear" w:color="auto" w:fill="auto"/>
          </w:tcPr>
          <w:p w14:paraId="1D026E08" w14:textId="77777777" w:rsidR="004421F6" w:rsidRDefault="004421F6">
            <w:pPr>
              <w:rPr>
                <w:rFonts w:ascii="宋体"/>
              </w:rPr>
            </w:pPr>
          </w:p>
        </w:tc>
        <w:tc>
          <w:tcPr>
            <w:tcW w:w="0" w:type="auto"/>
            <w:shd w:val="clear" w:color="auto" w:fill="auto"/>
          </w:tcPr>
          <w:p w14:paraId="1D026E09" w14:textId="77777777" w:rsidR="004421F6" w:rsidRDefault="004421F6">
            <w:pPr>
              <w:rPr>
                <w:rFonts w:ascii="宋体"/>
              </w:rPr>
            </w:pPr>
          </w:p>
        </w:tc>
        <w:tc>
          <w:tcPr>
            <w:tcW w:w="0" w:type="auto"/>
            <w:shd w:val="clear" w:color="auto" w:fill="auto"/>
          </w:tcPr>
          <w:p w14:paraId="1D026E0A" w14:textId="77777777" w:rsidR="004421F6" w:rsidRDefault="004421F6">
            <w:pPr>
              <w:rPr>
                <w:rFonts w:ascii="宋体"/>
              </w:rPr>
            </w:pPr>
          </w:p>
        </w:tc>
        <w:tc>
          <w:tcPr>
            <w:tcW w:w="0" w:type="auto"/>
            <w:shd w:val="clear" w:color="auto" w:fill="auto"/>
          </w:tcPr>
          <w:p w14:paraId="1D026E0B" w14:textId="77777777" w:rsidR="004421F6" w:rsidRDefault="004421F6">
            <w:pPr>
              <w:rPr>
                <w:rFonts w:ascii="宋体"/>
              </w:rPr>
            </w:pPr>
          </w:p>
        </w:tc>
        <w:tc>
          <w:tcPr>
            <w:tcW w:w="0" w:type="auto"/>
            <w:shd w:val="clear" w:color="auto" w:fill="auto"/>
          </w:tcPr>
          <w:p w14:paraId="1D026E0C" w14:textId="77777777" w:rsidR="004421F6" w:rsidRDefault="004421F6">
            <w:pPr>
              <w:rPr>
                <w:rFonts w:ascii="宋体"/>
              </w:rPr>
            </w:pPr>
          </w:p>
        </w:tc>
        <w:tc>
          <w:tcPr>
            <w:tcW w:w="0" w:type="auto"/>
            <w:shd w:val="clear" w:color="auto" w:fill="auto"/>
          </w:tcPr>
          <w:p w14:paraId="1D026E0D" w14:textId="77777777" w:rsidR="004421F6" w:rsidRDefault="004421F6">
            <w:pPr>
              <w:rPr>
                <w:rFonts w:ascii="宋体"/>
              </w:rPr>
            </w:pPr>
          </w:p>
        </w:tc>
        <w:tc>
          <w:tcPr>
            <w:tcW w:w="0" w:type="auto"/>
            <w:shd w:val="clear" w:color="auto" w:fill="auto"/>
          </w:tcPr>
          <w:p w14:paraId="1D026E0E" w14:textId="77777777" w:rsidR="004421F6" w:rsidRDefault="004421F6">
            <w:pPr>
              <w:rPr>
                <w:rFonts w:ascii="宋体"/>
              </w:rPr>
            </w:pPr>
          </w:p>
        </w:tc>
        <w:tc>
          <w:tcPr>
            <w:tcW w:w="0" w:type="auto"/>
            <w:shd w:val="clear" w:color="auto" w:fill="auto"/>
          </w:tcPr>
          <w:p w14:paraId="1D026E0F" w14:textId="77777777" w:rsidR="004421F6" w:rsidRDefault="004421F6">
            <w:pPr>
              <w:rPr>
                <w:rFonts w:ascii="宋体"/>
              </w:rPr>
            </w:pPr>
          </w:p>
        </w:tc>
      </w:tr>
      <w:tr w:rsidR="004421F6" w14:paraId="1D026E25"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E11" w14:textId="77777777" w:rsidR="004421F6" w:rsidRDefault="00F1562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tcMar>
            <w:vAlign w:val="bottom"/>
          </w:tcPr>
          <w:p w14:paraId="1D026E12"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E13" w14:textId="77777777" w:rsidR="004421F6" w:rsidRDefault="00F15622">
            <w:pPr>
              <w:jc w:val="right"/>
              <w:textAlignment w:val="bottom"/>
            </w:pPr>
            <w:r>
              <w:rPr>
                <w:rFonts w:ascii="Arial" w:eastAsia="宋体" w:hAnsi="Arial" w:cs="Arial"/>
                <w:color w:val="000000"/>
                <w:sz w:val="17"/>
                <w:szCs w:val="17"/>
              </w:rPr>
              <w:t>1,251 </w:t>
            </w:r>
          </w:p>
        </w:tc>
        <w:tc>
          <w:tcPr>
            <w:tcW w:w="0" w:type="auto"/>
            <w:tcBorders>
              <w:top w:val="single" w:sz="8" w:space="0" w:color="808080"/>
            </w:tcBorders>
            <w:shd w:val="clear" w:color="auto" w:fill="FFF1E7"/>
            <w:tcMar>
              <w:top w:w="40" w:type="dxa"/>
              <w:bottom w:w="40" w:type="dxa"/>
              <w:right w:w="20" w:type="dxa"/>
            </w:tcMar>
            <w:vAlign w:val="bottom"/>
          </w:tcPr>
          <w:p w14:paraId="1D026E14"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E15"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E16" w14:textId="77777777" w:rsidR="004421F6" w:rsidRDefault="00F15622">
            <w:pPr>
              <w:jc w:val="right"/>
              <w:textAlignment w:val="bottom"/>
            </w:pPr>
            <w:r>
              <w:rPr>
                <w:rFonts w:ascii="Arial" w:eastAsia="宋体" w:hAnsi="Arial" w:cs="Arial"/>
                <w:color w:val="000000"/>
                <w:sz w:val="17"/>
                <w:szCs w:val="17"/>
              </w:rPr>
              <w:t>1,164 </w:t>
            </w:r>
          </w:p>
        </w:tc>
        <w:tc>
          <w:tcPr>
            <w:tcW w:w="0" w:type="auto"/>
            <w:tcBorders>
              <w:top w:val="single" w:sz="8" w:space="0" w:color="808080"/>
            </w:tcBorders>
            <w:shd w:val="clear" w:color="auto" w:fill="auto"/>
            <w:tcMar>
              <w:top w:w="40" w:type="dxa"/>
              <w:bottom w:w="40" w:type="dxa"/>
              <w:right w:w="20" w:type="dxa"/>
            </w:tcMar>
            <w:vAlign w:val="bottom"/>
          </w:tcPr>
          <w:p w14:paraId="1D026E17"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E18" w14:textId="77777777" w:rsidR="004421F6" w:rsidRDefault="00F15622">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auto"/>
            <w:tcMar>
              <w:top w:w="40" w:type="dxa"/>
              <w:bottom w:w="40" w:type="dxa"/>
              <w:right w:w="20" w:type="dxa"/>
            </w:tcMar>
            <w:vAlign w:val="bottom"/>
          </w:tcPr>
          <w:p w14:paraId="1D026E19"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E1A" w14:textId="77777777" w:rsidR="004421F6" w:rsidRDefault="00F15622">
            <w:pPr>
              <w:jc w:val="right"/>
              <w:textAlignment w:val="bottom"/>
            </w:pPr>
            <w:r>
              <w:rPr>
                <w:rFonts w:ascii="Arial" w:eastAsia="宋体" w:hAnsi="Arial" w:cs="Arial"/>
                <w:color w:val="000000"/>
                <w:sz w:val="17"/>
                <w:szCs w:val="17"/>
              </w:rPr>
              <w:t>10 </w:t>
            </w:r>
          </w:p>
        </w:tc>
        <w:tc>
          <w:tcPr>
            <w:tcW w:w="0" w:type="auto"/>
            <w:tcBorders>
              <w:top w:val="single" w:sz="8" w:space="0" w:color="808080"/>
            </w:tcBorders>
            <w:shd w:val="clear" w:color="auto" w:fill="auto"/>
            <w:tcMar>
              <w:top w:w="40" w:type="dxa"/>
              <w:bottom w:w="40" w:type="dxa"/>
              <w:right w:w="20" w:type="dxa"/>
            </w:tcMar>
            <w:vAlign w:val="bottom"/>
          </w:tcPr>
          <w:p w14:paraId="1D026E1B"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E1C" w14:textId="77777777" w:rsidR="004421F6" w:rsidRDefault="004421F6">
            <w:pPr>
              <w:rPr>
                <w:rFonts w:ascii="宋体"/>
              </w:rPr>
            </w:pPr>
          </w:p>
        </w:tc>
        <w:tc>
          <w:tcPr>
            <w:tcW w:w="0" w:type="auto"/>
            <w:shd w:val="clear" w:color="auto" w:fill="auto"/>
          </w:tcPr>
          <w:p w14:paraId="1D026E1D" w14:textId="77777777" w:rsidR="004421F6" w:rsidRDefault="004421F6">
            <w:pPr>
              <w:rPr>
                <w:rFonts w:ascii="宋体"/>
              </w:rPr>
            </w:pPr>
          </w:p>
        </w:tc>
        <w:tc>
          <w:tcPr>
            <w:tcW w:w="0" w:type="auto"/>
            <w:shd w:val="clear" w:color="auto" w:fill="auto"/>
          </w:tcPr>
          <w:p w14:paraId="1D026E1E" w14:textId="77777777" w:rsidR="004421F6" w:rsidRDefault="004421F6">
            <w:pPr>
              <w:rPr>
                <w:rFonts w:ascii="宋体"/>
              </w:rPr>
            </w:pPr>
          </w:p>
        </w:tc>
        <w:tc>
          <w:tcPr>
            <w:tcW w:w="0" w:type="auto"/>
            <w:shd w:val="clear" w:color="auto" w:fill="auto"/>
          </w:tcPr>
          <w:p w14:paraId="1D026E1F" w14:textId="77777777" w:rsidR="004421F6" w:rsidRDefault="004421F6">
            <w:pPr>
              <w:rPr>
                <w:rFonts w:ascii="宋体"/>
              </w:rPr>
            </w:pPr>
          </w:p>
        </w:tc>
        <w:tc>
          <w:tcPr>
            <w:tcW w:w="0" w:type="auto"/>
            <w:shd w:val="clear" w:color="auto" w:fill="auto"/>
          </w:tcPr>
          <w:p w14:paraId="1D026E20" w14:textId="77777777" w:rsidR="004421F6" w:rsidRDefault="004421F6">
            <w:pPr>
              <w:rPr>
                <w:rFonts w:ascii="宋体"/>
              </w:rPr>
            </w:pPr>
          </w:p>
        </w:tc>
        <w:tc>
          <w:tcPr>
            <w:tcW w:w="0" w:type="auto"/>
            <w:shd w:val="clear" w:color="auto" w:fill="auto"/>
          </w:tcPr>
          <w:p w14:paraId="1D026E21" w14:textId="77777777" w:rsidR="004421F6" w:rsidRDefault="004421F6">
            <w:pPr>
              <w:rPr>
                <w:rFonts w:ascii="宋体"/>
              </w:rPr>
            </w:pPr>
          </w:p>
        </w:tc>
        <w:tc>
          <w:tcPr>
            <w:tcW w:w="0" w:type="auto"/>
            <w:shd w:val="clear" w:color="auto" w:fill="auto"/>
          </w:tcPr>
          <w:p w14:paraId="1D026E22" w14:textId="77777777" w:rsidR="004421F6" w:rsidRDefault="004421F6">
            <w:pPr>
              <w:rPr>
                <w:rFonts w:ascii="宋体"/>
              </w:rPr>
            </w:pPr>
          </w:p>
        </w:tc>
        <w:tc>
          <w:tcPr>
            <w:tcW w:w="0" w:type="auto"/>
            <w:shd w:val="clear" w:color="auto" w:fill="auto"/>
          </w:tcPr>
          <w:p w14:paraId="1D026E23" w14:textId="77777777" w:rsidR="004421F6" w:rsidRDefault="004421F6">
            <w:pPr>
              <w:rPr>
                <w:rFonts w:ascii="宋体"/>
              </w:rPr>
            </w:pPr>
          </w:p>
        </w:tc>
        <w:tc>
          <w:tcPr>
            <w:tcW w:w="0" w:type="auto"/>
            <w:shd w:val="clear" w:color="auto" w:fill="auto"/>
          </w:tcPr>
          <w:p w14:paraId="1D026E24" w14:textId="77777777" w:rsidR="004421F6" w:rsidRDefault="004421F6">
            <w:pPr>
              <w:rPr>
                <w:rFonts w:ascii="宋体"/>
              </w:rPr>
            </w:pPr>
          </w:p>
        </w:tc>
      </w:tr>
      <w:tr w:rsidR="004421F6" w14:paraId="1D026E38"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E26" w14:textId="77777777" w:rsidR="004421F6" w:rsidRDefault="00F1562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E27" w14:textId="77777777" w:rsidR="004421F6" w:rsidRDefault="00F15622">
            <w:pPr>
              <w:jc w:val="right"/>
              <w:textAlignment w:val="bottom"/>
            </w:pPr>
            <w:r>
              <w:rPr>
                <w:rFonts w:ascii="Arial" w:eastAsia="宋体" w:hAnsi="Arial" w:cs="Arial"/>
                <w:color w:val="000000"/>
                <w:sz w:val="17"/>
                <w:szCs w:val="17"/>
              </w:rPr>
              <w:t>478 </w:t>
            </w:r>
          </w:p>
        </w:tc>
        <w:tc>
          <w:tcPr>
            <w:tcW w:w="0" w:type="auto"/>
            <w:tcBorders>
              <w:top w:val="single" w:sz="8" w:space="0" w:color="808080"/>
            </w:tcBorders>
            <w:shd w:val="clear" w:color="auto" w:fill="FFF1E7"/>
            <w:tcMar>
              <w:top w:w="40" w:type="dxa"/>
              <w:bottom w:w="40" w:type="dxa"/>
              <w:right w:w="20" w:type="dxa"/>
            </w:tcMar>
            <w:vAlign w:val="bottom"/>
          </w:tcPr>
          <w:p w14:paraId="1D026E28"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E29" w14:textId="77777777" w:rsidR="004421F6" w:rsidRDefault="00F15622">
            <w:pPr>
              <w:jc w:val="right"/>
              <w:textAlignment w:val="bottom"/>
            </w:pPr>
            <w:r>
              <w:rPr>
                <w:rFonts w:ascii="Arial" w:eastAsia="宋体" w:hAnsi="Arial" w:cs="Arial"/>
                <w:color w:val="000000"/>
                <w:sz w:val="17"/>
                <w:szCs w:val="17"/>
              </w:rPr>
              <w:t>465 </w:t>
            </w:r>
          </w:p>
        </w:tc>
        <w:tc>
          <w:tcPr>
            <w:tcW w:w="0" w:type="auto"/>
            <w:tcBorders>
              <w:top w:val="single" w:sz="8" w:space="0" w:color="808080"/>
            </w:tcBorders>
            <w:shd w:val="clear" w:color="auto" w:fill="auto"/>
            <w:tcMar>
              <w:top w:w="40" w:type="dxa"/>
              <w:bottom w:w="40" w:type="dxa"/>
              <w:right w:w="20" w:type="dxa"/>
            </w:tcMar>
            <w:vAlign w:val="bottom"/>
          </w:tcPr>
          <w:p w14:paraId="1D026E2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E2B" w14:textId="77777777" w:rsidR="004421F6" w:rsidRDefault="00F1562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bottom w:w="40" w:type="dxa"/>
              <w:right w:w="20" w:type="dxa"/>
            </w:tcMar>
            <w:vAlign w:val="bottom"/>
          </w:tcPr>
          <w:p w14:paraId="1D026E2C"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E2D" w14:textId="77777777" w:rsidR="004421F6" w:rsidRDefault="00F1562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bottom w:w="40" w:type="dxa"/>
              <w:right w:w="20" w:type="dxa"/>
            </w:tcMar>
            <w:vAlign w:val="bottom"/>
          </w:tcPr>
          <w:p w14:paraId="1D026E2E"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E2F" w14:textId="77777777" w:rsidR="004421F6" w:rsidRDefault="004421F6">
            <w:pPr>
              <w:rPr>
                <w:rFonts w:ascii="宋体"/>
              </w:rPr>
            </w:pPr>
          </w:p>
        </w:tc>
        <w:tc>
          <w:tcPr>
            <w:tcW w:w="0" w:type="auto"/>
            <w:shd w:val="clear" w:color="auto" w:fill="auto"/>
          </w:tcPr>
          <w:p w14:paraId="1D026E30" w14:textId="77777777" w:rsidR="004421F6" w:rsidRDefault="004421F6">
            <w:pPr>
              <w:rPr>
                <w:rFonts w:ascii="宋体"/>
              </w:rPr>
            </w:pPr>
          </w:p>
        </w:tc>
        <w:tc>
          <w:tcPr>
            <w:tcW w:w="0" w:type="auto"/>
            <w:shd w:val="clear" w:color="auto" w:fill="auto"/>
          </w:tcPr>
          <w:p w14:paraId="1D026E31" w14:textId="77777777" w:rsidR="004421F6" w:rsidRDefault="004421F6">
            <w:pPr>
              <w:rPr>
                <w:rFonts w:ascii="宋体"/>
              </w:rPr>
            </w:pPr>
          </w:p>
        </w:tc>
        <w:tc>
          <w:tcPr>
            <w:tcW w:w="0" w:type="auto"/>
            <w:shd w:val="clear" w:color="auto" w:fill="auto"/>
          </w:tcPr>
          <w:p w14:paraId="1D026E32" w14:textId="77777777" w:rsidR="004421F6" w:rsidRDefault="004421F6">
            <w:pPr>
              <w:rPr>
                <w:rFonts w:ascii="宋体"/>
              </w:rPr>
            </w:pPr>
          </w:p>
        </w:tc>
        <w:tc>
          <w:tcPr>
            <w:tcW w:w="0" w:type="auto"/>
            <w:shd w:val="clear" w:color="auto" w:fill="auto"/>
          </w:tcPr>
          <w:p w14:paraId="1D026E33" w14:textId="77777777" w:rsidR="004421F6" w:rsidRDefault="004421F6">
            <w:pPr>
              <w:rPr>
                <w:rFonts w:ascii="宋体"/>
              </w:rPr>
            </w:pPr>
          </w:p>
        </w:tc>
        <w:tc>
          <w:tcPr>
            <w:tcW w:w="0" w:type="auto"/>
            <w:shd w:val="clear" w:color="auto" w:fill="auto"/>
          </w:tcPr>
          <w:p w14:paraId="1D026E34" w14:textId="77777777" w:rsidR="004421F6" w:rsidRDefault="004421F6">
            <w:pPr>
              <w:rPr>
                <w:rFonts w:ascii="宋体"/>
              </w:rPr>
            </w:pPr>
          </w:p>
        </w:tc>
        <w:tc>
          <w:tcPr>
            <w:tcW w:w="0" w:type="auto"/>
            <w:shd w:val="clear" w:color="auto" w:fill="auto"/>
          </w:tcPr>
          <w:p w14:paraId="1D026E35" w14:textId="77777777" w:rsidR="004421F6" w:rsidRDefault="004421F6">
            <w:pPr>
              <w:rPr>
                <w:rFonts w:ascii="宋体"/>
              </w:rPr>
            </w:pPr>
          </w:p>
        </w:tc>
        <w:tc>
          <w:tcPr>
            <w:tcW w:w="0" w:type="auto"/>
            <w:shd w:val="clear" w:color="auto" w:fill="auto"/>
          </w:tcPr>
          <w:p w14:paraId="1D026E36" w14:textId="77777777" w:rsidR="004421F6" w:rsidRDefault="004421F6">
            <w:pPr>
              <w:rPr>
                <w:rFonts w:ascii="宋体"/>
              </w:rPr>
            </w:pPr>
          </w:p>
        </w:tc>
        <w:tc>
          <w:tcPr>
            <w:tcW w:w="0" w:type="auto"/>
            <w:shd w:val="clear" w:color="auto" w:fill="auto"/>
          </w:tcPr>
          <w:p w14:paraId="1D026E37" w14:textId="77777777" w:rsidR="004421F6" w:rsidRDefault="004421F6">
            <w:pPr>
              <w:rPr>
                <w:rFonts w:ascii="宋体"/>
              </w:rPr>
            </w:pPr>
          </w:p>
        </w:tc>
      </w:tr>
      <w:tr w:rsidR="004421F6" w14:paraId="1D026E4B"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E39" w14:textId="77777777" w:rsidR="004421F6" w:rsidRDefault="00F1562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E3A" w14:textId="77777777" w:rsidR="004421F6" w:rsidRDefault="00F15622">
            <w:pPr>
              <w:jc w:val="right"/>
              <w:textAlignment w:val="bottom"/>
            </w:pPr>
            <w:r>
              <w:rPr>
                <w:rFonts w:ascii="Arial" w:eastAsia="宋体" w:hAnsi="Arial" w:cs="Arial"/>
                <w:color w:val="000000"/>
                <w:sz w:val="17"/>
                <w:szCs w:val="17"/>
              </w:rPr>
              <w:t>51 </w:t>
            </w:r>
          </w:p>
        </w:tc>
        <w:tc>
          <w:tcPr>
            <w:tcW w:w="0" w:type="auto"/>
            <w:tcBorders>
              <w:top w:val="single" w:sz="8" w:space="0" w:color="808080"/>
            </w:tcBorders>
            <w:shd w:val="clear" w:color="auto" w:fill="FFF1E7"/>
            <w:tcMar>
              <w:top w:w="40" w:type="dxa"/>
              <w:bottom w:w="40" w:type="dxa"/>
              <w:right w:w="20" w:type="dxa"/>
            </w:tcMar>
            <w:vAlign w:val="bottom"/>
          </w:tcPr>
          <w:p w14:paraId="1D026E3B"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E3C" w14:textId="77777777" w:rsidR="004421F6" w:rsidRDefault="00F15622">
            <w:pPr>
              <w:jc w:val="right"/>
              <w:textAlignment w:val="bottom"/>
            </w:pPr>
            <w:r>
              <w:rPr>
                <w:rFonts w:ascii="Arial" w:eastAsia="宋体" w:hAnsi="Arial" w:cs="Arial"/>
                <w:color w:val="000000"/>
                <w:sz w:val="17"/>
                <w:szCs w:val="17"/>
              </w:rPr>
              <w:t>50 </w:t>
            </w:r>
          </w:p>
        </w:tc>
        <w:tc>
          <w:tcPr>
            <w:tcW w:w="0" w:type="auto"/>
            <w:tcBorders>
              <w:top w:val="single" w:sz="8" w:space="0" w:color="808080"/>
            </w:tcBorders>
            <w:shd w:val="clear" w:color="auto" w:fill="auto"/>
            <w:tcMar>
              <w:top w:w="40" w:type="dxa"/>
              <w:bottom w:w="40" w:type="dxa"/>
              <w:right w:w="20" w:type="dxa"/>
            </w:tcMar>
            <w:vAlign w:val="bottom"/>
          </w:tcPr>
          <w:p w14:paraId="1D026E3D"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E3E" w14:textId="77777777" w:rsidR="004421F6" w:rsidRDefault="00F1562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bottom w:w="40" w:type="dxa"/>
              <w:right w:w="20" w:type="dxa"/>
            </w:tcMar>
            <w:vAlign w:val="bottom"/>
          </w:tcPr>
          <w:p w14:paraId="1D026E3F"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E40" w14:textId="77777777" w:rsidR="004421F6" w:rsidRDefault="00F1562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bottom w:w="40" w:type="dxa"/>
              <w:right w:w="20" w:type="dxa"/>
            </w:tcMar>
            <w:vAlign w:val="bottom"/>
          </w:tcPr>
          <w:p w14:paraId="1D026E41"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E42" w14:textId="77777777" w:rsidR="004421F6" w:rsidRDefault="004421F6">
            <w:pPr>
              <w:rPr>
                <w:rFonts w:ascii="宋体"/>
              </w:rPr>
            </w:pPr>
          </w:p>
        </w:tc>
        <w:tc>
          <w:tcPr>
            <w:tcW w:w="0" w:type="auto"/>
            <w:shd w:val="clear" w:color="auto" w:fill="auto"/>
          </w:tcPr>
          <w:p w14:paraId="1D026E43" w14:textId="77777777" w:rsidR="004421F6" w:rsidRDefault="004421F6">
            <w:pPr>
              <w:rPr>
                <w:rFonts w:ascii="宋体"/>
              </w:rPr>
            </w:pPr>
          </w:p>
        </w:tc>
        <w:tc>
          <w:tcPr>
            <w:tcW w:w="0" w:type="auto"/>
            <w:shd w:val="clear" w:color="auto" w:fill="auto"/>
          </w:tcPr>
          <w:p w14:paraId="1D026E44" w14:textId="77777777" w:rsidR="004421F6" w:rsidRDefault="004421F6">
            <w:pPr>
              <w:rPr>
                <w:rFonts w:ascii="宋体"/>
              </w:rPr>
            </w:pPr>
          </w:p>
        </w:tc>
        <w:tc>
          <w:tcPr>
            <w:tcW w:w="0" w:type="auto"/>
            <w:shd w:val="clear" w:color="auto" w:fill="auto"/>
          </w:tcPr>
          <w:p w14:paraId="1D026E45" w14:textId="77777777" w:rsidR="004421F6" w:rsidRDefault="004421F6">
            <w:pPr>
              <w:rPr>
                <w:rFonts w:ascii="宋体"/>
              </w:rPr>
            </w:pPr>
          </w:p>
        </w:tc>
        <w:tc>
          <w:tcPr>
            <w:tcW w:w="0" w:type="auto"/>
            <w:shd w:val="clear" w:color="auto" w:fill="auto"/>
          </w:tcPr>
          <w:p w14:paraId="1D026E46" w14:textId="77777777" w:rsidR="004421F6" w:rsidRDefault="004421F6">
            <w:pPr>
              <w:rPr>
                <w:rFonts w:ascii="宋体"/>
              </w:rPr>
            </w:pPr>
          </w:p>
        </w:tc>
        <w:tc>
          <w:tcPr>
            <w:tcW w:w="0" w:type="auto"/>
            <w:shd w:val="clear" w:color="auto" w:fill="auto"/>
          </w:tcPr>
          <w:p w14:paraId="1D026E47" w14:textId="77777777" w:rsidR="004421F6" w:rsidRDefault="004421F6">
            <w:pPr>
              <w:rPr>
                <w:rFonts w:ascii="宋体"/>
              </w:rPr>
            </w:pPr>
          </w:p>
        </w:tc>
        <w:tc>
          <w:tcPr>
            <w:tcW w:w="0" w:type="auto"/>
            <w:shd w:val="clear" w:color="auto" w:fill="auto"/>
          </w:tcPr>
          <w:p w14:paraId="1D026E48" w14:textId="77777777" w:rsidR="004421F6" w:rsidRDefault="004421F6">
            <w:pPr>
              <w:rPr>
                <w:rFonts w:ascii="宋体"/>
              </w:rPr>
            </w:pPr>
          </w:p>
        </w:tc>
        <w:tc>
          <w:tcPr>
            <w:tcW w:w="0" w:type="auto"/>
            <w:shd w:val="clear" w:color="auto" w:fill="auto"/>
          </w:tcPr>
          <w:p w14:paraId="1D026E49" w14:textId="77777777" w:rsidR="004421F6" w:rsidRDefault="004421F6">
            <w:pPr>
              <w:rPr>
                <w:rFonts w:ascii="宋体"/>
              </w:rPr>
            </w:pPr>
          </w:p>
        </w:tc>
        <w:tc>
          <w:tcPr>
            <w:tcW w:w="0" w:type="auto"/>
            <w:shd w:val="clear" w:color="auto" w:fill="auto"/>
          </w:tcPr>
          <w:p w14:paraId="1D026E4A" w14:textId="77777777" w:rsidR="004421F6" w:rsidRDefault="004421F6">
            <w:pPr>
              <w:rPr>
                <w:rFonts w:ascii="宋体"/>
              </w:rPr>
            </w:pPr>
          </w:p>
        </w:tc>
      </w:tr>
      <w:tr w:rsidR="004421F6" w14:paraId="1D026E6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E4C" w14:textId="77777777" w:rsidR="004421F6" w:rsidRDefault="00F1562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tcMar>
            <w:vAlign w:val="bottom"/>
          </w:tcPr>
          <w:p w14:paraId="1D026E4D"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E4E" w14:textId="77777777" w:rsidR="004421F6" w:rsidRDefault="00F15622">
            <w:pPr>
              <w:jc w:val="right"/>
              <w:textAlignment w:val="bottom"/>
            </w:pPr>
            <w:r>
              <w:rPr>
                <w:rFonts w:ascii="Arial" w:eastAsia="宋体" w:hAnsi="Arial" w:cs="Arial"/>
                <w:b/>
                <w:bCs/>
                <w:color w:val="000000"/>
                <w:sz w:val="17"/>
                <w:szCs w:val="17"/>
              </w:rPr>
              <w:t>1,780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E4F"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E50"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E51" w14:textId="77777777" w:rsidR="004421F6" w:rsidRDefault="00F15622">
            <w:pPr>
              <w:jc w:val="right"/>
              <w:textAlignment w:val="bottom"/>
            </w:pPr>
            <w:r>
              <w:rPr>
                <w:rFonts w:ascii="Arial" w:eastAsia="宋体" w:hAnsi="Arial" w:cs="Arial"/>
                <w:b/>
                <w:bCs/>
                <w:color w:val="000000"/>
                <w:sz w:val="17"/>
                <w:szCs w:val="17"/>
              </w:rPr>
              <w:t>1,679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E52"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E53" w14:textId="77777777" w:rsidR="004421F6" w:rsidRDefault="00F15622">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E54"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E55" w14:textId="77777777" w:rsidR="004421F6" w:rsidRDefault="00F15622">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E56"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6E57" w14:textId="77777777" w:rsidR="004421F6" w:rsidRDefault="004421F6">
            <w:pPr>
              <w:rPr>
                <w:rFonts w:ascii="宋体"/>
              </w:rPr>
            </w:pPr>
          </w:p>
        </w:tc>
        <w:tc>
          <w:tcPr>
            <w:tcW w:w="0" w:type="auto"/>
            <w:shd w:val="clear" w:color="auto" w:fill="auto"/>
          </w:tcPr>
          <w:p w14:paraId="1D026E58" w14:textId="77777777" w:rsidR="004421F6" w:rsidRDefault="004421F6">
            <w:pPr>
              <w:rPr>
                <w:rFonts w:ascii="宋体"/>
              </w:rPr>
            </w:pPr>
          </w:p>
        </w:tc>
        <w:tc>
          <w:tcPr>
            <w:tcW w:w="0" w:type="auto"/>
            <w:shd w:val="clear" w:color="auto" w:fill="auto"/>
          </w:tcPr>
          <w:p w14:paraId="1D026E59" w14:textId="77777777" w:rsidR="004421F6" w:rsidRDefault="004421F6">
            <w:pPr>
              <w:rPr>
                <w:rFonts w:ascii="宋体"/>
              </w:rPr>
            </w:pPr>
          </w:p>
        </w:tc>
        <w:tc>
          <w:tcPr>
            <w:tcW w:w="0" w:type="auto"/>
            <w:shd w:val="clear" w:color="auto" w:fill="auto"/>
          </w:tcPr>
          <w:p w14:paraId="1D026E5A" w14:textId="77777777" w:rsidR="004421F6" w:rsidRDefault="004421F6">
            <w:pPr>
              <w:rPr>
                <w:rFonts w:ascii="宋体"/>
              </w:rPr>
            </w:pPr>
          </w:p>
        </w:tc>
        <w:tc>
          <w:tcPr>
            <w:tcW w:w="0" w:type="auto"/>
            <w:shd w:val="clear" w:color="auto" w:fill="auto"/>
          </w:tcPr>
          <w:p w14:paraId="1D026E5B" w14:textId="77777777" w:rsidR="004421F6" w:rsidRDefault="004421F6">
            <w:pPr>
              <w:rPr>
                <w:rFonts w:ascii="宋体"/>
              </w:rPr>
            </w:pPr>
          </w:p>
        </w:tc>
        <w:tc>
          <w:tcPr>
            <w:tcW w:w="0" w:type="auto"/>
            <w:shd w:val="clear" w:color="auto" w:fill="auto"/>
          </w:tcPr>
          <w:p w14:paraId="1D026E5C" w14:textId="77777777" w:rsidR="004421F6" w:rsidRDefault="004421F6">
            <w:pPr>
              <w:rPr>
                <w:rFonts w:ascii="宋体"/>
              </w:rPr>
            </w:pPr>
          </w:p>
        </w:tc>
        <w:tc>
          <w:tcPr>
            <w:tcW w:w="0" w:type="auto"/>
            <w:shd w:val="clear" w:color="auto" w:fill="auto"/>
          </w:tcPr>
          <w:p w14:paraId="1D026E5D" w14:textId="77777777" w:rsidR="004421F6" w:rsidRDefault="004421F6">
            <w:pPr>
              <w:rPr>
                <w:rFonts w:ascii="宋体"/>
              </w:rPr>
            </w:pPr>
          </w:p>
        </w:tc>
        <w:tc>
          <w:tcPr>
            <w:tcW w:w="0" w:type="auto"/>
            <w:shd w:val="clear" w:color="auto" w:fill="auto"/>
          </w:tcPr>
          <w:p w14:paraId="1D026E5E" w14:textId="77777777" w:rsidR="004421F6" w:rsidRDefault="004421F6">
            <w:pPr>
              <w:rPr>
                <w:rFonts w:ascii="宋体"/>
              </w:rPr>
            </w:pPr>
          </w:p>
        </w:tc>
        <w:tc>
          <w:tcPr>
            <w:tcW w:w="0" w:type="auto"/>
            <w:shd w:val="clear" w:color="auto" w:fill="auto"/>
          </w:tcPr>
          <w:p w14:paraId="1D026E5F" w14:textId="77777777" w:rsidR="004421F6" w:rsidRDefault="004421F6">
            <w:pPr>
              <w:rPr>
                <w:rFonts w:ascii="宋体"/>
              </w:rPr>
            </w:pPr>
          </w:p>
        </w:tc>
      </w:tr>
      <w:tr w:rsidR="004421F6" w14:paraId="1D026E6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E61" w14:textId="77777777" w:rsidR="004421F6" w:rsidRDefault="00F1562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1D026E62" w14:textId="77777777" w:rsidR="004421F6" w:rsidRDefault="00F15622">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E63" w14:textId="77777777" w:rsidR="004421F6" w:rsidRDefault="00F15622">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left w:w="20" w:type="dxa"/>
              <w:right w:w="20" w:type="dxa"/>
            </w:tcMar>
            <w:vAlign w:val="bottom"/>
          </w:tcPr>
          <w:p w14:paraId="1D026E64"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E65" w14:textId="77777777" w:rsidR="004421F6" w:rsidRDefault="004421F6">
            <w:pPr>
              <w:rPr>
                <w:rFonts w:ascii="宋体"/>
              </w:rPr>
            </w:pPr>
          </w:p>
        </w:tc>
        <w:tc>
          <w:tcPr>
            <w:tcW w:w="0" w:type="auto"/>
            <w:shd w:val="clear" w:color="auto" w:fill="auto"/>
          </w:tcPr>
          <w:p w14:paraId="1D026E66" w14:textId="77777777" w:rsidR="004421F6" w:rsidRDefault="004421F6">
            <w:pPr>
              <w:rPr>
                <w:rFonts w:ascii="宋体"/>
              </w:rPr>
            </w:pPr>
          </w:p>
        </w:tc>
        <w:tc>
          <w:tcPr>
            <w:tcW w:w="0" w:type="auto"/>
            <w:shd w:val="clear" w:color="auto" w:fill="auto"/>
          </w:tcPr>
          <w:p w14:paraId="1D026E67" w14:textId="77777777" w:rsidR="004421F6" w:rsidRDefault="004421F6">
            <w:pPr>
              <w:rPr>
                <w:rFonts w:ascii="宋体"/>
              </w:rPr>
            </w:pPr>
          </w:p>
        </w:tc>
        <w:tc>
          <w:tcPr>
            <w:tcW w:w="0" w:type="auto"/>
            <w:shd w:val="clear" w:color="auto" w:fill="auto"/>
          </w:tcPr>
          <w:p w14:paraId="1D026E68" w14:textId="77777777" w:rsidR="004421F6" w:rsidRDefault="004421F6">
            <w:pPr>
              <w:rPr>
                <w:rFonts w:ascii="宋体"/>
              </w:rPr>
            </w:pPr>
          </w:p>
        </w:tc>
        <w:tc>
          <w:tcPr>
            <w:tcW w:w="0" w:type="auto"/>
            <w:shd w:val="clear" w:color="auto" w:fill="auto"/>
          </w:tcPr>
          <w:p w14:paraId="1D026E69" w14:textId="77777777" w:rsidR="004421F6" w:rsidRDefault="004421F6">
            <w:pPr>
              <w:rPr>
                <w:rFonts w:ascii="宋体"/>
              </w:rPr>
            </w:pPr>
          </w:p>
        </w:tc>
        <w:tc>
          <w:tcPr>
            <w:tcW w:w="0" w:type="auto"/>
            <w:shd w:val="clear" w:color="auto" w:fill="auto"/>
          </w:tcPr>
          <w:p w14:paraId="1D026E6A" w14:textId="77777777" w:rsidR="004421F6" w:rsidRDefault="004421F6">
            <w:pPr>
              <w:rPr>
                <w:rFonts w:ascii="宋体"/>
              </w:rPr>
            </w:pPr>
          </w:p>
        </w:tc>
        <w:tc>
          <w:tcPr>
            <w:tcW w:w="0" w:type="auto"/>
            <w:shd w:val="clear" w:color="auto" w:fill="auto"/>
          </w:tcPr>
          <w:p w14:paraId="1D026E6B" w14:textId="77777777" w:rsidR="004421F6" w:rsidRDefault="004421F6">
            <w:pPr>
              <w:rPr>
                <w:rFonts w:ascii="宋体"/>
              </w:rPr>
            </w:pPr>
          </w:p>
        </w:tc>
        <w:tc>
          <w:tcPr>
            <w:tcW w:w="0" w:type="auto"/>
            <w:shd w:val="clear" w:color="auto" w:fill="auto"/>
          </w:tcPr>
          <w:p w14:paraId="1D026E6C" w14:textId="77777777" w:rsidR="004421F6" w:rsidRDefault="004421F6">
            <w:pPr>
              <w:rPr>
                <w:rFonts w:ascii="宋体"/>
              </w:rPr>
            </w:pPr>
          </w:p>
        </w:tc>
        <w:tc>
          <w:tcPr>
            <w:tcW w:w="0" w:type="auto"/>
            <w:shd w:val="clear" w:color="auto" w:fill="auto"/>
          </w:tcPr>
          <w:p w14:paraId="1D026E6D" w14:textId="77777777" w:rsidR="004421F6" w:rsidRDefault="004421F6">
            <w:pPr>
              <w:rPr>
                <w:rFonts w:ascii="宋体"/>
              </w:rPr>
            </w:pPr>
          </w:p>
        </w:tc>
        <w:tc>
          <w:tcPr>
            <w:tcW w:w="0" w:type="auto"/>
            <w:shd w:val="clear" w:color="auto" w:fill="auto"/>
          </w:tcPr>
          <w:p w14:paraId="1D026E6E" w14:textId="77777777" w:rsidR="004421F6" w:rsidRDefault="004421F6">
            <w:pPr>
              <w:rPr>
                <w:rFonts w:ascii="宋体"/>
              </w:rPr>
            </w:pPr>
          </w:p>
        </w:tc>
      </w:tr>
      <w:tr w:rsidR="004421F6" w14:paraId="1D026E84"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E70" w14:textId="77777777" w:rsidR="004421F6" w:rsidRDefault="00F1562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tcMar>
            <w:vAlign w:val="bottom"/>
          </w:tcPr>
          <w:p w14:paraId="1D026E71"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E72" w14:textId="77777777" w:rsidR="004421F6" w:rsidRDefault="00F15622">
            <w:pPr>
              <w:jc w:val="right"/>
              <w:textAlignment w:val="bottom"/>
            </w:pPr>
            <w:r>
              <w:rPr>
                <w:rFonts w:ascii="Arial" w:eastAsia="宋体" w:hAnsi="Arial" w:cs="Arial"/>
                <w:color w:val="000000"/>
                <w:sz w:val="17"/>
                <w:szCs w:val="17"/>
              </w:rPr>
              <w:t>964 </w:t>
            </w:r>
          </w:p>
        </w:tc>
        <w:tc>
          <w:tcPr>
            <w:tcW w:w="0" w:type="auto"/>
            <w:tcBorders>
              <w:top w:val="single" w:sz="8" w:space="0" w:color="808080"/>
            </w:tcBorders>
            <w:shd w:val="clear" w:color="auto" w:fill="FFF1E7"/>
            <w:tcMar>
              <w:top w:w="40" w:type="dxa"/>
              <w:bottom w:w="40" w:type="dxa"/>
              <w:right w:w="20" w:type="dxa"/>
            </w:tcMar>
            <w:vAlign w:val="bottom"/>
          </w:tcPr>
          <w:p w14:paraId="1D026E73"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E74"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E75" w14:textId="77777777" w:rsidR="004421F6" w:rsidRDefault="00F15622">
            <w:pPr>
              <w:jc w:val="right"/>
              <w:textAlignment w:val="bottom"/>
            </w:pPr>
            <w:r>
              <w:rPr>
                <w:rFonts w:ascii="Arial" w:eastAsia="宋体" w:hAnsi="Arial" w:cs="Arial"/>
                <w:color w:val="000000"/>
                <w:sz w:val="17"/>
                <w:szCs w:val="17"/>
              </w:rPr>
              <w:t>986 </w:t>
            </w:r>
          </w:p>
        </w:tc>
        <w:tc>
          <w:tcPr>
            <w:tcW w:w="0" w:type="auto"/>
            <w:tcBorders>
              <w:top w:val="single" w:sz="8" w:space="0" w:color="808080"/>
            </w:tcBorders>
            <w:shd w:val="clear" w:color="auto" w:fill="auto"/>
            <w:tcMar>
              <w:top w:w="40" w:type="dxa"/>
              <w:bottom w:w="40" w:type="dxa"/>
              <w:right w:w="20" w:type="dxa"/>
            </w:tcMar>
            <w:vAlign w:val="bottom"/>
          </w:tcPr>
          <w:p w14:paraId="1D026E76"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E77" w14:textId="77777777" w:rsidR="004421F6" w:rsidRDefault="00F1562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bottom w:w="40" w:type="dxa"/>
              <w:right w:w="20" w:type="dxa"/>
            </w:tcMar>
            <w:vAlign w:val="bottom"/>
          </w:tcPr>
          <w:p w14:paraId="1D026E78"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E79" w14:textId="77777777" w:rsidR="004421F6" w:rsidRDefault="00F15622">
            <w:pPr>
              <w:jc w:val="right"/>
              <w:textAlignment w:val="bottom"/>
            </w:pPr>
            <w:r>
              <w:rPr>
                <w:rFonts w:ascii="Arial" w:eastAsia="宋体" w:hAnsi="Arial" w:cs="Arial"/>
                <w:color w:val="000000"/>
                <w:sz w:val="17"/>
                <w:szCs w:val="17"/>
              </w:rPr>
              <w:t>0 </w:t>
            </w:r>
          </w:p>
        </w:tc>
        <w:tc>
          <w:tcPr>
            <w:tcW w:w="0" w:type="auto"/>
            <w:tcBorders>
              <w:top w:val="single" w:sz="8" w:space="0" w:color="808080"/>
            </w:tcBorders>
            <w:shd w:val="clear" w:color="auto" w:fill="auto"/>
            <w:tcMar>
              <w:top w:w="40" w:type="dxa"/>
              <w:bottom w:w="40" w:type="dxa"/>
              <w:right w:w="20" w:type="dxa"/>
            </w:tcMar>
            <w:vAlign w:val="bottom"/>
          </w:tcPr>
          <w:p w14:paraId="1D026E7A"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E7B" w14:textId="77777777" w:rsidR="004421F6" w:rsidRDefault="004421F6">
            <w:pPr>
              <w:rPr>
                <w:rFonts w:ascii="宋体"/>
              </w:rPr>
            </w:pPr>
          </w:p>
        </w:tc>
        <w:tc>
          <w:tcPr>
            <w:tcW w:w="0" w:type="auto"/>
            <w:shd w:val="clear" w:color="auto" w:fill="auto"/>
          </w:tcPr>
          <w:p w14:paraId="1D026E7C" w14:textId="77777777" w:rsidR="004421F6" w:rsidRDefault="004421F6">
            <w:pPr>
              <w:rPr>
                <w:rFonts w:ascii="宋体"/>
              </w:rPr>
            </w:pPr>
          </w:p>
        </w:tc>
        <w:tc>
          <w:tcPr>
            <w:tcW w:w="0" w:type="auto"/>
            <w:shd w:val="clear" w:color="auto" w:fill="auto"/>
          </w:tcPr>
          <w:p w14:paraId="1D026E7D" w14:textId="77777777" w:rsidR="004421F6" w:rsidRDefault="004421F6">
            <w:pPr>
              <w:rPr>
                <w:rFonts w:ascii="宋体"/>
              </w:rPr>
            </w:pPr>
          </w:p>
        </w:tc>
        <w:tc>
          <w:tcPr>
            <w:tcW w:w="0" w:type="auto"/>
            <w:shd w:val="clear" w:color="auto" w:fill="auto"/>
          </w:tcPr>
          <w:p w14:paraId="1D026E7E" w14:textId="77777777" w:rsidR="004421F6" w:rsidRDefault="004421F6">
            <w:pPr>
              <w:rPr>
                <w:rFonts w:ascii="宋体"/>
              </w:rPr>
            </w:pPr>
          </w:p>
        </w:tc>
        <w:tc>
          <w:tcPr>
            <w:tcW w:w="0" w:type="auto"/>
            <w:shd w:val="clear" w:color="auto" w:fill="auto"/>
          </w:tcPr>
          <w:p w14:paraId="1D026E7F" w14:textId="77777777" w:rsidR="004421F6" w:rsidRDefault="004421F6">
            <w:pPr>
              <w:rPr>
                <w:rFonts w:ascii="宋体"/>
              </w:rPr>
            </w:pPr>
          </w:p>
        </w:tc>
        <w:tc>
          <w:tcPr>
            <w:tcW w:w="0" w:type="auto"/>
            <w:shd w:val="clear" w:color="auto" w:fill="auto"/>
          </w:tcPr>
          <w:p w14:paraId="1D026E80" w14:textId="77777777" w:rsidR="004421F6" w:rsidRDefault="004421F6">
            <w:pPr>
              <w:rPr>
                <w:rFonts w:ascii="宋体"/>
              </w:rPr>
            </w:pPr>
          </w:p>
        </w:tc>
        <w:tc>
          <w:tcPr>
            <w:tcW w:w="0" w:type="auto"/>
            <w:shd w:val="clear" w:color="auto" w:fill="auto"/>
          </w:tcPr>
          <w:p w14:paraId="1D026E81" w14:textId="77777777" w:rsidR="004421F6" w:rsidRDefault="004421F6">
            <w:pPr>
              <w:rPr>
                <w:rFonts w:ascii="宋体"/>
              </w:rPr>
            </w:pPr>
          </w:p>
        </w:tc>
        <w:tc>
          <w:tcPr>
            <w:tcW w:w="0" w:type="auto"/>
            <w:shd w:val="clear" w:color="auto" w:fill="auto"/>
          </w:tcPr>
          <w:p w14:paraId="1D026E82" w14:textId="77777777" w:rsidR="004421F6" w:rsidRDefault="004421F6">
            <w:pPr>
              <w:rPr>
                <w:rFonts w:ascii="宋体"/>
              </w:rPr>
            </w:pPr>
          </w:p>
        </w:tc>
        <w:tc>
          <w:tcPr>
            <w:tcW w:w="0" w:type="auto"/>
            <w:shd w:val="clear" w:color="auto" w:fill="auto"/>
          </w:tcPr>
          <w:p w14:paraId="1D026E83" w14:textId="77777777" w:rsidR="004421F6" w:rsidRDefault="004421F6">
            <w:pPr>
              <w:rPr>
                <w:rFonts w:ascii="宋体"/>
              </w:rPr>
            </w:pPr>
          </w:p>
        </w:tc>
      </w:tr>
      <w:tr w:rsidR="004421F6" w14:paraId="1D026E97"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E85" w14:textId="77777777" w:rsidR="004421F6" w:rsidRDefault="00F15622">
            <w:pPr>
              <w:textAlignment w:val="bottom"/>
            </w:pPr>
            <w:r>
              <w:rPr>
                <w:rFonts w:ascii="Arial" w:eastAsia="宋体" w:hAnsi="Arial" w:cs="Arial"/>
                <w:color w:val="000000"/>
                <w:sz w:val="17"/>
                <w:szCs w:val="17"/>
              </w:rPr>
              <w:t>Sales through NIKE Direct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E86" w14:textId="77777777" w:rsidR="004421F6" w:rsidRDefault="00F15622">
            <w:pPr>
              <w:jc w:val="right"/>
              <w:textAlignment w:val="bottom"/>
            </w:pPr>
            <w:r>
              <w:rPr>
                <w:rFonts w:ascii="Arial" w:eastAsia="宋体" w:hAnsi="Arial" w:cs="Arial"/>
                <w:color w:val="000000"/>
                <w:sz w:val="17"/>
                <w:szCs w:val="17"/>
              </w:rPr>
              <w:t>816 </w:t>
            </w:r>
          </w:p>
        </w:tc>
        <w:tc>
          <w:tcPr>
            <w:tcW w:w="0" w:type="auto"/>
            <w:tcBorders>
              <w:top w:val="single" w:sz="8" w:space="0" w:color="808080"/>
            </w:tcBorders>
            <w:shd w:val="clear" w:color="auto" w:fill="FFF1E7"/>
            <w:tcMar>
              <w:top w:w="40" w:type="dxa"/>
              <w:bottom w:w="40" w:type="dxa"/>
              <w:right w:w="20" w:type="dxa"/>
            </w:tcMar>
            <w:vAlign w:val="bottom"/>
          </w:tcPr>
          <w:p w14:paraId="1D026E87"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E88" w14:textId="77777777" w:rsidR="004421F6" w:rsidRDefault="00F15622">
            <w:pPr>
              <w:jc w:val="right"/>
              <w:textAlignment w:val="bottom"/>
            </w:pPr>
            <w:r>
              <w:rPr>
                <w:rFonts w:ascii="Arial" w:eastAsia="宋体" w:hAnsi="Arial" w:cs="Arial"/>
                <w:color w:val="000000"/>
                <w:sz w:val="17"/>
                <w:szCs w:val="17"/>
              </w:rPr>
              <w:t>693 </w:t>
            </w:r>
          </w:p>
        </w:tc>
        <w:tc>
          <w:tcPr>
            <w:tcW w:w="0" w:type="auto"/>
            <w:tcBorders>
              <w:top w:val="single" w:sz="8" w:space="0" w:color="808080"/>
            </w:tcBorders>
            <w:shd w:val="clear" w:color="auto" w:fill="auto"/>
            <w:tcMar>
              <w:top w:w="40" w:type="dxa"/>
              <w:bottom w:w="40" w:type="dxa"/>
              <w:right w:w="20" w:type="dxa"/>
            </w:tcMar>
            <w:vAlign w:val="bottom"/>
          </w:tcPr>
          <w:p w14:paraId="1D026E89"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E8A" w14:textId="77777777" w:rsidR="004421F6" w:rsidRDefault="00F15622">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auto"/>
            <w:tcMar>
              <w:top w:w="40" w:type="dxa"/>
              <w:bottom w:w="40" w:type="dxa"/>
              <w:right w:w="20" w:type="dxa"/>
            </w:tcMar>
            <w:vAlign w:val="bottom"/>
          </w:tcPr>
          <w:p w14:paraId="1D026E8B"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E8C" w14:textId="77777777" w:rsidR="004421F6" w:rsidRDefault="00F15622">
            <w:pPr>
              <w:jc w:val="right"/>
              <w:textAlignment w:val="bottom"/>
            </w:pPr>
            <w:r>
              <w:rPr>
                <w:rFonts w:ascii="Arial" w:eastAsia="宋体" w:hAnsi="Arial" w:cs="Arial"/>
                <w:color w:val="000000"/>
                <w:sz w:val="17"/>
                <w:szCs w:val="17"/>
              </w:rPr>
              <w:t>21 </w:t>
            </w:r>
          </w:p>
        </w:tc>
        <w:tc>
          <w:tcPr>
            <w:tcW w:w="0" w:type="auto"/>
            <w:tcBorders>
              <w:top w:val="single" w:sz="8" w:space="0" w:color="808080"/>
            </w:tcBorders>
            <w:shd w:val="clear" w:color="auto" w:fill="auto"/>
            <w:tcMar>
              <w:top w:w="40" w:type="dxa"/>
              <w:bottom w:w="40" w:type="dxa"/>
              <w:right w:w="20" w:type="dxa"/>
            </w:tcMar>
            <w:vAlign w:val="bottom"/>
          </w:tcPr>
          <w:p w14:paraId="1D026E8D"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E8E" w14:textId="77777777" w:rsidR="004421F6" w:rsidRDefault="004421F6">
            <w:pPr>
              <w:rPr>
                <w:rFonts w:ascii="宋体"/>
              </w:rPr>
            </w:pPr>
          </w:p>
        </w:tc>
        <w:tc>
          <w:tcPr>
            <w:tcW w:w="0" w:type="auto"/>
            <w:shd w:val="clear" w:color="auto" w:fill="auto"/>
          </w:tcPr>
          <w:p w14:paraId="1D026E8F" w14:textId="77777777" w:rsidR="004421F6" w:rsidRDefault="004421F6">
            <w:pPr>
              <w:rPr>
                <w:rFonts w:ascii="宋体"/>
              </w:rPr>
            </w:pPr>
          </w:p>
        </w:tc>
        <w:tc>
          <w:tcPr>
            <w:tcW w:w="0" w:type="auto"/>
            <w:shd w:val="clear" w:color="auto" w:fill="auto"/>
          </w:tcPr>
          <w:p w14:paraId="1D026E90" w14:textId="77777777" w:rsidR="004421F6" w:rsidRDefault="004421F6">
            <w:pPr>
              <w:rPr>
                <w:rFonts w:ascii="宋体"/>
              </w:rPr>
            </w:pPr>
          </w:p>
        </w:tc>
        <w:tc>
          <w:tcPr>
            <w:tcW w:w="0" w:type="auto"/>
            <w:shd w:val="clear" w:color="auto" w:fill="auto"/>
          </w:tcPr>
          <w:p w14:paraId="1D026E91" w14:textId="77777777" w:rsidR="004421F6" w:rsidRDefault="004421F6">
            <w:pPr>
              <w:rPr>
                <w:rFonts w:ascii="宋体"/>
              </w:rPr>
            </w:pPr>
          </w:p>
        </w:tc>
        <w:tc>
          <w:tcPr>
            <w:tcW w:w="0" w:type="auto"/>
            <w:shd w:val="clear" w:color="auto" w:fill="auto"/>
          </w:tcPr>
          <w:p w14:paraId="1D026E92" w14:textId="77777777" w:rsidR="004421F6" w:rsidRDefault="004421F6">
            <w:pPr>
              <w:rPr>
                <w:rFonts w:ascii="宋体"/>
              </w:rPr>
            </w:pPr>
          </w:p>
        </w:tc>
        <w:tc>
          <w:tcPr>
            <w:tcW w:w="0" w:type="auto"/>
            <w:shd w:val="clear" w:color="auto" w:fill="auto"/>
          </w:tcPr>
          <w:p w14:paraId="1D026E93" w14:textId="77777777" w:rsidR="004421F6" w:rsidRDefault="004421F6">
            <w:pPr>
              <w:rPr>
                <w:rFonts w:ascii="宋体"/>
              </w:rPr>
            </w:pPr>
          </w:p>
        </w:tc>
        <w:tc>
          <w:tcPr>
            <w:tcW w:w="0" w:type="auto"/>
            <w:shd w:val="clear" w:color="auto" w:fill="auto"/>
          </w:tcPr>
          <w:p w14:paraId="1D026E94" w14:textId="77777777" w:rsidR="004421F6" w:rsidRDefault="004421F6">
            <w:pPr>
              <w:rPr>
                <w:rFonts w:ascii="宋体"/>
              </w:rPr>
            </w:pPr>
          </w:p>
        </w:tc>
        <w:tc>
          <w:tcPr>
            <w:tcW w:w="0" w:type="auto"/>
            <w:shd w:val="clear" w:color="auto" w:fill="auto"/>
          </w:tcPr>
          <w:p w14:paraId="1D026E95" w14:textId="77777777" w:rsidR="004421F6" w:rsidRDefault="004421F6">
            <w:pPr>
              <w:rPr>
                <w:rFonts w:ascii="宋体"/>
              </w:rPr>
            </w:pPr>
          </w:p>
        </w:tc>
        <w:tc>
          <w:tcPr>
            <w:tcW w:w="0" w:type="auto"/>
            <w:shd w:val="clear" w:color="auto" w:fill="auto"/>
          </w:tcPr>
          <w:p w14:paraId="1D026E96" w14:textId="77777777" w:rsidR="004421F6" w:rsidRDefault="004421F6">
            <w:pPr>
              <w:rPr>
                <w:rFonts w:ascii="宋体"/>
              </w:rPr>
            </w:pPr>
          </w:p>
        </w:tc>
      </w:tr>
      <w:tr w:rsidR="004421F6" w14:paraId="1D026EA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E98" w14:textId="77777777" w:rsidR="004421F6" w:rsidRDefault="00F1562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tcMar>
            <w:vAlign w:val="bottom"/>
          </w:tcPr>
          <w:p w14:paraId="1D026E99"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E9A" w14:textId="77777777" w:rsidR="004421F6" w:rsidRDefault="00F15622">
            <w:pPr>
              <w:jc w:val="right"/>
              <w:textAlignment w:val="bottom"/>
            </w:pPr>
            <w:r>
              <w:rPr>
                <w:rFonts w:ascii="Arial" w:eastAsia="宋体" w:hAnsi="Arial" w:cs="Arial"/>
                <w:b/>
                <w:bCs/>
                <w:color w:val="000000"/>
                <w:sz w:val="17"/>
                <w:szCs w:val="17"/>
              </w:rPr>
              <w:t>1,780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E9B"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E9C"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E9D" w14:textId="77777777" w:rsidR="004421F6" w:rsidRDefault="00F15622">
            <w:pPr>
              <w:jc w:val="right"/>
              <w:textAlignment w:val="bottom"/>
            </w:pPr>
            <w:r>
              <w:rPr>
                <w:rFonts w:ascii="Arial" w:eastAsia="宋体" w:hAnsi="Arial" w:cs="Arial"/>
                <w:b/>
                <w:bCs/>
                <w:color w:val="000000"/>
                <w:sz w:val="17"/>
                <w:szCs w:val="17"/>
              </w:rPr>
              <w:t>1,679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E9E"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E9F" w14:textId="77777777" w:rsidR="004421F6" w:rsidRDefault="00F15622">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EA0"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EA1" w14:textId="77777777" w:rsidR="004421F6" w:rsidRDefault="00F15622">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EA2"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6EA3" w14:textId="77777777" w:rsidR="004421F6" w:rsidRDefault="004421F6">
            <w:pPr>
              <w:rPr>
                <w:rFonts w:ascii="宋体"/>
              </w:rPr>
            </w:pPr>
          </w:p>
        </w:tc>
        <w:tc>
          <w:tcPr>
            <w:tcW w:w="0" w:type="auto"/>
            <w:shd w:val="clear" w:color="auto" w:fill="auto"/>
          </w:tcPr>
          <w:p w14:paraId="1D026EA4" w14:textId="77777777" w:rsidR="004421F6" w:rsidRDefault="004421F6">
            <w:pPr>
              <w:rPr>
                <w:rFonts w:ascii="宋体"/>
              </w:rPr>
            </w:pPr>
          </w:p>
        </w:tc>
        <w:tc>
          <w:tcPr>
            <w:tcW w:w="0" w:type="auto"/>
            <w:shd w:val="clear" w:color="auto" w:fill="auto"/>
          </w:tcPr>
          <w:p w14:paraId="1D026EA5" w14:textId="77777777" w:rsidR="004421F6" w:rsidRDefault="004421F6">
            <w:pPr>
              <w:rPr>
                <w:rFonts w:ascii="宋体"/>
              </w:rPr>
            </w:pPr>
          </w:p>
        </w:tc>
        <w:tc>
          <w:tcPr>
            <w:tcW w:w="0" w:type="auto"/>
            <w:shd w:val="clear" w:color="auto" w:fill="auto"/>
          </w:tcPr>
          <w:p w14:paraId="1D026EA6" w14:textId="77777777" w:rsidR="004421F6" w:rsidRDefault="004421F6">
            <w:pPr>
              <w:rPr>
                <w:rFonts w:ascii="宋体"/>
              </w:rPr>
            </w:pPr>
          </w:p>
        </w:tc>
        <w:tc>
          <w:tcPr>
            <w:tcW w:w="0" w:type="auto"/>
            <w:shd w:val="clear" w:color="auto" w:fill="auto"/>
          </w:tcPr>
          <w:p w14:paraId="1D026EA7" w14:textId="77777777" w:rsidR="004421F6" w:rsidRDefault="004421F6">
            <w:pPr>
              <w:rPr>
                <w:rFonts w:ascii="宋体"/>
              </w:rPr>
            </w:pPr>
          </w:p>
        </w:tc>
        <w:tc>
          <w:tcPr>
            <w:tcW w:w="0" w:type="auto"/>
            <w:shd w:val="clear" w:color="auto" w:fill="auto"/>
          </w:tcPr>
          <w:p w14:paraId="1D026EA8" w14:textId="77777777" w:rsidR="004421F6" w:rsidRDefault="004421F6">
            <w:pPr>
              <w:rPr>
                <w:rFonts w:ascii="宋体"/>
              </w:rPr>
            </w:pPr>
          </w:p>
        </w:tc>
        <w:tc>
          <w:tcPr>
            <w:tcW w:w="0" w:type="auto"/>
            <w:shd w:val="clear" w:color="auto" w:fill="auto"/>
          </w:tcPr>
          <w:p w14:paraId="1D026EA9" w14:textId="77777777" w:rsidR="004421F6" w:rsidRDefault="004421F6">
            <w:pPr>
              <w:rPr>
                <w:rFonts w:ascii="宋体"/>
              </w:rPr>
            </w:pPr>
          </w:p>
        </w:tc>
        <w:tc>
          <w:tcPr>
            <w:tcW w:w="0" w:type="auto"/>
            <w:shd w:val="clear" w:color="auto" w:fill="auto"/>
          </w:tcPr>
          <w:p w14:paraId="1D026EAA" w14:textId="77777777" w:rsidR="004421F6" w:rsidRDefault="004421F6">
            <w:pPr>
              <w:rPr>
                <w:rFonts w:ascii="宋体"/>
              </w:rPr>
            </w:pPr>
          </w:p>
        </w:tc>
        <w:tc>
          <w:tcPr>
            <w:tcW w:w="0" w:type="auto"/>
            <w:shd w:val="clear" w:color="auto" w:fill="auto"/>
          </w:tcPr>
          <w:p w14:paraId="1D026EAB" w14:textId="77777777" w:rsidR="004421F6" w:rsidRDefault="004421F6">
            <w:pPr>
              <w:rPr>
                <w:rFonts w:ascii="宋体"/>
              </w:rPr>
            </w:pPr>
          </w:p>
        </w:tc>
      </w:tr>
      <w:tr w:rsidR="004421F6" w14:paraId="1D026EC0"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6EAD" w14:textId="77777777" w:rsidR="004421F6" w:rsidRDefault="00F15622">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EAE"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EAF" w14:textId="77777777" w:rsidR="004421F6" w:rsidRDefault="00F15622">
            <w:pPr>
              <w:jc w:val="right"/>
              <w:textAlignment w:val="bottom"/>
            </w:pPr>
            <w:r>
              <w:rPr>
                <w:rFonts w:ascii="Arial" w:eastAsia="宋体" w:hAnsi="Arial" w:cs="Arial"/>
                <w:b/>
                <w:bCs/>
                <w:color w:val="000000"/>
                <w:sz w:val="17"/>
                <w:szCs w:val="17"/>
              </w:rPr>
              <w:t>688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EB0"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EB1"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EB2" w14:textId="77777777" w:rsidR="004421F6" w:rsidRDefault="00F15622">
            <w:pPr>
              <w:jc w:val="right"/>
              <w:textAlignment w:val="bottom"/>
            </w:pPr>
            <w:r>
              <w:rPr>
                <w:rFonts w:ascii="Arial" w:eastAsia="宋体" w:hAnsi="Arial" w:cs="Arial"/>
                <w:b/>
                <w:bCs/>
                <w:color w:val="000000"/>
                <w:sz w:val="17"/>
                <w:szCs w:val="17"/>
              </w:rPr>
              <w:t>669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EB3" w14:textId="77777777" w:rsidR="004421F6" w:rsidRDefault="004421F6">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D026EB4" w14:textId="77777777" w:rsidR="004421F6" w:rsidRDefault="00F1562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EB5"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6EB6" w14:textId="77777777" w:rsidR="004421F6" w:rsidRDefault="00F15622">
            <w:pPr>
              <w:textAlignment w:val="bottom"/>
            </w:pPr>
            <w:r>
              <w:rPr>
                <w:rFonts w:ascii="Arial" w:eastAsia="宋体" w:hAnsi="Arial" w:cs="Arial"/>
                <w:b/>
                <w:bCs/>
                <w:color w:val="000000"/>
                <w:sz w:val="17"/>
                <w:szCs w:val="17"/>
              </w:rPr>
              <w:t> </w:t>
            </w:r>
          </w:p>
        </w:tc>
        <w:tc>
          <w:tcPr>
            <w:tcW w:w="0" w:type="auto"/>
            <w:shd w:val="clear" w:color="auto" w:fill="auto"/>
          </w:tcPr>
          <w:p w14:paraId="1D026EB7" w14:textId="77777777" w:rsidR="004421F6" w:rsidRDefault="004421F6">
            <w:pPr>
              <w:rPr>
                <w:rFonts w:ascii="宋体"/>
              </w:rPr>
            </w:pPr>
          </w:p>
        </w:tc>
        <w:tc>
          <w:tcPr>
            <w:tcW w:w="0" w:type="auto"/>
            <w:shd w:val="clear" w:color="auto" w:fill="auto"/>
          </w:tcPr>
          <w:p w14:paraId="1D026EB8" w14:textId="77777777" w:rsidR="004421F6" w:rsidRDefault="004421F6">
            <w:pPr>
              <w:rPr>
                <w:rFonts w:ascii="宋体"/>
              </w:rPr>
            </w:pPr>
          </w:p>
        </w:tc>
        <w:tc>
          <w:tcPr>
            <w:tcW w:w="0" w:type="auto"/>
            <w:shd w:val="clear" w:color="auto" w:fill="auto"/>
          </w:tcPr>
          <w:p w14:paraId="1D026EB9" w14:textId="77777777" w:rsidR="004421F6" w:rsidRDefault="004421F6">
            <w:pPr>
              <w:rPr>
                <w:rFonts w:ascii="宋体"/>
              </w:rPr>
            </w:pPr>
          </w:p>
        </w:tc>
        <w:tc>
          <w:tcPr>
            <w:tcW w:w="0" w:type="auto"/>
            <w:shd w:val="clear" w:color="auto" w:fill="auto"/>
          </w:tcPr>
          <w:p w14:paraId="1D026EBA" w14:textId="77777777" w:rsidR="004421F6" w:rsidRDefault="004421F6">
            <w:pPr>
              <w:rPr>
                <w:rFonts w:ascii="宋体"/>
              </w:rPr>
            </w:pPr>
          </w:p>
        </w:tc>
        <w:tc>
          <w:tcPr>
            <w:tcW w:w="0" w:type="auto"/>
            <w:shd w:val="clear" w:color="auto" w:fill="auto"/>
          </w:tcPr>
          <w:p w14:paraId="1D026EBB" w14:textId="77777777" w:rsidR="004421F6" w:rsidRDefault="004421F6">
            <w:pPr>
              <w:rPr>
                <w:rFonts w:ascii="宋体"/>
              </w:rPr>
            </w:pPr>
          </w:p>
        </w:tc>
        <w:tc>
          <w:tcPr>
            <w:tcW w:w="0" w:type="auto"/>
            <w:shd w:val="clear" w:color="auto" w:fill="auto"/>
          </w:tcPr>
          <w:p w14:paraId="1D026EBC" w14:textId="77777777" w:rsidR="004421F6" w:rsidRDefault="004421F6">
            <w:pPr>
              <w:rPr>
                <w:rFonts w:ascii="宋体"/>
              </w:rPr>
            </w:pPr>
          </w:p>
        </w:tc>
        <w:tc>
          <w:tcPr>
            <w:tcW w:w="0" w:type="auto"/>
            <w:shd w:val="clear" w:color="auto" w:fill="auto"/>
          </w:tcPr>
          <w:p w14:paraId="1D026EBD" w14:textId="77777777" w:rsidR="004421F6" w:rsidRDefault="004421F6">
            <w:pPr>
              <w:rPr>
                <w:rFonts w:ascii="宋体"/>
              </w:rPr>
            </w:pPr>
          </w:p>
        </w:tc>
        <w:tc>
          <w:tcPr>
            <w:tcW w:w="0" w:type="auto"/>
            <w:shd w:val="clear" w:color="auto" w:fill="auto"/>
          </w:tcPr>
          <w:p w14:paraId="1D026EBE" w14:textId="77777777" w:rsidR="004421F6" w:rsidRDefault="004421F6">
            <w:pPr>
              <w:rPr>
                <w:rFonts w:ascii="宋体"/>
              </w:rPr>
            </w:pPr>
          </w:p>
        </w:tc>
        <w:tc>
          <w:tcPr>
            <w:tcW w:w="0" w:type="auto"/>
            <w:shd w:val="clear" w:color="auto" w:fill="auto"/>
          </w:tcPr>
          <w:p w14:paraId="1D026EBF" w14:textId="77777777" w:rsidR="004421F6" w:rsidRDefault="004421F6">
            <w:pPr>
              <w:rPr>
                <w:rFonts w:ascii="宋体"/>
              </w:rPr>
            </w:pPr>
          </w:p>
        </w:tc>
      </w:tr>
    </w:tbl>
    <w:p w14:paraId="1D026EC1" w14:textId="77777777" w:rsidR="004421F6" w:rsidRDefault="00F15622">
      <w:pPr>
        <w:spacing w:before="120"/>
      </w:pPr>
      <w:r>
        <w:rPr>
          <w:rFonts w:ascii="sans-serif" w:eastAsia="sans-serif" w:hAnsi="sans-serif" w:cs="sans-serif"/>
          <w:b/>
          <w:bCs/>
          <w:color w:val="808080"/>
          <w:sz w:val="22"/>
          <w:szCs w:val="22"/>
        </w:rPr>
        <w:t>FIRST QUARTER OF FISCAL 2021 COMPARED TO FIRST QUARTER OF FISCAL 2020</w:t>
      </w:r>
    </w:p>
    <w:p w14:paraId="1D026EC2" w14:textId="77777777" w:rsidR="004421F6" w:rsidRDefault="00F15622">
      <w:pPr>
        <w:spacing w:after="120"/>
      </w:pPr>
      <w:r>
        <w:rPr>
          <w:rFonts w:ascii="Arial" w:eastAsia="宋体" w:hAnsi="Arial" w:cs="Arial"/>
          <w:color w:val="000000"/>
          <w:sz w:val="17"/>
          <w:szCs w:val="17"/>
        </w:rPr>
        <w:t>On a currency-neutral basis, Greater China revenues for the first quarter of fiscal 2021 increased 8% due to higher revenues in nearly all key categories, led by Sportswear</w:t>
      </w:r>
      <w:r>
        <w:rPr>
          <w:rFonts w:ascii="Arial" w:eastAsia="宋体" w:hAnsi="Arial" w:cs="Arial"/>
          <w:color w:val="000000"/>
          <w:sz w:val="17"/>
          <w:szCs w:val="17"/>
        </w:rPr>
        <w:t xml:space="preserve"> and the Jordan Brand. NIKE Direct revenues increased 21% due to digital commerce sales growth of 28%, comparable store sales growth of 13% and the addition of new stores.</w:t>
      </w:r>
    </w:p>
    <w:p w14:paraId="1D026EC3" w14:textId="77777777" w:rsidR="004421F6" w:rsidRDefault="00F15622">
      <w:pPr>
        <w:spacing w:before="120" w:after="120"/>
      </w:pPr>
      <w:r>
        <w:rPr>
          <w:rFonts w:ascii="Arial" w:eastAsia="宋体" w:hAnsi="Arial" w:cs="Arial"/>
          <w:color w:val="000000"/>
          <w:sz w:val="17"/>
          <w:szCs w:val="17"/>
        </w:rPr>
        <w:t>Currency-neutral footwear revenues increased 10% for the first quarter of fiscal 202</w:t>
      </w:r>
      <w:r>
        <w:rPr>
          <w:rFonts w:ascii="Arial" w:eastAsia="宋体" w:hAnsi="Arial" w:cs="Arial"/>
          <w:color w:val="000000"/>
          <w:sz w:val="17"/>
          <w:szCs w:val="17"/>
        </w:rPr>
        <w:t>1 driven by higher revenues in most key categories, primarily Sportswear, the Jordan Brand and NIKE Basketball. Unit sales of footwear increased 19% while lower ASP per pair reduced footwear revenues by approximately 9 percentage points, driven by lower NI</w:t>
      </w:r>
      <w:r>
        <w:rPr>
          <w:rFonts w:ascii="Arial" w:eastAsia="宋体" w:hAnsi="Arial" w:cs="Arial"/>
          <w:color w:val="000000"/>
          <w:sz w:val="17"/>
          <w:szCs w:val="17"/>
        </w:rPr>
        <w:t>KE Direct ASP and unfavorable full-price mix.</w:t>
      </w:r>
    </w:p>
    <w:p w14:paraId="1D026EC4" w14:textId="77777777" w:rsidR="004421F6" w:rsidRDefault="00F15622">
      <w:pPr>
        <w:spacing w:before="120" w:after="120"/>
      </w:pPr>
      <w:r>
        <w:rPr>
          <w:rFonts w:ascii="Arial" w:eastAsia="宋体" w:hAnsi="Arial" w:cs="Arial"/>
          <w:color w:val="000000"/>
          <w:sz w:val="17"/>
          <w:szCs w:val="17"/>
        </w:rPr>
        <w:t>Currency-neutral apparel revenues grew 5% for the first quarter of fiscal 2021 due to higher revenues in most key categories, led by Sportswear. Unit sales of apparel increased 11% while lower ASP per unit redu</w:t>
      </w:r>
      <w:r>
        <w:rPr>
          <w:rFonts w:ascii="Arial" w:eastAsia="宋体" w:hAnsi="Arial" w:cs="Arial"/>
          <w:color w:val="000000"/>
          <w:sz w:val="17"/>
          <w:szCs w:val="17"/>
        </w:rPr>
        <w:t>ced apparel revenues by approximately 6 percentage points as unfavorable full-price mix, as well as lower full-price and NIKE Direct ASPs, more than offset higher off-price ASP.</w:t>
      </w:r>
    </w:p>
    <w:p w14:paraId="1D026EC5" w14:textId="77777777" w:rsidR="004421F6" w:rsidRDefault="00F15622">
      <w:pPr>
        <w:spacing w:before="120" w:after="120"/>
      </w:pPr>
      <w:r>
        <w:rPr>
          <w:rFonts w:ascii="Arial" w:eastAsia="宋体" w:hAnsi="Arial" w:cs="Arial"/>
          <w:color w:val="000000"/>
          <w:sz w:val="17"/>
          <w:szCs w:val="17"/>
        </w:rPr>
        <w:t>Reported EBIT increased 3% for the first quarter of fiscal 2021 as higher reve</w:t>
      </w:r>
      <w:r>
        <w:rPr>
          <w:rFonts w:ascii="Arial" w:eastAsia="宋体" w:hAnsi="Arial" w:cs="Arial"/>
          <w:color w:val="000000"/>
          <w:sz w:val="17"/>
          <w:szCs w:val="17"/>
        </w:rPr>
        <w:t>nues and lower selling and administrative expense more than offset a decline in gross margin. Gross margin decreased 530 basis points reflecting lower margin in our NIKE Direct business driven by higher promotions to reduce excess inventory, unfavorable ch</w:t>
      </w:r>
      <w:r>
        <w:rPr>
          <w:rFonts w:ascii="Arial" w:eastAsia="宋体" w:hAnsi="Arial" w:cs="Arial"/>
          <w:color w:val="000000"/>
          <w:sz w:val="17"/>
          <w:szCs w:val="17"/>
        </w:rPr>
        <w:t>anges in standard foreign currency exchange rates, higher product costs and unfavorable full-price mix. Selling and administrative expense decreased due to lower demand creation expense, while operating overhead expense was relatively flat. Demand creation</w:t>
      </w:r>
      <w:r>
        <w:rPr>
          <w:rFonts w:ascii="Arial" w:eastAsia="宋体" w:hAnsi="Arial" w:cs="Arial"/>
          <w:color w:val="000000"/>
          <w:sz w:val="17"/>
          <w:szCs w:val="17"/>
        </w:rPr>
        <w:t xml:space="preserve"> expense decreased primarily due to lower advertising and marketing expenses. Operating overhead expense was relatively unchanged as lower travel and related expenses were offset by increases in other administrative costs.</w:t>
      </w:r>
    </w:p>
    <w:p w14:paraId="1D026EC6" w14:textId="77777777" w:rsidR="004421F6" w:rsidRDefault="00F15622">
      <w:pPr>
        <w:spacing w:before="120" w:after="120"/>
      </w:pPr>
      <w:r>
        <w:rPr>
          <w:rFonts w:ascii="Arial" w:eastAsia="宋体" w:hAnsi="Arial" w:cs="Arial"/>
          <w:color w:val="E87722"/>
          <w:sz w:val="17"/>
          <w:szCs w:val="17"/>
        </w:rPr>
        <w:t>30</w:t>
      </w:r>
      <w:r>
        <w:rPr>
          <w:rFonts w:ascii="sans-serif" w:eastAsia="sans-serif" w:hAnsi="sans-serif" w:cs="sans-serif"/>
          <w:color w:val="000000"/>
          <w:sz w:val="17"/>
          <w:szCs w:val="17"/>
        </w:rPr>
        <w:t xml:space="preserve"> </w:t>
      </w:r>
    </w:p>
    <w:p w14:paraId="1D026EC7" w14:textId="77777777" w:rsidR="004421F6" w:rsidRDefault="00F15622">
      <w:r>
        <w:pict w14:anchorId="1D027299">
          <v:rect id="_x0000_i1056" style="width:415.3pt;height:1.5pt" o:hralign="center" o:hrstd="t" o:hr="t" fillcolor="#a0a0a0" stroked="f"/>
        </w:pict>
      </w:r>
    </w:p>
    <w:p w14:paraId="1D026EC8" w14:textId="77777777" w:rsidR="004421F6" w:rsidRDefault="004421F6"/>
    <w:p w14:paraId="1D026EC9" w14:textId="77777777" w:rsidR="004421F6" w:rsidRDefault="00F15622">
      <w:hyperlink r:id="rId101" w:anchor="i3e524f2e23844e81ba9d33a05ac3917c_7" w:history="1">
        <w:r>
          <w:rPr>
            <w:rStyle w:val="a5"/>
            <w:rFonts w:ascii="sans-serif" w:eastAsia="sans-serif" w:hAnsi="sans-serif" w:cs="sans-serif"/>
            <w:sz w:val="17"/>
            <w:szCs w:val="17"/>
          </w:rPr>
          <w:t>Table of Contents</w:t>
        </w:r>
      </w:hyperlink>
    </w:p>
    <w:p w14:paraId="1D026ECA" w14:textId="77777777" w:rsidR="004421F6" w:rsidRDefault="004421F6"/>
    <w:p w14:paraId="1D026ECB" w14:textId="77777777" w:rsidR="004421F6" w:rsidRDefault="00F15622">
      <w:pPr>
        <w:spacing w:before="240" w:after="120"/>
      </w:pPr>
      <w:r>
        <w:rPr>
          <w:rFonts w:ascii="sans-serif" w:eastAsia="sans-serif" w:hAnsi="sans-serif" w:cs="sans-serif"/>
          <w:b/>
          <w:bCs/>
          <w:color w:val="000000"/>
          <w:sz w:val="28"/>
          <w:szCs w:val="28"/>
        </w:rPr>
        <w:t>ASIA PACIFIC &amp; LATIN AMERICA</w:t>
      </w:r>
    </w:p>
    <w:tbl>
      <w:tblPr>
        <w:tblW w:w="5000" w:type="pct"/>
        <w:tblCellMar>
          <w:top w:w="15" w:type="dxa"/>
          <w:left w:w="15" w:type="dxa"/>
          <w:bottom w:w="15" w:type="dxa"/>
          <w:right w:w="15" w:type="dxa"/>
        </w:tblCellMar>
        <w:tblLook w:val="04A0" w:firstRow="1" w:lastRow="0" w:firstColumn="1" w:lastColumn="0" w:noHBand="0" w:noVBand="1"/>
      </w:tblPr>
      <w:tblGrid>
        <w:gridCol w:w="52"/>
        <w:gridCol w:w="3805"/>
        <w:gridCol w:w="36"/>
        <w:gridCol w:w="130"/>
        <w:gridCol w:w="845"/>
        <w:gridCol w:w="41"/>
        <w:gridCol w:w="130"/>
        <w:gridCol w:w="845"/>
        <w:gridCol w:w="41"/>
        <w:gridCol w:w="52"/>
        <w:gridCol w:w="804"/>
        <w:gridCol w:w="187"/>
        <w:gridCol w:w="70"/>
        <w:gridCol w:w="787"/>
        <w:gridCol w:w="187"/>
        <w:gridCol w:w="36"/>
        <w:gridCol w:w="36"/>
        <w:gridCol w:w="36"/>
        <w:gridCol w:w="36"/>
        <w:gridCol w:w="36"/>
        <w:gridCol w:w="36"/>
        <w:gridCol w:w="36"/>
        <w:gridCol w:w="36"/>
        <w:gridCol w:w="36"/>
      </w:tblGrid>
      <w:tr w:rsidR="004421F6" w14:paraId="1D026EDB" w14:textId="77777777">
        <w:trPr>
          <w:gridAfter w:val="9"/>
        </w:trPr>
        <w:tc>
          <w:tcPr>
            <w:tcW w:w="50" w:type="pct"/>
            <w:shd w:val="clear" w:color="auto" w:fill="auto"/>
          </w:tcPr>
          <w:p w14:paraId="1D026ECC" w14:textId="77777777" w:rsidR="004421F6" w:rsidRDefault="004421F6">
            <w:pPr>
              <w:rPr>
                <w:rFonts w:ascii="宋体"/>
              </w:rPr>
            </w:pPr>
          </w:p>
        </w:tc>
        <w:tc>
          <w:tcPr>
            <w:tcW w:w="2445" w:type="pct"/>
            <w:shd w:val="clear" w:color="auto" w:fill="auto"/>
          </w:tcPr>
          <w:p w14:paraId="1D026ECD" w14:textId="77777777" w:rsidR="004421F6" w:rsidRDefault="004421F6">
            <w:pPr>
              <w:rPr>
                <w:rFonts w:ascii="宋体"/>
              </w:rPr>
            </w:pPr>
          </w:p>
        </w:tc>
        <w:tc>
          <w:tcPr>
            <w:tcW w:w="5" w:type="pct"/>
            <w:shd w:val="clear" w:color="auto" w:fill="auto"/>
          </w:tcPr>
          <w:p w14:paraId="1D026ECE" w14:textId="77777777" w:rsidR="004421F6" w:rsidRDefault="004421F6">
            <w:pPr>
              <w:rPr>
                <w:rFonts w:ascii="宋体"/>
              </w:rPr>
            </w:pPr>
          </w:p>
        </w:tc>
        <w:tc>
          <w:tcPr>
            <w:tcW w:w="50" w:type="pct"/>
            <w:shd w:val="clear" w:color="auto" w:fill="auto"/>
          </w:tcPr>
          <w:p w14:paraId="1D026ECF" w14:textId="77777777" w:rsidR="004421F6" w:rsidRDefault="004421F6">
            <w:pPr>
              <w:rPr>
                <w:rFonts w:ascii="宋体"/>
              </w:rPr>
            </w:pPr>
          </w:p>
        </w:tc>
        <w:tc>
          <w:tcPr>
            <w:tcW w:w="570" w:type="pct"/>
            <w:shd w:val="clear" w:color="auto" w:fill="auto"/>
          </w:tcPr>
          <w:p w14:paraId="1D026ED0" w14:textId="77777777" w:rsidR="004421F6" w:rsidRDefault="004421F6">
            <w:pPr>
              <w:rPr>
                <w:rFonts w:ascii="宋体"/>
              </w:rPr>
            </w:pPr>
          </w:p>
        </w:tc>
        <w:tc>
          <w:tcPr>
            <w:tcW w:w="5" w:type="pct"/>
            <w:shd w:val="clear" w:color="auto" w:fill="auto"/>
          </w:tcPr>
          <w:p w14:paraId="1D026ED1" w14:textId="77777777" w:rsidR="004421F6" w:rsidRDefault="004421F6">
            <w:pPr>
              <w:rPr>
                <w:rFonts w:ascii="宋体"/>
              </w:rPr>
            </w:pPr>
          </w:p>
        </w:tc>
        <w:tc>
          <w:tcPr>
            <w:tcW w:w="50" w:type="pct"/>
            <w:shd w:val="clear" w:color="auto" w:fill="auto"/>
          </w:tcPr>
          <w:p w14:paraId="1D026ED2" w14:textId="77777777" w:rsidR="004421F6" w:rsidRDefault="004421F6">
            <w:pPr>
              <w:rPr>
                <w:rFonts w:ascii="宋体"/>
              </w:rPr>
            </w:pPr>
          </w:p>
        </w:tc>
        <w:tc>
          <w:tcPr>
            <w:tcW w:w="570" w:type="pct"/>
            <w:shd w:val="clear" w:color="auto" w:fill="auto"/>
          </w:tcPr>
          <w:p w14:paraId="1D026ED3" w14:textId="77777777" w:rsidR="004421F6" w:rsidRDefault="004421F6">
            <w:pPr>
              <w:rPr>
                <w:rFonts w:ascii="宋体"/>
              </w:rPr>
            </w:pPr>
          </w:p>
        </w:tc>
        <w:tc>
          <w:tcPr>
            <w:tcW w:w="5" w:type="pct"/>
            <w:shd w:val="clear" w:color="auto" w:fill="auto"/>
          </w:tcPr>
          <w:p w14:paraId="1D026ED4" w14:textId="77777777" w:rsidR="004421F6" w:rsidRDefault="004421F6">
            <w:pPr>
              <w:rPr>
                <w:rFonts w:ascii="宋体"/>
              </w:rPr>
            </w:pPr>
          </w:p>
        </w:tc>
        <w:tc>
          <w:tcPr>
            <w:tcW w:w="50" w:type="pct"/>
            <w:shd w:val="clear" w:color="auto" w:fill="auto"/>
          </w:tcPr>
          <w:p w14:paraId="1D026ED5" w14:textId="77777777" w:rsidR="004421F6" w:rsidRDefault="004421F6">
            <w:pPr>
              <w:rPr>
                <w:rFonts w:ascii="宋体"/>
              </w:rPr>
            </w:pPr>
          </w:p>
        </w:tc>
        <w:tc>
          <w:tcPr>
            <w:tcW w:w="570" w:type="pct"/>
            <w:shd w:val="clear" w:color="auto" w:fill="auto"/>
          </w:tcPr>
          <w:p w14:paraId="1D026ED6" w14:textId="77777777" w:rsidR="004421F6" w:rsidRDefault="004421F6">
            <w:pPr>
              <w:rPr>
                <w:rFonts w:ascii="宋体"/>
              </w:rPr>
            </w:pPr>
          </w:p>
        </w:tc>
        <w:tc>
          <w:tcPr>
            <w:tcW w:w="5" w:type="pct"/>
            <w:shd w:val="clear" w:color="auto" w:fill="auto"/>
          </w:tcPr>
          <w:p w14:paraId="1D026ED7" w14:textId="77777777" w:rsidR="004421F6" w:rsidRDefault="004421F6">
            <w:pPr>
              <w:rPr>
                <w:rFonts w:ascii="宋体"/>
              </w:rPr>
            </w:pPr>
          </w:p>
        </w:tc>
        <w:tc>
          <w:tcPr>
            <w:tcW w:w="50" w:type="pct"/>
            <w:shd w:val="clear" w:color="auto" w:fill="auto"/>
          </w:tcPr>
          <w:p w14:paraId="1D026ED8" w14:textId="77777777" w:rsidR="004421F6" w:rsidRDefault="004421F6">
            <w:pPr>
              <w:rPr>
                <w:rFonts w:ascii="宋体"/>
              </w:rPr>
            </w:pPr>
          </w:p>
        </w:tc>
        <w:tc>
          <w:tcPr>
            <w:tcW w:w="570" w:type="pct"/>
            <w:shd w:val="clear" w:color="auto" w:fill="auto"/>
          </w:tcPr>
          <w:p w14:paraId="1D026ED9" w14:textId="77777777" w:rsidR="004421F6" w:rsidRDefault="004421F6">
            <w:pPr>
              <w:rPr>
                <w:rFonts w:ascii="宋体"/>
              </w:rPr>
            </w:pPr>
          </w:p>
        </w:tc>
        <w:tc>
          <w:tcPr>
            <w:tcW w:w="5" w:type="pct"/>
            <w:shd w:val="clear" w:color="auto" w:fill="auto"/>
          </w:tcPr>
          <w:p w14:paraId="1D026EDA" w14:textId="77777777" w:rsidR="004421F6" w:rsidRDefault="004421F6">
            <w:pPr>
              <w:rPr>
                <w:rFonts w:ascii="宋体"/>
              </w:rPr>
            </w:pPr>
          </w:p>
        </w:tc>
      </w:tr>
      <w:tr w:rsidR="004421F6" w14:paraId="1D026EE1" w14:textId="77777777">
        <w:tc>
          <w:tcPr>
            <w:tcW w:w="0" w:type="auto"/>
            <w:gridSpan w:val="3"/>
            <w:shd w:val="clear" w:color="auto" w:fill="auto"/>
            <w:tcMar>
              <w:left w:w="20" w:type="dxa"/>
              <w:right w:w="20" w:type="dxa"/>
            </w:tcMar>
            <w:vAlign w:val="bottom"/>
          </w:tcPr>
          <w:p w14:paraId="1D026EDC" w14:textId="77777777" w:rsidR="004421F6" w:rsidRDefault="004421F6">
            <w:pPr>
              <w:rPr>
                <w:rFonts w:ascii="宋体"/>
              </w:rPr>
            </w:pPr>
          </w:p>
        </w:tc>
        <w:tc>
          <w:tcPr>
            <w:tcW w:w="0" w:type="auto"/>
            <w:gridSpan w:val="12"/>
            <w:shd w:val="clear" w:color="auto" w:fill="auto"/>
            <w:tcMar>
              <w:top w:w="40" w:type="dxa"/>
              <w:left w:w="20" w:type="dxa"/>
              <w:bottom w:w="40" w:type="dxa"/>
              <w:right w:w="20" w:type="dxa"/>
            </w:tcMar>
            <w:vAlign w:val="bottom"/>
          </w:tcPr>
          <w:p w14:paraId="1D026EDD"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6EDE" w14:textId="77777777" w:rsidR="004421F6" w:rsidRDefault="004421F6">
            <w:pPr>
              <w:rPr>
                <w:rFonts w:ascii="宋体"/>
                <w:vanish/>
              </w:rPr>
            </w:pPr>
          </w:p>
        </w:tc>
        <w:tc>
          <w:tcPr>
            <w:tcW w:w="0" w:type="auto"/>
            <w:gridSpan w:val="3"/>
            <w:shd w:val="clear" w:color="auto" w:fill="auto"/>
          </w:tcPr>
          <w:p w14:paraId="1D026EDF" w14:textId="77777777" w:rsidR="004421F6" w:rsidRDefault="004421F6">
            <w:pPr>
              <w:rPr>
                <w:rFonts w:ascii="宋体"/>
                <w:vanish/>
              </w:rPr>
            </w:pPr>
          </w:p>
        </w:tc>
        <w:tc>
          <w:tcPr>
            <w:tcW w:w="0" w:type="auto"/>
            <w:gridSpan w:val="3"/>
            <w:shd w:val="clear" w:color="auto" w:fill="auto"/>
          </w:tcPr>
          <w:p w14:paraId="1D026EE0" w14:textId="77777777" w:rsidR="004421F6" w:rsidRDefault="004421F6">
            <w:pPr>
              <w:rPr>
                <w:rFonts w:ascii="宋体"/>
                <w:vanish/>
              </w:rPr>
            </w:pPr>
          </w:p>
        </w:tc>
      </w:tr>
      <w:tr w:rsidR="004421F6" w14:paraId="1D026EF0" w14:textId="77777777">
        <w:tc>
          <w:tcPr>
            <w:tcW w:w="0" w:type="auto"/>
            <w:gridSpan w:val="3"/>
            <w:shd w:val="clear" w:color="auto" w:fill="auto"/>
            <w:tcMar>
              <w:top w:w="40" w:type="dxa"/>
              <w:left w:w="20" w:type="dxa"/>
              <w:bottom w:w="40" w:type="dxa"/>
              <w:right w:w="20" w:type="dxa"/>
            </w:tcMar>
            <w:vAlign w:val="bottom"/>
          </w:tcPr>
          <w:p w14:paraId="1D026EE2"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EE3"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EE4"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EE5" w14:textId="77777777" w:rsidR="004421F6" w:rsidRDefault="00F1562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EE6" w14:textId="77777777" w:rsidR="004421F6" w:rsidRDefault="00F15622">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tcPr>
          <w:p w14:paraId="1D026EE7" w14:textId="77777777" w:rsidR="004421F6" w:rsidRDefault="004421F6">
            <w:pPr>
              <w:rPr>
                <w:rFonts w:ascii="宋体"/>
              </w:rPr>
            </w:pPr>
          </w:p>
        </w:tc>
        <w:tc>
          <w:tcPr>
            <w:tcW w:w="0" w:type="auto"/>
            <w:shd w:val="clear" w:color="auto" w:fill="auto"/>
          </w:tcPr>
          <w:p w14:paraId="1D026EE8" w14:textId="77777777" w:rsidR="004421F6" w:rsidRDefault="004421F6">
            <w:pPr>
              <w:rPr>
                <w:rFonts w:ascii="宋体"/>
              </w:rPr>
            </w:pPr>
          </w:p>
        </w:tc>
        <w:tc>
          <w:tcPr>
            <w:tcW w:w="0" w:type="auto"/>
            <w:shd w:val="clear" w:color="auto" w:fill="auto"/>
          </w:tcPr>
          <w:p w14:paraId="1D026EE9" w14:textId="77777777" w:rsidR="004421F6" w:rsidRDefault="004421F6">
            <w:pPr>
              <w:rPr>
                <w:rFonts w:ascii="宋体"/>
              </w:rPr>
            </w:pPr>
          </w:p>
        </w:tc>
        <w:tc>
          <w:tcPr>
            <w:tcW w:w="0" w:type="auto"/>
            <w:shd w:val="clear" w:color="auto" w:fill="auto"/>
          </w:tcPr>
          <w:p w14:paraId="1D026EEA" w14:textId="77777777" w:rsidR="004421F6" w:rsidRDefault="004421F6">
            <w:pPr>
              <w:rPr>
                <w:rFonts w:ascii="宋体"/>
              </w:rPr>
            </w:pPr>
          </w:p>
        </w:tc>
        <w:tc>
          <w:tcPr>
            <w:tcW w:w="0" w:type="auto"/>
            <w:shd w:val="clear" w:color="auto" w:fill="auto"/>
          </w:tcPr>
          <w:p w14:paraId="1D026EEB" w14:textId="77777777" w:rsidR="004421F6" w:rsidRDefault="004421F6">
            <w:pPr>
              <w:rPr>
                <w:rFonts w:ascii="宋体"/>
              </w:rPr>
            </w:pPr>
          </w:p>
        </w:tc>
        <w:tc>
          <w:tcPr>
            <w:tcW w:w="0" w:type="auto"/>
            <w:shd w:val="clear" w:color="auto" w:fill="auto"/>
          </w:tcPr>
          <w:p w14:paraId="1D026EEC" w14:textId="77777777" w:rsidR="004421F6" w:rsidRDefault="004421F6">
            <w:pPr>
              <w:rPr>
                <w:rFonts w:ascii="宋体"/>
              </w:rPr>
            </w:pPr>
          </w:p>
        </w:tc>
        <w:tc>
          <w:tcPr>
            <w:tcW w:w="0" w:type="auto"/>
            <w:shd w:val="clear" w:color="auto" w:fill="auto"/>
          </w:tcPr>
          <w:p w14:paraId="1D026EED" w14:textId="77777777" w:rsidR="004421F6" w:rsidRDefault="004421F6">
            <w:pPr>
              <w:rPr>
                <w:rFonts w:ascii="宋体"/>
              </w:rPr>
            </w:pPr>
          </w:p>
        </w:tc>
        <w:tc>
          <w:tcPr>
            <w:tcW w:w="0" w:type="auto"/>
            <w:shd w:val="clear" w:color="auto" w:fill="auto"/>
          </w:tcPr>
          <w:p w14:paraId="1D026EEE" w14:textId="77777777" w:rsidR="004421F6" w:rsidRDefault="004421F6">
            <w:pPr>
              <w:rPr>
                <w:rFonts w:ascii="宋体"/>
              </w:rPr>
            </w:pPr>
          </w:p>
        </w:tc>
        <w:tc>
          <w:tcPr>
            <w:tcW w:w="0" w:type="auto"/>
            <w:shd w:val="clear" w:color="auto" w:fill="auto"/>
          </w:tcPr>
          <w:p w14:paraId="1D026EEF" w14:textId="77777777" w:rsidR="004421F6" w:rsidRDefault="004421F6">
            <w:pPr>
              <w:rPr>
                <w:rFonts w:ascii="宋体"/>
              </w:rPr>
            </w:pPr>
          </w:p>
        </w:tc>
      </w:tr>
      <w:tr w:rsidR="004421F6" w14:paraId="1D026EF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EF1" w14:textId="77777777" w:rsidR="004421F6" w:rsidRDefault="00F1562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left w:w="20" w:type="dxa"/>
              <w:right w:w="20" w:type="dxa"/>
            </w:tcMar>
            <w:vAlign w:val="bottom"/>
          </w:tcPr>
          <w:p w14:paraId="1D026EF2"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EF3"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EF4"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EF5" w14:textId="77777777" w:rsidR="004421F6" w:rsidRDefault="004421F6">
            <w:pPr>
              <w:rPr>
                <w:rFonts w:ascii="宋体"/>
              </w:rPr>
            </w:pPr>
          </w:p>
        </w:tc>
        <w:tc>
          <w:tcPr>
            <w:tcW w:w="0" w:type="auto"/>
            <w:shd w:val="clear" w:color="auto" w:fill="auto"/>
          </w:tcPr>
          <w:p w14:paraId="1D026EF6" w14:textId="77777777" w:rsidR="004421F6" w:rsidRDefault="004421F6">
            <w:pPr>
              <w:rPr>
                <w:rFonts w:ascii="宋体"/>
              </w:rPr>
            </w:pPr>
          </w:p>
        </w:tc>
        <w:tc>
          <w:tcPr>
            <w:tcW w:w="0" w:type="auto"/>
            <w:shd w:val="clear" w:color="auto" w:fill="auto"/>
          </w:tcPr>
          <w:p w14:paraId="1D026EF7" w14:textId="77777777" w:rsidR="004421F6" w:rsidRDefault="004421F6">
            <w:pPr>
              <w:rPr>
                <w:rFonts w:ascii="宋体"/>
              </w:rPr>
            </w:pPr>
          </w:p>
        </w:tc>
        <w:tc>
          <w:tcPr>
            <w:tcW w:w="0" w:type="auto"/>
            <w:shd w:val="clear" w:color="auto" w:fill="auto"/>
          </w:tcPr>
          <w:p w14:paraId="1D026EF8" w14:textId="77777777" w:rsidR="004421F6" w:rsidRDefault="004421F6">
            <w:pPr>
              <w:rPr>
                <w:rFonts w:ascii="宋体"/>
              </w:rPr>
            </w:pPr>
          </w:p>
        </w:tc>
        <w:tc>
          <w:tcPr>
            <w:tcW w:w="0" w:type="auto"/>
            <w:shd w:val="clear" w:color="auto" w:fill="auto"/>
          </w:tcPr>
          <w:p w14:paraId="1D026EF9" w14:textId="77777777" w:rsidR="004421F6" w:rsidRDefault="004421F6">
            <w:pPr>
              <w:rPr>
                <w:rFonts w:ascii="宋体"/>
              </w:rPr>
            </w:pPr>
          </w:p>
        </w:tc>
        <w:tc>
          <w:tcPr>
            <w:tcW w:w="0" w:type="auto"/>
            <w:shd w:val="clear" w:color="auto" w:fill="auto"/>
          </w:tcPr>
          <w:p w14:paraId="1D026EFA" w14:textId="77777777" w:rsidR="004421F6" w:rsidRDefault="004421F6">
            <w:pPr>
              <w:rPr>
                <w:rFonts w:ascii="宋体"/>
              </w:rPr>
            </w:pPr>
          </w:p>
        </w:tc>
        <w:tc>
          <w:tcPr>
            <w:tcW w:w="0" w:type="auto"/>
            <w:shd w:val="clear" w:color="auto" w:fill="auto"/>
          </w:tcPr>
          <w:p w14:paraId="1D026EFB" w14:textId="77777777" w:rsidR="004421F6" w:rsidRDefault="004421F6">
            <w:pPr>
              <w:rPr>
                <w:rFonts w:ascii="宋体"/>
              </w:rPr>
            </w:pPr>
          </w:p>
        </w:tc>
        <w:tc>
          <w:tcPr>
            <w:tcW w:w="0" w:type="auto"/>
            <w:shd w:val="clear" w:color="auto" w:fill="auto"/>
          </w:tcPr>
          <w:p w14:paraId="1D026EFC" w14:textId="77777777" w:rsidR="004421F6" w:rsidRDefault="004421F6">
            <w:pPr>
              <w:rPr>
                <w:rFonts w:ascii="宋体"/>
              </w:rPr>
            </w:pPr>
          </w:p>
        </w:tc>
        <w:tc>
          <w:tcPr>
            <w:tcW w:w="0" w:type="auto"/>
            <w:shd w:val="clear" w:color="auto" w:fill="auto"/>
          </w:tcPr>
          <w:p w14:paraId="1D026EFD" w14:textId="77777777" w:rsidR="004421F6" w:rsidRDefault="004421F6">
            <w:pPr>
              <w:rPr>
                <w:rFonts w:ascii="宋体"/>
              </w:rPr>
            </w:pPr>
          </w:p>
        </w:tc>
        <w:tc>
          <w:tcPr>
            <w:tcW w:w="0" w:type="auto"/>
            <w:shd w:val="clear" w:color="auto" w:fill="auto"/>
          </w:tcPr>
          <w:p w14:paraId="1D026EFE" w14:textId="77777777" w:rsidR="004421F6" w:rsidRDefault="004421F6">
            <w:pPr>
              <w:rPr>
                <w:rFonts w:ascii="宋体"/>
              </w:rPr>
            </w:pPr>
          </w:p>
        </w:tc>
      </w:tr>
      <w:tr w:rsidR="004421F6" w14:paraId="1D026F14"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F00" w14:textId="77777777" w:rsidR="004421F6" w:rsidRDefault="00F1562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tcMar>
            <w:vAlign w:val="bottom"/>
          </w:tcPr>
          <w:p w14:paraId="1D026F01"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F02" w14:textId="77777777" w:rsidR="004421F6" w:rsidRDefault="00F15622">
            <w:pPr>
              <w:jc w:val="right"/>
              <w:textAlignment w:val="bottom"/>
            </w:pPr>
            <w:r>
              <w:rPr>
                <w:rFonts w:ascii="Arial" w:eastAsia="宋体" w:hAnsi="Arial" w:cs="Arial"/>
                <w:color w:val="000000"/>
                <w:sz w:val="17"/>
                <w:szCs w:val="17"/>
              </w:rPr>
              <w:t>758 </w:t>
            </w:r>
          </w:p>
        </w:tc>
        <w:tc>
          <w:tcPr>
            <w:tcW w:w="0" w:type="auto"/>
            <w:tcBorders>
              <w:top w:val="single" w:sz="8" w:space="0" w:color="808080"/>
            </w:tcBorders>
            <w:shd w:val="clear" w:color="auto" w:fill="FFF1E7"/>
            <w:tcMar>
              <w:top w:w="40" w:type="dxa"/>
              <w:bottom w:w="40" w:type="dxa"/>
              <w:right w:w="20" w:type="dxa"/>
            </w:tcMar>
            <w:vAlign w:val="bottom"/>
          </w:tcPr>
          <w:p w14:paraId="1D026F03"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F04"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F05" w14:textId="77777777" w:rsidR="004421F6" w:rsidRDefault="00F15622">
            <w:pPr>
              <w:jc w:val="right"/>
              <w:textAlignment w:val="bottom"/>
            </w:pPr>
            <w:r>
              <w:rPr>
                <w:rFonts w:ascii="Arial" w:eastAsia="宋体" w:hAnsi="Arial" w:cs="Arial"/>
                <w:color w:val="000000"/>
                <w:sz w:val="17"/>
                <w:szCs w:val="17"/>
              </w:rPr>
              <w:t>930 </w:t>
            </w:r>
          </w:p>
        </w:tc>
        <w:tc>
          <w:tcPr>
            <w:tcW w:w="0" w:type="auto"/>
            <w:tcBorders>
              <w:top w:val="single" w:sz="8" w:space="0" w:color="808080"/>
            </w:tcBorders>
            <w:shd w:val="clear" w:color="auto" w:fill="auto"/>
            <w:tcMar>
              <w:top w:w="40" w:type="dxa"/>
              <w:bottom w:w="40" w:type="dxa"/>
              <w:right w:w="20" w:type="dxa"/>
            </w:tcMar>
            <w:vAlign w:val="bottom"/>
          </w:tcPr>
          <w:p w14:paraId="1D026F06"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F07" w14:textId="77777777" w:rsidR="004421F6" w:rsidRDefault="00F15622">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auto"/>
            <w:tcMar>
              <w:top w:w="40" w:type="dxa"/>
              <w:bottom w:w="40" w:type="dxa"/>
              <w:right w:w="20" w:type="dxa"/>
            </w:tcMar>
            <w:vAlign w:val="bottom"/>
          </w:tcPr>
          <w:p w14:paraId="1D026F08"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F09" w14:textId="77777777" w:rsidR="004421F6" w:rsidRDefault="00F1562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bottom w:w="40" w:type="dxa"/>
              <w:right w:w="20" w:type="dxa"/>
            </w:tcMar>
            <w:vAlign w:val="bottom"/>
          </w:tcPr>
          <w:p w14:paraId="1D026F0A"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F0B" w14:textId="77777777" w:rsidR="004421F6" w:rsidRDefault="004421F6">
            <w:pPr>
              <w:rPr>
                <w:rFonts w:ascii="宋体"/>
              </w:rPr>
            </w:pPr>
          </w:p>
        </w:tc>
        <w:tc>
          <w:tcPr>
            <w:tcW w:w="0" w:type="auto"/>
            <w:shd w:val="clear" w:color="auto" w:fill="auto"/>
          </w:tcPr>
          <w:p w14:paraId="1D026F0C" w14:textId="77777777" w:rsidR="004421F6" w:rsidRDefault="004421F6">
            <w:pPr>
              <w:rPr>
                <w:rFonts w:ascii="宋体"/>
              </w:rPr>
            </w:pPr>
          </w:p>
        </w:tc>
        <w:tc>
          <w:tcPr>
            <w:tcW w:w="0" w:type="auto"/>
            <w:shd w:val="clear" w:color="auto" w:fill="auto"/>
          </w:tcPr>
          <w:p w14:paraId="1D026F0D" w14:textId="77777777" w:rsidR="004421F6" w:rsidRDefault="004421F6">
            <w:pPr>
              <w:rPr>
                <w:rFonts w:ascii="宋体"/>
              </w:rPr>
            </w:pPr>
          </w:p>
        </w:tc>
        <w:tc>
          <w:tcPr>
            <w:tcW w:w="0" w:type="auto"/>
            <w:shd w:val="clear" w:color="auto" w:fill="auto"/>
          </w:tcPr>
          <w:p w14:paraId="1D026F0E" w14:textId="77777777" w:rsidR="004421F6" w:rsidRDefault="004421F6">
            <w:pPr>
              <w:rPr>
                <w:rFonts w:ascii="宋体"/>
              </w:rPr>
            </w:pPr>
          </w:p>
        </w:tc>
        <w:tc>
          <w:tcPr>
            <w:tcW w:w="0" w:type="auto"/>
            <w:shd w:val="clear" w:color="auto" w:fill="auto"/>
          </w:tcPr>
          <w:p w14:paraId="1D026F0F" w14:textId="77777777" w:rsidR="004421F6" w:rsidRDefault="004421F6">
            <w:pPr>
              <w:rPr>
                <w:rFonts w:ascii="宋体"/>
              </w:rPr>
            </w:pPr>
          </w:p>
        </w:tc>
        <w:tc>
          <w:tcPr>
            <w:tcW w:w="0" w:type="auto"/>
            <w:shd w:val="clear" w:color="auto" w:fill="auto"/>
          </w:tcPr>
          <w:p w14:paraId="1D026F10" w14:textId="77777777" w:rsidR="004421F6" w:rsidRDefault="004421F6">
            <w:pPr>
              <w:rPr>
                <w:rFonts w:ascii="宋体"/>
              </w:rPr>
            </w:pPr>
          </w:p>
        </w:tc>
        <w:tc>
          <w:tcPr>
            <w:tcW w:w="0" w:type="auto"/>
            <w:shd w:val="clear" w:color="auto" w:fill="auto"/>
          </w:tcPr>
          <w:p w14:paraId="1D026F11" w14:textId="77777777" w:rsidR="004421F6" w:rsidRDefault="004421F6">
            <w:pPr>
              <w:rPr>
                <w:rFonts w:ascii="宋体"/>
              </w:rPr>
            </w:pPr>
          </w:p>
        </w:tc>
        <w:tc>
          <w:tcPr>
            <w:tcW w:w="0" w:type="auto"/>
            <w:shd w:val="clear" w:color="auto" w:fill="auto"/>
          </w:tcPr>
          <w:p w14:paraId="1D026F12" w14:textId="77777777" w:rsidR="004421F6" w:rsidRDefault="004421F6">
            <w:pPr>
              <w:rPr>
                <w:rFonts w:ascii="宋体"/>
              </w:rPr>
            </w:pPr>
          </w:p>
        </w:tc>
        <w:tc>
          <w:tcPr>
            <w:tcW w:w="0" w:type="auto"/>
            <w:shd w:val="clear" w:color="auto" w:fill="auto"/>
          </w:tcPr>
          <w:p w14:paraId="1D026F13" w14:textId="77777777" w:rsidR="004421F6" w:rsidRDefault="004421F6">
            <w:pPr>
              <w:rPr>
                <w:rFonts w:ascii="宋体"/>
              </w:rPr>
            </w:pPr>
          </w:p>
        </w:tc>
      </w:tr>
      <w:tr w:rsidR="004421F6" w14:paraId="1D026F27"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F15" w14:textId="77777777" w:rsidR="004421F6" w:rsidRDefault="00F1562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F16" w14:textId="77777777" w:rsidR="004421F6" w:rsidRDefault="00F15622">
            <w:pPr>
              <w:jc w:val="right"/>
              <w:textAlignment w:val="bottom"/>
            </w:pPr>
            <w:r>
              <w:rPr>
                <w:rFonts w:ascii="Arial" w:eastAsia="宋体" w:hAnsi="Arial" w:cs="Arial"/>
                <w:color w:val="000000"/>
                <w:sz w:val="17"/>
                <w:szCs w:val="17"/>
              </w:rPr>
              <w:t>301 </w:t>
            </w:r>
          </w:p>
        </w:tc>
        <w:tc>
          <w:tcPr>
            <w:tcW w:w="0" w:type="auto"/>
            <w:tcBorders>
              <w:top w:val="single" w:sz="8" w:space="0" w:color="808080"/>
            </w:tcBorders>
            <w:shd w:val="clear" w:color="auto" w:fill="FFF1E7"/>
            <w:tcMar>
              <w:top w:w="40" w:type="dxa"/>
              <w:bottom w:w="40" w:type="dxa"/>
              <w:right w:w="20" w:type="dxa"/>
            </w:tcMar>
            <w:vAlign w:val="bottom"/>
          </w:tcPr>
          <w:p w14:paraId="1D026F17"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F18" w14:textId="77777777" w:rsidR="004421F6" w:rsidRDefault="00F15622">
            <w:pPr>
              <w:jc w:val="right"/>
              <w:textAlignment w:val="bottom"/>
            </w:pPr>
            <w:r>
              <w:rPr>
                <w:rFonts w:ascii="Arial" w:eastAsia="宋体" w:hAnsi="Arial" w:cs="Arial"/>
                <w:color w:val="000000"/>
                <w:sz w:val="17"/>
                <w:szCs w:val="17"/>
              </w:rPr>
              <w:t>356 </w:t>
            </w:r>
          </w:p>
        </w:tc>
        <w:tc>
          <w:tcPr>
            <w:tcW w:w="0" w:type="auto"/>
            <w:tcBorders>
              <w:top w:val="single" w:sz="8" w:space="0" w:color="808080"/>
            </w:tcBorders>
            <w:shd w:val="clear" w:color="auto" w:fill="auto"/>
            <w:tcMar>
              <w:top w:w="40" w:type="dxa"/>
              <w:bottom w:w="40" w:type="dxa"/>
              <w:right w:w="20" w:type="dxa"/>
            </w:tcMar>
            <w:vAlign w:val="bottom"/>
          </w:tcPr>
          <w:p w14:paraId="1D026F19"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F1A" w14:textId="77777777" w:rsidR="004421F6" w:rsidRDefault="00F15622">
            <w:pPr>
              <w:jc w:val="right"/>
              <w:textAlignment w:val="bottom"/>
            </w:pPr>
            <w:r>
              <w:rPr>
                <w:rFonts w:ascii="Arial" w:eastAsia="宋体" w:hAnsi="Arial" w:cs="Arial"/>
                <w:color w:val="000000"/>
                <w:sz w:val="17"/>
                <w:szCs w:val="17"/>
              </w:rPr>
              <w:t>-15 </w:t>
            </w:r>
          </w:p>
        </w:tc>
        <w:tc>
          <w:tcPr>
            <w:tcW w:w="0" w:type="auto"/>
            <w:tcBorders>
              <w:top w:val="single" w:sz="8" w:space="0" w:color="808080"/>
            </w:tcBorders>
            <w:shd w:val="clear" w:color="auto" w:fill="auto"/>
            <w:tcMar>
              <w:top w:w="40" w:type="dxa"/>
              <w:bottom w:w="40" w:type="dxa"/>
              <w:right w:w="20" w:type="dxa"/>
            </w:tcMar>
            <w:vAlign w:val="bottom"/>
          </w:tcPr>
          <w:p w14:paraId="1D026F1B"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F1C" w14:textId="77777777" w:rsidR="004421F6" w:rsidRDefault="00F15622">
            <w:pPr>
              <w:jc w:val="right"/>
              <w:textAlignment w:val="bottom"/>
            </w:pPr>
            <w:r>
              <w:rPr>
                <w:rFonts w:ascii="Arial" w:eastAsia="宋体" w:hAnsi="Arial" w:cs="Arial"/>
                <w:color w:val="000000"/>
                <w:sz w:val="17"/>
                <w:szCs w:val="17"/>
              </w:rPr>
              <w:t>-10 </w:t>
            </w:r>
          </w:p>
        </w:tc>
        <w:tc>
          <w:tcPr>
            <w:tcW w:w="0" w:type="auto"/>
            <w:tcBorders>
              <w:top w:val="single" w:sz="8" w:space="0" w:color="808080"/>
            </w:tcBorders>
            <w:shd w:val="clear" w:color="auto" w:fill="auto"/>
            <w:tcMar>
              <w:top w:w="40" w:type="dxa"/>
              <w:bottom w:w="40" w:type="dxa"/>
              <w:right w:w="20" w:type="dxa"/>
            </w:tcMar>
            <w:vAlign w:val="bottom"/>
          </w:tcPr>
          <w:p w14:paraId="1D026F1D"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F1E" w14:textId="77777777" w:rsidR="004421F6" w:rsidRDefault="004421F6">
            <w:pPr>
              <w:rPr>
                <w:rFonts w:ascii="宋体"/>
              </w:rPr>
            </w:pPr>
          </w:p>
        </w:tc>
        <w:tc>
          <w:tcPr>
            <w:tcW w:w="0" w:type="auto"/>
            <w:shd w:val="clear" w:color="auto" w:fill="auto"/>
          </w:tcPr>
          <w:p w14:paraId="1D026F1F" w14:textId="77777777" w:rsidR="004421F6" w:rsidRDefault="004421F6">
            <w:pPr>
              <w:rPr>
                <w:rFonts w:ascii="宋体"/>
              </w:rPr>
            </w:pPr>
          </w:p>
        </w:tc>
        <w:tc>
          <w:tcPr>
            <w:tcW w:w="0" w:type="auto"/>
            <w:shd w:val="clear" w:color="auto" w:fill="auto"/>
          </w:tcPr>
          <w:p w14:paraId="1D026F20" w14:textId="77777777" w:rsidR="004421F6" w:rsidRDefault="004421F6">
            <w:pPr>
              <w:rPr>
                <w:rFonts w:ascii="宋体"/>
              </w:rPr>
            </w:pPr>
          </w:p>
        </w:tc>
        <w:tc>
          <w:tcPr>
            <w:tcW w:w="0" w:type="auto"/>
            <w:shd w:val="clear" w:color="auto" w:fill="auto"/>
          </w:tcPr>
          <w:p w14:paraId="1D026F21" w14:textId="77777777" w:rsidR="004421F6" w:rsidRDefault="004421F6">
            <w:pPr>
              <w:rPr>
                <w:rFonts w:ascii="宋体"/>
              </w:rPr>
            </w:pPr>
          </w:p>
        </w:tc>
        <w:tc>
          <w:tcPr>
            <w:tcW w:w="0" w:type="auto"/>
            <w:shd w:val="clear" w:color="auto" w:fill="auto"/>
          </w:tcPr>
          <w:p w14:paraId="1D026F22" w14:textId="77777777" w:rsidR="004421F6" w:rsidRDefault="004421F6">
            <w:pPr>
              <w:rPr>
                <w:rFonts w:ascii="宋体"/>
              </w:rPr>
            </w:pPr>
          </w:p>
        </w:tc>
        <w:tc>
          <w:tcPr>
            <w:tcW w:w="0" w:type="auto"/>
            <w:shd w:val="clear" w:color="auto" w:fill="auto"/>
          </w:tcPr>
          <w:p w14:paraId="1D026F23" w14:textId="77777777" w:rsidR="004421F6" w:rsidRDefault="004421F6">
            <w:pPr>
              <w:rPr>
                <w:rFonts w:ascii="宋体"/>
              </w:rPr>
            </w:pPr>
          </w:p>
        </w:tc>
        <w:tc>
          <w:tcPr>
            <w:tcW w:w="0" w:type="auto"/>
            <w:shd w:val="clear" w:color="auto" w:fill="auto"/>
          </w:tcPr>
          <w:p w14:paraId="1D026F24" w14:textId="77777777" w:rsidR="004421F6" w:rsidRDefault="004421F6">
            <w:pPr>
              <w:rPr>
                <w:rFonts w:ascii="宋体"/>
              </w:rPr>
            </w:pPr>
          </w:p>
        </w:tc>
        <w:tc>
          <w:tcPr>
            <w:tcW w:w="0" w:type="auto"/>
            <w:shd w:val="clear" w:color="auto" w:fill="auto"/>
          </w:tcPr>
          <w:p w14:paraId="1D026F25" w14:textId="77777777" w:rsidR="004421F6" w:rsidRDefault="004421F6">
            <w:pPr>
              <w:rPr>
                <w:rFonts w:ascii="宋体"/>
              </w:rPr>
            </w:pPr>
          </w:p>
        </w:tc>
        <w:tc>
          <w:tcPr>
            <w:tcW w:w="0" w:type="auto"/>
            <w:shd w:val="clear" w:color="auto" w:fill="auto"/>
          </w:tcPr>
          <w:p w14:paraId="1D026F26" w14:textId="77777777" w:rsidR="004421F6" w:rsidRDefault="004421F6">
            <w:pPr>
              <w:rPr>
                <w:rFonts w:ascii="宋体"/>
              </w:rPr>
            </w:pPr>
          </w:p>
        </w:tc>
      </w:tr>
      <w:tr w:rsidR="004421F6" w14:paraId="1D026F3A"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F28" w14:textId="77777777" w:rsidR="004421F6" w:rsidRDefault="00F1562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F29" w14:textId="77777777" w:rsidR="004421F6" w:rsidRDefault="00F15622">
            <w:pPr>
              <w:jc w:val="right"/>
              <w:textAlignment w:val="bottom"/>
            </w:pPr>
            <w:r>
              <w:rPr>
                <w:rFonts w:ascii="Arial" w:eastAsia="宋体" w:hAnsi="Arial" w:cs="Arial"/>
                <w:color w:val="000000"/>
                <w:sz w:val="17"/>
                <w:szCs w:val="17"/>
              </w:rPr>
              <w:t>40 </w:t>
            </w:r>
          </w:p>
        </w:tc>
        <w:tc>
          <w:tcPr>
            <w:tcW w:w="0" w:type="auto"/>
            <w:tcBorders>
              <w:top w:val="single" w:sz="8" w:space="0" w:color="808080"/>
            </w:tcBorders>
            <w:shd w:val="clear" w:color="auto" w:fill="FFF1E7"/>
            <w:tcMar>
              <w:top w:w="40" w:type="dxa"/>
              <w:bottom w:w="40" w:type="dxa"/>
              <w:right w:w="20" w:type="dxa"/>
            </w:tcMar>
            <w:vAlign w:val="bottom"/>
          </w:tcPr>
          <w:p w14:paraId="1D026F2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F2B" w14:textId="77777777" w:rsidR="004421F6" w:rsidRDefault="00F15622">
            <w:pPr>
              <w:jc w:val="right"/>
              <w:textAlignment w:val="bottom"/>
            </w:pPr>
            <w:r>
              <w:rPr>
                <w:rFonts w:ascii="Arial" w:eastAsia="宋体" w:hAnsi="Arial" w:cs="Arial"/>
                <w:color w:val="000000"/>
                <w:sz w:val="17"/>
                <w:szCs w:val="17"/>
              </w:rPr>
              <w:t>59 </w:t>
            </w:r>
          </w:p>
        </w:tc>
        <w:tc>
          <w:tcPr>
            <w:tcW w:w="0" w:type="auto"/>
            <w:tcBorders>
              <w:top w:val="single" w:sz="8" w:space="0" w:color="808080"/>
            </w:tcBorders>
            <w:shd w:val="clear" w:color="auto" w:fill="auto"/>
            <w:tcMar>
              <w:top w:w="40" w:type="dxa"/>
              <w:bottom w:w="40" w:type="dxa"/>
              <w:right w:w="20" w:type="dxa"/>
            </w:tcMar>
            <w:vAlign w:val="bottom"/>
          </w:tcPr>
          <w:p w14:paraId="1D026F2C"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F2D" w14:textId="77777777" w:rsidR="004421F6" w:rsidRDefault="00F15622">
            <w:pPr>
              <w:jc w:val="right"/>
              <w:textAlignment w:val="bottom"/>
            </w:pPr>
            <w:r>
              <w:rPr>
                <w:rFonts w:ascii="Arial" w:eastAsia="宋体" w:hAnsi="Arial" w:cs="Arial"/>
                <w:color w:val="000000"/>
                <w:sz w:val="17"/>
                <w:szCs w:val="17"/>
              </w:rPr>
              <w:t>-32 </w:t>
            </w:r>
          </w:p>
        </w:tc>
        <w:tc>
          <w:tcPr>
            <w:tcW w:w="0" w:type="auto"/>
            <w:tcBorders>
              <w:top w:val="single" w:sz="8" w:space="0" w:color="808080"/>
            </w:tcBorders>
            <w:shd w:val="clear" w:color="auto" w:fill="auto"/>
            <w:tcMar>
              <w:top w:w="40" w:type="dxa"/>
              <w:bottom w:w="40" w:type="dxa"/>
              <w:right w:w="20" w:type="dxa"/>
            </w:tcMar>
            <w:vAlign w:val="bottom"/>
          </w:tcPr>
          <w:p w14:paraId="1D026F2E"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F2F" w14:textId="77777777" w:rsidR="004421F6" w:rsidRDefault="00F15622">
            <w:pPr>
              <w:jc w:val="right"/>
              <w:textAlignment w:val="bottom"/>
            </w:pPr>
            <w:r>
              <w:rPr>
                <w:rFonts w:ascii="Arial" w:eastAsia="宋体" w:hAnsi="Arial" w:cs="Arial"/>
                <w:color w:val="000000"/>
                <w:sz w:val="17"/>
                <w:szCs w:val="17"/>
              </w:rPr>
              <w:t>-28 </w:t>
            </w:r>
          </w:p>
        </w:tc>
        <w:tc>
          <w:tcPr>
            <w:tcW w:w="0" w:type="auto"/>
            <w:tcBorders>
              <w:top w:val="single" w:sz="8" w:space="0" w:color="808080"/>
            </w:tcBorders>
            <w:shd w:val="clear" w:color="auto" w:fill="auto"/>
            <w:tcMar>
              <w:top w:w="40" w:type="dxa"/>
              <w:bottom w:w="40" w:type="dxa"/>
              <w:right w:w="20" w:type="dxa"/>
            </w:tcMar>
            <w:vAlign w:val="bottom"/>
          </w:tcPr>
          <w:p w14:paraId="1D026F30"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F31" w14:textId="77777777" w:rsidR="004421F6" w:rsidRDefault="004421F6">
            <w:pPr>
              <w:rPr>
                <w:rFonts w:ascii="宋体"/>
              </w:rPr>
            </w:pPr>
          </w:p>
        </w:tc>
        <w:tc>
          <w:tcPr>
            <w:tcW w:w="0" w:type="auto"/>
            <w:shd w:val="clear" w:color="auto" w:fill="auto"/>
          </w:tcPr>
          <w:p w14:paraId="1D026F32" w14:textId="77777777" w:rsidR="004421F6" w:rsidRDefault="004421F6">
            <w:pPr>
              <w:rPr>
                <w:rFonts w:ascii="宋体"/>
              </w:rPr>
            </w:pPr>
          </w:p>
        </w:tc>
        <w:tc>
          <w:tcPr>
            <w:tcW w:w="0" w:type="auto"/>
            <w:shd w:val="clear" w:color="auto" w:fill="auto"/>
          </w:tcPr>
          <w:p w14:paraId="1D026F33" w14:textId="77777777" w:rsidR="004421F6" w:rsidRDefault="004421F6">
            <w:pPr>
              <w:rPr>
                <w:rFonts w:ascii="宋体"/>
              </w:rPr>
            </w:pPr>
          </w:p>
        </w:tc>
        <w:tc>
          <w:tcPr>
            <w:tcW w:w="0" w:type="auto"/>
            <w:shd w:val="clear" w:color="auto" w:fill="auto"/>
          </w:tcPr>
          <w:p w14:paraId="1D026F34" w14:textId="77777777" w:rsidR="004421F6" w:rsidRDefault="004421F6">
            <w:pPr>
              <w:rPr>
                <w:rFonts w:ascii="宋体"/>
              </w:rPr>
            </w:pPr>
          </w:p>
        </w:tc>
        <w:tc>
          <w:tcPr>
            <w:tcW w:w="0" w:type="auto"/>
            <w:shd w:val="clear" w:color="auto" w:fill="auto"/>
          </w:tcPr>
          <w:p w14:paraId="1D026F35" w14:textId="77777777" w:rsidR="004421F6" w:rsidRDefault="004421F6">
            <w:pPr>
              <w:rPr>
                <w:rFonts w:ascii="宋体"/>
              </w:rPr>
            </w:pPr>
          </w:p>
        </w:tc>
        <w:tc>
          <w:tcPr>
            <w:tcW w:w="0" w:type="auto"/>
            <w:shd w:val="clear" w:color="auto" w:fill="auto"/>
          </w:tcPr>
          <w:p w14:paraId="1D026F36" w14:textId="77777777" w:rsidR="004421F6" w:rsidRDefault="004421F6">
            <w:pPr>
              <w:rPr>
                <w:rFonts w:ascii="宋体"/>
              </w:rPr>
            </w:pPr>
          </w:p>
        </w:tc>
        <w:tc>
          <w:tcPr>
            <w:tcW w:w="0" w:type="auto"/>
            <w:shd w:val="clear" w:color="auto" w:fill="auto"/>
          </w:tcPr>
          <w:p w14:paraId="1D026F37" w14:textId="77777777" w:rsidR="004421F6" w:rsidRDefault="004421F6">
            <w:pPr>
              <w:rPr>
                <w:rFonts w:ascii="宋体"/>
              </w:rPr>
            </w:pPr>
          </w:p>
        </w:tc>
        <w:tc>
          <w:tcPr>
            <w:tcW w:w="0" w:type="auto"/>
            <w:shd w:val="clear" w:color="auto" w:fill="auto"/>
          </w:tcPr>
          <w:p w14:paraId="1D026F38" w14:textId="77777777" w:rsidR="004421F6" w:rsidRDefault="004421F6">
            <w:pPr>
              <w:rPr>
                <w:rFonts w:ascii="宋体"/>
              </w:rPr>
            </w:pPr>
          </w:p>
        </w:tc>
        <w:tc>
          <w:tcPr>
            <w:tcW w:w="0" w:type="auto"/>
            <w:shd w:val="clear" w:color="auto" w:fill="auto"/>
          </w:tcPr>
          <w:p w14:paraId="1D026F39" w14:textId="77777777" w:rsidR="004421F6" w:rsidRDefault="004421F6">
            <w:pPr>
              <w:rPr>
                <w:rFonts w:ascii="宋体"/>
              </w:rPr>
            </w:pPr>
          </w:p>
        </w:tc>
      </w:tr>
      <w:tr w:rsidR="004421F6" w14:paraId="1D026F4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F3B" w14:textId="77777777" w:rsidR="004421F6" w:rsidRDefault="00F1562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tcMar>
            <w:vAlign w:val="bottom"/>
          </w:tcPr>
          <w:p w14:paraId="1D026F3C"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F3D" w14:textId="77777777" w:rsidR="004421F6" w:rsidRDefault="00F15622">
            <w:pPr>
              <w:jc w:val="right"/>
              <w:textAlignment w:val="bottom"/>
            </w:pPr>
            <w:r>
              <w:rPr>
                <w:rFonts w:ascii="Arial" w:eastAsia="宋体" w:hAnsi="Arial" w:cs="Arial"/>
                <w:b/>
                <w:bCs/>
                <w:color w:val="000000"/>
                <w:sz w:val="17"/>
                <w:szCs w:val="17"/>
              </w:rPr>
              <w:t>1,099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F3E"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F3F"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F40" w14:textId="77777777" w:rsidR="004421F6" w:rsidRDefault="00F15622">
            <w:pPr>
              <w:jc w:val="right"/>
              <w:textAlignment w:val="bottom"/>
            </w:pPr>
            <w:r>
              <w:rPr>
                <w:rFonts w:ascii="Arial" w:eastAsia="宋体" w:hAnsi="Arial" w:cs="Arial"/>
                <w:b/>
                <w:bCs/>
                <w:color w:val="000000"/>
                <w:sz w:val="17"/>
                <w:szCs w:val="17"/>
              </w:rPr>
              <w:t>1,345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F41"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F42" w14:textId="77777777" w:rsidR="004421F6" w:rsidRDefault="00F15622">
            <w:pPr>
              <w:jc w:val="right"/>
              <w:textAlignment w:val="bottom"/>
            </w:pPr>
            <w:r>
              <w:rPr>
                <w:rFonts w:ascii="Arial" w:eastAsia="宋体" w:hAnsi="Arial" w:cs="Arial"/>
                <w:b/>
                <w:bCs/>
                <w:color w:val="000000"/>
                <w:sz w:val="17"/>
                <w:szCs w:val="17"/>
              </w:rPr>
              <w:t>-18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F43"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F44" w14:textId="77777777" w:rsidR="004421F6" w:rsidRDefault="00F15622">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F45"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6F46" w14:textId="77777777" w:rsidR="004421F6" w:rsidRDefault="004421F6">
            <w:pPr>
              <w:rPr>
                <w:rFonts w:ascii="宋体"/>
              </w:rPr>
            </w:pPr>
          </w:p>
        </w:tc>
        <w:tc>
          <w:tcPr>
            <w:tcW w:w="0" w:type="auto"/>
            <w:shd w:val="clear" w:color="auto" w:fill="auto"/>
          </w:tcPr>
          <w:p w14:paraId="1D026F47" w14:textId="77777777" w:rsidR="004421F6" w:rsidRDefault="004421F6">
            <w:pPr>
              <w:rPr>
                <w:rFonts w:ascii="宋体"/>
              </w:rPr>
            </w:pPr>
          </w:p>
        </w:tc>
        <w:tc>
          <w:tcPr>
            <w:tcW w:w="0" w:type="auto"/>
            <w:shd w:val="clear" w:color="auto" w:fill="auto"/>
          </w:tcPr>
          <w:p w14:paraId="1D026F48" w14:textId="77777777" w:rsidR="004421F6" w:rsidRDefault="004421F6">
            <w:pPr>
              <w:rPr>
                <w:rFonts w:ascii="宋体"/>
              </w:rPr>
            </w:pPr>
          </w:p>
        </w:tc>
        <w:tc>
          <w:tcPr>
            <w:tcW w:w="0" w:type="auto"/>
            <w:shd w:val="clear" w:color="auto" w:fill="auto"/>
          </w:tcPr>
          <w:p w14:paraId="1D026F49" w14:textId="77777777" w:rsidR="004421F6" w:rsidRDefault="004421F6">
            <w:pPr>
              <w:rPr>
                <w:rFonts w:ascii="宋体"/>
              </w:rPr>
            </w:pPr>
          </w:p>
        </w:tc>
        <w:tc>
          <w:tcPr>
            <w:tcW w:w="0" w:type="auto"/>
            <w:shd w:val="clear" w:color="auto" w:fill="auto"/>
          </w:tcPr>
          <w:p w14:paraId="1D026F4A" w14:textId="77777777" w:rsidR="004421F6" w:rsidRDefault="004421F6">
            <w:pPr>
              <w:rPr>
                <w:rFonts w:ascii="宋体"/>
              </w:rPr>
            </w:pPr>
          </w:p>
        </w:tc>
        <w:tc>
          <w:tcPr>
            <w:tcW w:w="0" w:type="auto"/>
            <w:shd w:val="clear" w:color="auto" w:fill="auto"/>
          </w:tcPr>
          <w:p w14:paraId="1D026F4B" w14:textId="77777777" w:rsidR="004421F6" w:rsidRDefault="004421F6">
            <w:pPr>
              <w:rPr>
                <w:rFonts w:ascii="宋体"/>
              </w:rPr>
            </w:pPr>
          </w:p>
        </w:tc>
        <w:tc>
          <w:tcPr>
            <w:tcW w:w="0" w:type="auto"/>
            <w:shd w:val="clear" w:color="auto" w:fill="auto"/>
          </w:tcPr>
          <w:p w14:paraId="1D026F4C" w14:textId="77777777" w:rsidR="004421F6" w:rsidRDefault="004421F6">
            <w:pPr>
              <w:rPr>
                <w:rFonts w:ascii="宋体"/>
              </w:rPr>
            </w:pPr>
          </w:p>
        </w:tc>
        <w:tc>
          <w:tcPr>
            <w:tcW w:w="0" w:type="auto"/>
            <w:shd w:val="clear" w:color="auto" w:fill="auto"/>
          </w:tcPr>
          <w:p w14:paraId="1D026F4D" w14:textId="77777777" w:rsidR="004421F6" w:rsidRDefault="004421F6">
            <w:pPr>
              <w:rPr>
                <w:rFonts w:ascii="宋体"/>
              </w:rPr>
            </w:pPr>
          </w:p>
        </w:tc>
        <w:tc>
          <w:tcPr>
            <w:tcW w:w="0" w:type="auto"/>
            <w:shd w:val="clear" w:color="auto" w:fill="auto"/>
          </w:tcPr>
          <w:p w14:paraId="1D026F4E" w14:textId="77777777" w:rsidR="004421F6" w:rsidRDefault="004421F6">
            <w:pPr>
              <w:rPr>
                <w:rFonts w:ascii="宋体"/>
              </w:rPr>
            </w:pPr>
          </w:p>
        </w:tc>
      </w:tr>
      <w:tr w:rsidR="004421F6" w14:paraId="1D026F5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F50" w14:textId="77777777" w:rsidR="004421F6" w:rsidRDefault="00F1562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left w:w="20" w:type="dxa"/>
              <w:right w:w="20" w:type="dxa"/>
            </w:tcMar>
            <w:vAlign w:val="bottom"/>
          </w:tcPr>
          <w:p w14:paraId="1D026F51"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F52"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F53"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6F54" w14:textId="77777777" w:rsidR="004421F6" w:rsidRDefault="004421F6">
            <w:pPr>
              <w:rPr>
                <w:rFonts w:ascii="宋体"/>
              </w:rPr>
            </w:pPr>
          </w:p>
        </w:tc>
        <w:tc>
          <w:tcPr>
            <w:tcW w:w="0" w:type="auto"/>
            <w:shd w:val="clear" w:color="auto" w:fill="auto"/>
          </w:tcPr>
          <w:p w14:paraId="1D026F55" w14:textId="77777777" w:rsidR="004421F6" w:rsidRDefault="004421F6">
            <w:pPr>
              <w:rPr>
                <w:rFonts w:ascii="宋体"/>
              </w:rPr>
            </w:pPr>
          </w:p>
        </w:tc>
        <w:tc>
          <w:tcPr>
            <w:tcW w:w="0" w:type="auto"/>
            <w:shd w:val="clear" w:color="auto" w:fill="auto"/>
          </w:tcPr>
          <w:p w14:paraId="1D026F56" w14:textId="77777777" w:rsidR="004421F6" w:rsidRDefault="004421F6">
            <w:pPr>
              <w:rPr>
                <w:rFonts w:ascii="宋体"/>
              </w:rPr>
            </w:pPr>
          </w:p>
        </w:tc>
        <w:tc>
          <w:tcPr>
            <w:tcW w:w="0" w:type="auto"/>
            <w:shd w:val="clear" w:color="auto" w:fill="auto"/>
          </w:tcPr>
          <w:p w14:paraId="1D026F57" w14:textId="77777777" w:rsidR="004421F6" w:rsidRDefault="004421F6">
            <w:pPr>
              <w:rPr>
                <w:rFonts w:ascii="宋体"/>
              </w:rPr>
            </w:pPr>
          </w:p>
        </w:tc>
        <w:tc>
          <w:tcPr>
            <w:tcW w:w="0" w:type="auto"/>
            <w:shd w:val="clear" w:color="auto" w:fill="auto"/>
          </w:tcPr>
          <w:p w14:paraId="1D026F58" w14:textId="77777777" w:rsidR="004421F6" w:rsidRDefault="004421F6">
            <w:pPr>
              <w:rPr>
                <w:rFonts w:ascii="宋体"/>
              </w:rPr>
            </w:pPr>
          </w:p>
        </w:tc>
        <w:tc>
          <w:tcPr>
            <w:tcW w:w="0" w:type="auto"/>
            <w:shd w:val="clear" w:color="auto" w:fill="auto"/>
          </w:tcPr>
          <w:p w14:paraId="1D026F59" w14:textId="77777777" w:rsidR="004421F6" w:rsidRDefault="004421F6">
            <w:pPr>
              <w:rPr>
                <w:rFonts w:ascii="宋体"/>
              </w:rPr>
            </w:pPr>
          </w:p>
        </w:tc>
        <w:tc>
          <w:tcPr>
            <w:tcW w:w="0" w:type="auto"/>
            <w:shd w:val="clear" w:color="auto" w:fill="auto"/>
          </w:tcPr>
          <w:p w14:paraId="1D026F5A" w14:textId="77777777" w:rsidR="004421F6" w:rsidRDefault="004421F6">
            <w:pPr>
              <w:rPr>
                <w:rFonts w:ascii="宋体"/>
              </w:rPr>
            </w:pPr>
          </w:p>
        </w:tc>
        <w:tc>
          <w:tcPr>
            <w:tcW w:w="0" w:type="auto"/>
            <w:shd w:val="clear" w:color="auto" w:fill="auto"/>
          </w:tcPr>
          <w:p w14:paraId="1D026F5B" w14:textId="77777777" w:rsidR="004421F6" w:rsidRDefault="004421F6">
            <w:pPr>
              <w:rPr>
                <w:rFonts w:ascii="宋体"/>
              </w:rPr>
            </w:pPr>
          </w:p>
        </w:tc>
        <w:tc>
          <w:tcPr>
            <w:tcW w:w="0" w:type="auto"/>
            <w:shd w:val="clear" w:color="auto" w:fill="auto"/>
          </w:tcPr>
          <w:p w14:paraId="1D026F5C" w14:textId="77777777" w:rsidR="004421F6" w:rsidRDefault="004421F6">
            <w:pPr>
              <w:rPr>
                <w:rFonts w:ascii="宋体"/>
              </w:rPr>
            </w:pPr>
          </w:p>
        </w:tc>
        <w:tc>
          <w:tcPr>
            <w:tcW w:w="0" w:type="auto"/>
            <w:shd w:val="clear" w:color="auto" w:fill="auto"/>
          </w:tcPr>
          <w:p w14:paraId="1D026F5D" w14:textId="77777777" w:rsidR="004421F6" w:rsidRDefault="004421F6">
            <w:pPr>
              <w:rPr>
                <w:rFonts w:ascii="宋体"/>
              </w:rPr>
            </w:pPr>
          </w:p>
        </w:tc>
      </w:tr>
      <w:tr w:rsidR="004421F6" w14:paraId="1D026F73"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F5F" w14:textId="77777777" w:rsidR="004421F6" w:rsidRDefault="00F1562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tcMar>
            <w:vAlign w:val="bottom"/>
          </w:tcPr>
          <w:p w14:paraId="1D026F60"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6F61" w14:textId="77777777" w:rsidR="004421F6" w:rsidRDefault="00F15622">
            <w:pPr>
              <w:jc w:val="right"/>
              <w:textAlignment w:val="bottom"/>
            </w:pPr>
            <w:r>
              <w:rPr>
                <w:rFonts w:ascii="Arial" w:eastAsia="宋体" w:hAnsi="Arial" w:cs="Arial"/>
                <w:color w:val="000000"/>
                <w:sz w:val="17"/>
                <w:szCs w:val="17"/>
              </w:rPr>
              <w:t>708 </w:t>
            </w:r>
          </w:p>
        </w:tc>
        <w:tc>
          <w:tcPr>
            <w:tcW w:w="0" w:type="auto"/>
            <w:tcBorders>
              <w:top w:val="single" w:sz="8" w:space="0" w:color="808080"/>
            </w:tcBorders>
            <w:shd w:val="clear" w:color="auto" w:fill="FFF1E7"/>
            <w:tcMar>
              <w:top w:w="40" w:type="dxa"/>
              <w:bottom w:w="40" w:type="dxa"/>
              <w:right w:w="20" w:type="dxa"/>
            </w:tcMar>
            <w:vAlign w:val="bottom"/>
          </w:tcPr>
          <w:p w14:paraId="1D026F62"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6F63"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6F64" w14:textId="77777777" w:rsidR="004421F6" w:rsidRDefault="00F15622">
            <w:pPr>
              <w:jc w:val="right"/>
              <w:textAlignment w:val="bottom"/>
            </w:pPr>
            <w:r>
              <w:rPr>
                <w:rFonts w:ascii="Arial" w:eastAsia="宋体" w:hAnsi="Arial" w:cs="Arial"/>
                <w:color w:val="000000"/>
                <w:sz w:val="17"/>
                <w:szCs w:val="17"/>
              </w:rPr>
              <w:t>950 </w:t>
            </w:r>
          </w:p>
        </w:tc>
        <w:tc>
          <w:tcPr>
            <w:tcW w:w="0" w:type="auto"/>
            <w:tcBorders>
              <w:top w:val="single" w:sz="8" w:space="0" w:color="808080"/>
            </w:tcBorders>
            <w:shd w:val="clear" w:color="auto" w:fill="auto"/>
            <w:tcMar>
              <w:top w:w="40" w:type="dxa"/>
              <w:bottom w:w="40" w:type="dxa"/>
              <w:right w:w="20" w:type="dxa"/>
            </w:tcMar>
            <w:vAlign w:val="bottom"/>
          </w:tcPr>
          <w:p w14:paraId="1D026F65"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F66" w14:textId="77777777" w:rsidR="004421F6" w:rsidRDefault="00F15622">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bottom w:w="40" w:type="dxa"/>
              <w:right w:w="20" w:type="dxa"/>
            </w:tcMar>
            <w:vAlign w:val="bottom"/>
          </w:tcPr>
          <w:p w14:paraId="1D026F67"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F68" w14:textId="77777777" w:rsidR="004421F6" w:rsidRDefault="00F15622">
            <w:pPr>
              <w:jc w:val="right"/>
              <w:textAlignment w:val="bottom"/>
            </w:pPr>
            <w:r>
              <w:rPr>
                <w:rFonts w:ascii="Arial" w:eastAsia="宋体" w:hAnsi="Arial" w:cs="Arial"/>
                <w:color w:val="000000"/>
                <w:sz w:val="17"/>
                <w:szCs w:val="17"/>
              </w:rPr>
              <w:t>-19 </w:t>
            </w:r>
          </w:p>
        </w:tc>
        <w:tc>
          <w:tcPr>
            <w:tcW w:w="0" w:type="auto"/>
            <w:tcBorders>
              <w:top w:val="single" w:sz="8" w:space="0" w:color="808080"/>
            </w:tcBorders>
            <w:shd w:val="clear" w:color="auto" w:fill="auto"/>
            <w:tcMar>
              <w:top w:w="40" w:type="dxa"/>
              <w:bottom w:w="40" w:type="dxa"/>
              <w:right w:w="20" w:type="dxa"/>
            </w:tcMar>
            <w:vAlign w:val="bottom"/>
          </w:tcPr>
          <w:p w14:paraId="1D026F69"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F6A" w14:textId="77777777" w:rsidR="004421F6" w:rsidRDefault="004421F6">
            <w:pPr>
              <w:rPr>
                <w:rFonts w:ascii="宋体"/>
              </w:rPr>
            </w:pPr>
          </w:p>
        </w:tc>
        <w:tc>
          <w:tcPr>
            <w:tcW w:w="0" w:type="auto"/>
            <w:shd w:val="clear" w:color="auto" w:fill="auto"/>
          </w:tcPr>
          <w:p w14:paraId="1D026F6B" w14:textId="77777777" w:rsidR="004421F6" w:rsidRDefault="004421F6">
            <w:pPr>
              <w:rPr>
                <w:rFonts w:ascii="宋体"/>
              </w:rPr>
            </w:pPr>
          </w:p>
        </w:tc>
        <w:tc>
          <w:tcPr>
            <w:tcW w:w="0" w:type="auto"/>
            <w:shd w:val="clear" w:color="auto" w:fill="auto"/>
          </w:tcPr>
          <w:p w14:paraId="1D026F6C" w14:textId="77777777" w:rsidR="004421F6" w:rsidRDefault="004421F6">
            <w:pPr>
              <w:rPr>
                <w:rFonts w:ascii="宋体"/>
              </w:rPr>
            </w:pPr>
          </w:p>
        </w:tc>
        <w:tc>
          <w:tcPr>
            <w:tcW w:w="0" w:type="auto"/>
            <w:shd w:val="clear" w:color="auto" w:fill="auto"/>
          </w:tcPr>
          <w:p w14:paraId="1D026F6D" w14:textId="77777777" w:rsidR="004421F6" w:rsidRDefault="004421F6">
            <w:pPr>
              <w:rPr>
                <w:rFonts w:ascii="宋体"/>
              </w:rPr>
            </w:pPr>
          </w:p>
        </w:tc>
        <w:tc>
          <w:tcPr>
            <w:tcW w:w="0" w:type="auto"/>
            <w:shd w:val="clear" w:color="auto" w:fill="auto"/>
          </w:tcPr>
          <w:p w14:paraId="1D026F6E" w14:textId="77777777" w:rsidR="004421F6" w:rsidRDefault="004421F6">
            <w:pPr>
              <w:rPr>
                <w:rFonts w:ascii="宋体"/>
              </w:rPr>
            </w:pPr>
          </w:p>
        </w:tc>
        <w:tc>
          <w:tcPr>
            <w:tcW w:w="0" w:type="auto"/>
            <w:shd w:val="clear" w:color="auto" w:fill="auto"/>
          </w:tcPr>
          <w:p w14:paraId="1D026F6F" w14:textId="77777777" w:rsidR="004421F6" w:rsidRDefault="004421F6">
            <w:pPr>
              <w:rPr>
                <w:rFonts w:ascii="宋体"/>
              </w:rPr>
            </w:pPr>
          </w:p>
        </w:tc>
        <w:tc>
          <w:tcPr>
            <w:tcW w:w="0" w:type="auto"/>
            <w:shd w:val="clear" w:color="auto" w:fill="auto"/>
          </w:tcPr>
          <w:p w14:paraId="1D026F70" w14:textId="77777777" w:rsidR="004421F6" w:rsidRDefault="004421F6">
            <w:pPr>
              <w:rPr>
                <w:rFonts w:ascii="宋体"/>
              </w:rPr>
            </w:pPr>
          </w:p>
        </w:tc>
        <w:tc>
          <w:tcPr>
            <w:tcW w:w="0" w:type="auto"/>
            <w:shd w:val="clear" w:color="auto" w:fill="auto"/>
          </w:tcPr>
          <w:p w14:paraId="1D026F71" w14:textId="77777777" w:rsidR="004421F6" w:rsidRDefault="004421F6">
            <w:pPr>
              <w:rPr>
                <w:rFonts w:ascii="宋体"/>
              </w:rPr>
            </w:pPr>
          </w:p>
        </w:tc>
        <w:tc>
          <w:tcPr>
            <w:tcW w:w="0" w:type="auto"/>
            <w:shd w:val="clear" w:color="auto" w:fill="auto"/>
          </w:tcPr>
          <w:p w14:paraId="1D026F72" w14:textId="77777777" w:rsidR="004421F6" w:rsidRDefault="004421F6">
            <w:pPr>
              <w:rPr>
                <w:rFonts w:ascii="宋体"/>
              </w:rPr>
            </w:pPr>
          </w:p>
        </w:tc>
      </w:tr>
      <w:tr w:rsidR="004421F6" w14:paraId="1D026F86"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6F74" w14:textId="77777777" w:rsidR="004421F6" w:rsidRDefault="00F15622">
            <w:pPr>
              <w:textAlignment w:val="bottom"/>
            </w:pPr>
            <w:r>
              <w:rPr>
                <w:rFonts w:ascii="Arial" w:eastAsia="宋体" w:hAnsi="Arial" w:cs="Arial"/>
                <w:color w:val="000000"/>
                <w:sz w:val="17"/>
                <w:szCs w:val="17"/>
              </w:rPr>
              <w:t>Sales through NIKE Direct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6F75" w14:textId="77777777" w:rsidR="004421F6" w:rsidRDefault="00F15622">
            <w:pPr>
              <w:jc w:val="right"/>
              <w:textAlignment w:val="bottom"/>
            </w:pPr>
            <w:r>
              <w:rPr>
                <w:rFonts w:ascii="Arial" w:eastAsia="宋体" w:hAnsi="Arial" w:cs="Arial"/>
                <w:color w:val="000000"/>
                <w:sz w:val="17"/>
                <w:szCs w:val="17"/>
              </w:rPr>
              <w:t>391 </w:t>
            </w:r>
          </w:p>
        </w:tc>
        <w:tc>
          <w:tcPr>
            <w:tcW w:w="0" w:type="auto"/>
            <w:tcBorders>
              <w:top w:val="single" w:sz="8" w:space="0" w:color="808080"/>
            </w:tcBorders>
            <w:shd w:val="clear" w:color="auto" w:fill="FFF1E7"/>
            <w:tcMar>
              <w:top w:w="40" w:type="dxa"/>
              <w:bottom w:w="40" w:type="dxa"/>
              <w:right w:w="20" w:type="dxa"/>
            </w:tcMar>
            <w:vAlign w:val="bottom"/>
          </w:tcPr>
          <w:p w14:paraId="1D026F76"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F77" w14:textId="77777777" w:rsidR="004421F6" w:rsidRDefault="00F15622">
            <w:pPr>
              <w:jc w:val="right"/>
              <w:textAlignment w:val="bottom"/>
            </w:pPr>
            <w:r>
              <w:rPr>
                <w:rFonts w:ascii="Arial" w:eastAsia="宋体" w:hAnsi="Arial" w:cs="Arial"/>
                <w:color w:val="000000"/>
                <w:sz w:val="17"/>
                <w:szCs w:val="17"/>
              </w:rPr>
              <w:t>395 </w:t>
            </w:r>
          </w:p>
        </w:tc>
        <w:tc>
          <w:tcPr>
            <w:tcW w:w="0" w:type="auto"/>
            <w:tcBorders>
              <w:top w:val="single" w:sz="8" w:space="0" w:color="808080"/>
            </w:tcBorders>
            <w:shd w:val="clear" w:color="auto" w:fill="auto"/>
            <w:tcMar>
              <w:top w:w="40" w:type="dxa"/>
              <w:bottom w:w="40" w:type="dxa"/>
              <w:right w:w="20" w:type="dxa"/>
            </w:tcMar>
            <w:vAlign w:val="bottom"/>
          </w:tcPr>
          <w:p w14:paraId="1D026F78"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F79" w14:textId="77777777" w:rsidR="004421F6" w:rsidRDefault="00F1562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bottom w:w="40" w:type="dxa"/>
              <w:right w:w="20" w:type="dxa"/>
            </w:tcMar>
            <w:vAlign w:val="bottom"/>
          </w:tcPr>
          <w:p w14:paraId="1D026F7A"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6F7B" w14:textId="77777777" w:rsidR="004421F6" w:rsidRDefault="00F1562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bottom w:w="40" w:type="dxa"/>
              <w:right w:w="20" w:type="dxa"/>
            </w:tcMar>
            <w:vAlign w:val="bottom"/>
          </w:tcPr>
          <w:p w14:paraId="1D026F7C"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F7D" w14:textId="77777777" w:rsidR="004421F6" w:rsidRDefault="004421F6">
            <w:pPr>
              <w:rPr>
                <w:rFonts w:ascii="宋体"/>
              </w:rPr>
            </w:pPr>
          </w:p>
        </w:tc>
        <w:tc>
          <w:tcPr>
            <w:tcW w:w="0" w:type="auto"/>
            <w:shd w:val="clear" w:color="auto" w:fill="auto"/>
          </w:tcPr>
          <w:p w14:paraId="1D026F7E" w14:textId="77777777" w:rsidR="004421F6" w:rsidRDefault="004421F6">
            <w:pPr>
              <w:rPr>
                <w:rFonts w:ascii="宋体"/>
              </w:rPr>
            </w:pPr>
          </w:p>
        </w:tc>
        <w:tc>
          <w:tcPr>
            <w:tcW w:w="0" w:type="auto"/>
            <w:shd w:val="clear" w:color="auto" w:fill="auto"/>
          </w:tcPr>
          <w:p w14:paraId="1D026F7F" w14:textId="77777777" w:rsidR="004421F6" w:rsidRDefault="004421F6">
            <w:pPr>
              <w:rPr>
                <w:rFonts w:ascii="宋体"/>
              </w:rPr>
            </w:pPr>
          </w:p>
        </w:tc>
        <w:tc>
          <w:tcPr>
            <w:tcW w:w="0" w:type="auto"/>
            <w:shd w:val="clear" w:color="auto" w:fill="auto"/>
          </w:tcPr>
          <w:p w14:paraId="1D026F80" w14:textId="77777777" w:rsidR="004421F6" w:rsidRDefault="004421F6">
            <w:pPr>
              <w:rPr>
                <w:rFonts w:ascii="宋体"/>
              </w:rPr>
            </w:pPr>
          </w:p>
        </w:tc>
        <w:tc>
          <w:tcPr>
            <w:tcW w:w="0" w:type="auto"/>
            <w:shd w:val="clear" w:color="auto" w:fill="auto"/>
          </w:tcPr>
          <w:p w14:paraId="1D026F81" w14:textId="77777777" w:rsidR="004421F6" w:rsidRDefault="004421F6">
            <w:pPr>
              <w:rPr>
                <w:rFonts w:ascii="宋体"/>
              </w:rPr>
            </w:pPr>
          </w:p>
        </w:tc>
        <w:tc>
          <w:tcPr>
            <w:tcW w:w="0" w:type="auto"/>
            <w:shd w:val="clear" w:color="auto" w:fill="auto"/>
          </w:tcPr>
          <w:p w14:paraId="1D026F82" w14:textId="77777777" w:rsidR="004421F6" w:rsidRDefault="004421F6">
            <w:pPr>
              <w:rPr>
                <w:rFonts w:ascii="宋体"/>
              </w:rPr>
            </w:pPr>
          </w:p>
        </w:tc>
        <w:tc>
          <w:tcPr>
            <w:tcW w:w="0" w:type="auto"/>
            <w:shd w:val="clear" w:color="auto" w:fill="auto"/>
          </w:tcPr>
          <w:p w14:paraId="1D026F83" w14:textId="77777777" w:rsidR="004421F6" w:rsidRDefault="004421F6">
            <w:pPr>
              <w:rPr>
                <w:rFonts w:ascii="宋体"/>
              </w:rPr>
            </w:pPr>
          </w:p>
        </w:tc>
        <w:tc>
          <w:tcPr>
            <w:tcW w:w="0" w:type="auto"/>
            <w:shd w:val="clear" w:color="auto" w:fill="auto"/>
          </w:tcPr>
          <w:p w14:paraId="1D026F84" w14:textId="77777777" w:rsidR="004421F6" w:rsidRDefault="004421F6">
            <w:pPr>
              <w:rPr>
                <w:rFonts w:ascii="宋体"/>
              </w:rPr>
            </w:pPr>
          </w:p>
        </w:tc>
        <w:tc>
          <w:tcPr>
            <w:tcW w:w="0" w:type="auto"/>
            <w:shd w:val="clear" w:color="auto" w:fill="auto"/>
          </w:tcPr>
          <w:p w14:paraId="1D026F85" w14:textId="77777777" w:rsidR="004421F6" w:rsidRDefault="004421F6">
            <w:pPr>
              <w:rPr>
                <w:rFonts w:ascii="宋体"/>
              </w:rPr>
            </w:pPr>
          </w:p>
        </w:tc>
      </w:tr>
      <w:tr w:rsidR="004421F6" w14:paraId="1D026F9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F87" w14:textId="77777777" w:rsidR="004421F6" w:rsidRDefault="00F1562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tcMar>
            <w:vAlign w:val="bottom"/>
          </w:tcPr>
          <w:p w14:paraId="1D026F88"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F89" w14:textId="77777777" w:rsidR="004421F6" w:rsidRDefault="00F15622">
            <w:pPr>
              <w:jc w:val="right"/>
              <w:textAlignment w:val="bottom"/>
            </w:pPr>
            <w:r>
              <w:rPr>
                <w:rFonts w:ascii="Arial" w:eastAsia="宋体" w:hAnsi="Arial" w:cs="Arial"/>
                <w:b/>
                <w:bCs/>
                <w:color w:val="000000"/>
                <w:sz w:val="17"/>
                <w:szCs w:val="17"/>
              </w:rPr>
              <w:t>1,099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6F8A"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F8B"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F8C" w14:textId="77777777" w:rsidR="004421F6" w:rsidRDefault="00F15622">
            <w:pPr>
              <w:jc w:val="right"/>
              <w:textAlignment w:val="bottom"/>
            </w:pPr>
            <w:r>
              <w:rPr>
                <w:rFonts w:ascii="Arial" w:eastAsia="宋体" w:hAnsi="Arial" w:cs="Arial"/>
                <w:b/>
                <w:bCs/>
                <w:color w:val="000000"/>
                <w:sz w:val="17"/>
                <w:szCs w:val="17"/>
              </w:rPr>
              <w:t>1,345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F8D"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F8E" w14:textId="77777777" w:rsidR="004421F6" w:rsidRDefault="00F15622">
            <w:pPr>
              <w:jc w:val="right"/>
              <w:textAlignment w:val="bottom"/>
            </w:pPr>
            <w:r>
              <w:rPr>
                <w:rFonts w:ascii="Arial" w:eastAsia="宋体" w:hAnsi="Arial" w:cs="Arial"/>
                <w:b/>
                <w:bCs/>
                <w:color w:val="000000"/>
                <w:sz w:val="17"/>
                <w:szCs w:val="17"/>
              </w:rPr>
              <w:t>-18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F8F"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F90" w14:textId="77777777" w:rsidR="004421F6" w:rsidRDefault="00F15622">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6F91"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6F92" w14:textId="77777777" w:rsidR="004421F6" w:rsidRDefault="004421F6">
            <w:pPr>
              <w:rPr>
                <w:rFonts w:ascii="宋体"/>
              </w:rPr>
            </w:pPr>
          </w:p>
        </w:tc>
        <w:tc>
          <w:tcPr>
            <w:tcW w:w="0" w:type="auto"/>
            <w:shd w:val="clear" w:color="auto" w:fill="auto"/>
          </w:tcPr>
          <w:p w14:paraId="1D026F93" w14:textId="77777777" w:rsidR="004421F6" w:rsidRDefault="004421F6">
            <w:pPr>
              <w:rPr>
                <w:rFonts w:ascii="宋体"/>
              </w:rPr>
            </w:pPr>
          </w:p>
        </w:tc>
        <w:tc>
          <w:tcPr>
            <w:tcW w:w="0" w:type="auto"/>
            <w:shd w:val="clear" w:color="auto" w:fill="auto"/>
          </w:tcPr>
          <w:p w14:paraId="1D026F94" w14:textId="77777777" w:rsidR="004421F6" w:rsidRDefault="004421F6">
            <w:pPr>
              <w:rPr>
                <w:rFonts w:ascii="宋体"/>
              </w:rPr>
            </w:pPr>
          </w:p>
        </w:tc>
        <w:tc>
          <w:tcPr>
            <w:tcW w:w="0" w:type="auto"/>
            <w:shd w:val="clear" w:color="auto" w:fill="auto"/>
          </w:tcPr>
          <w:p w14:paraId="1D026F95" w14:textId="77777777" w:rsidR="004421F6" w:rsidRDefault="004421F6">
            <w:pPr>
              <w:rPr>
                <w:rFonts w:ascii="宋体"/>
              </w:rPr>
            </w:pPr>
          </w:p>
        </w:tc>
        <w:tc>
          <w:tcPr>
            <w:tcW w:w="0" w:type="auto"/>
            <w:shd w:val="clear" w:color="auto" w:fill="auto"/>
          </w:tcPr>
          <w:p w14:paraId="1D026F96" w14:textId="77777777" w:rsidR="004421F6" w:rsidRDefault="004421F6">
            <w:pPr>
              <w:rPr>
                <w:rFonts w:ascii="宋体"/>
              </w:rPr>
            </w:pPr>
          </w:p>
        </w:tc>
        <w:tc>
          <w:tcPr>
            <w:tcW w:w="0" w:type="auto"/>
            <w:shd w:val="clear" w:color="auto" w:fill="auto"/>
          </w:tcPr>
          <w:p w14:paraId="1D026F97" w14:textId="77777777" w:rsidR="004421F6" w:rsidRDefault="004421F6">
            <w:pPr>
              <w:rPr>
                <w:rFonts w:ascii="宋体"/>
              </w:rPr>
            </w:pPr>
          </w:p>
        </w:tc>
        <w:tc>
          <w:tcPr>
            <w:tcW w:w="0" w:type="auto"/>
            <w:shd w:val="clear" w:color="auto" w:fill="auto"/>
          </w:tcPr>
          <w:p w14:paraId="1D026F98" w14:textId="77777777" w:rsidR="004421F6" w:rsidRDefault="004421F6">
            <w:pPr>
              <w:rPr>
                <w:rFonts w:ascii="宋体"/>
              </w:rPr>
            </w:pPr>
          </w:p>
        </w:tc>
        <w:tc>
          <w:tcPr>
            <w:tcW w:w="0" w:type="auto"/>
            <w:shd w:val="clear" w:color="auto" w:fill="auto"/>
          </w:tcPr>
          <w:p w14:paraId="1D026F99" w14:textId="77777777" w:rsidR="004421F6" w:rsidRDefault="004421F6">
            <w:pPr>
              <w:rPr>
                <w:rFonts w:ascii="宋体"/>
              </w:rPr>
            </w:pPr>
          </w:p>
        </w:tc>
        <w:tc>
          <w:tcPr>
            <w:tcW w:w="0" w:type="auto"/>
            <w:shd w:val="clear" w:color="auto" w:fill="auto"/>
          </w:tcPr>
          <w:p w14:paraId="1D026F9A" w14:textId="77777777" w:rsidR="004421F6" w:rsidRDefault="004421F6">
            <w:pPr>
              <w:rPr>
                <w:rFonts w:ascii="宋体"/>
              </w:rPr>
            </w:pPr>
          </w:p>
        </w:tc>
      </w:tr>
      <w:tr w:rsidR="004421F6" w14:paraId="1D026FA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6F9C" w14:textId="77777777" w:rsidR="004421F6" w:rsidRDefault="00F15622">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6F9D"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6F9E" w14:textId="77777777" w:rsidR="004421F6" w:rsidRDefault="00F15622">
            <w:pPr>
              <w:jc w:val="right"/>
              <w:textAlignment w:val="bottom"/>
            </w:pPr>
            <w:r>
              <w:rPr>
                <w:rFonts w:ascii="Arial" w:eastAsia="宋体" w:hAnsi="Arial" w:cs="Arial"/>
                <w:b/>
                <w:bCs/>
                <w:color w:val="000000"/>
                <w:sz w:val="17"/>
                <w:szCs w:val="17"/>
              </w:rPr>
              <w:t>280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6F9F"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6FA0"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6FA1" w14:textId="77777777" w:rsidR="004421F6" w:rsidRDefault="00F15622">
            <w:pPr>
              <w:jc w:val="right"/>
              <w:textAlignment w:val="bottom"/>
            </w:pPr>
            <w:r>
              <w:rPr>
                <w:rFonts w:ascii="Arial" w:eastAsia="宋体" w:hAnsi="Arial" w:cs="Arial"/>
                <w:b/>
                <w:bCs/>
                <w:color w:val="000000"/>
                <w:sz w:val="17"/>
                <w:szCs w:val="17"/>
              </w:rPr>
              <w:t>341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FA2" w14:textId="77777777" w:rsidR="004421F6" w:rsidRDefault="004421F6">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D026FA3" w14:textId="77777777" w:rsidR="004421F6" w:rsidRDefault="00F15622">
            <w:pPr>
              <w:jc w:val="right"/>
              <w:textAlignment w:val="bottom"/>
            </w:pPr>
            <w:r>
              <w:rPr>
                <w:rFonts w:ascii="Arial" w:eastAsia="宋体" w:hAnsi="Arial" w:cs="Arial"/>
                <w:b/>
                <w:bCs/>
                <w:color w:val="000000"/>
                <w:sz w:val="17"/>
                <w:szCs w:val="17"/>
              </w:rPr>
              <w:t>-18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6FA4"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6FA5" w14:textId="77777777" w:rsidR="004421F6" w:rsidRDefault="004421F6">
            <w:pPr>
              <w:rPr>
                <w:rFonts w:ascii="宋体"/>
              </w:rPr>
            </w:pPr>
          </w:p>
        </w:tc>
        <w:tc>
          <w:tcPr>
            <w:tcW w:w="0" w:type="auto"/>
            <w:shd w:val="clear" w:color="auto" w:fill="auto"/>
          </w:tcPr>
          <w:p w14:paraId="1D026FA6" w14:textId="77777777" w:rsidR="004421F6" w:rsidRDefault="004421F6">
            <w:pPr>
              <w:rPr>
                <w:rFonts w:ascii="宋体"/>
              </w:rPr>
            </w:pPr>
          </w:p>
        </w:tc>
        <w:tc>
          <w:tcPr>
            <w:tcW w:w="0" w:type="auto"/>
            <w:shd w:val="clear" w:color="auto" w:fill="auto"/>
          </w:tcPr>
          <w:p w14:paraId="1D026FA7" w14:textId="77777777" w:rsidR="004421F6" w:rsidRDefault="004421F6">
            <w:pPr>
              <w:rPr>
                <w:rFonts w:ascii="宋体"/>
              </w:rPr>
            </w:pPr>
          </w:p>
        </w:tc>
        <w:tc>
          <w:tcPr>
            <w:tcW w:w="0" w:type="auto"/>
            <w:shd w:val="clear" w:color="auto" w:fill="auto"/>
          </w:tcPr>
          <w:p w14:paraId="1D026FA8" w14:textId="77777777" w:rsidR="004421F6" w:rsidRDefault="004421F6">
            <w:pPr>
              <w:rPr>
                <w:rFonts w:ascii="宋体"/>
              </w:rPr>
            </w:pPr>
          </w:p>
        </w:tc>
        <w:tc>
          <w:tcPr>
            <w:tcW w:w="0" w:type="auto"/>
            <w:shd w:val="clear" w:color="auto" w:fill="auto"/>
          </w:tcPr>
          <w:p w14:paraId="1D026FA9" w14:textId="77777777" w:rsidR="004421F6" w:rsidRDefault="004421F6">
            <w:pPr>
              <w:rPr>
                <w:rFonts w:ascii="宋体"/>
              </w:rPr>
            </w:pPr>
          </w:p>
        </w:tc>
        <w:tc>
          <w:tcPr>
            <w:tcW w:w="0" w:type="auto"/>
            <w:shd w:val="clear" w:color="auto" w:fill="auto"/>
          </w:tcPr>
          <w:p w14:paraId="1D026FAA" w14:textId="77777777" w:rsidR="004421F6" w:rsidRDefault="004421F6">
            <w:pPr>
              <w:rPr>
                <w:rFonts w:ascii="宋体"/>
              </w:rPr>
            </w:pPr>
          </w:p>
        </w:tc>
        <w:tc>
          <w:tcPr>
            <w:tcW w:w="0" w:type="auto"/>
            <w:shd w:val="clear" w:color="auto" w:fill="auto"/>
          </w:tcPr>
          <w:p w14:paraId="1D026FAB" w14:textId="77777777" w:rsidR="004421F6" w:rsidRDefault="004421F6">
            <w:pPr>
              <w:rPr>
                <w:rFonts w:ascii="宋体"/>
              </w:rPr>
            </w:pPr>
          </w:p>
        </w:tc>
        <w:tc>
          <w:tcPr>
            <w:tcW w:w="0" w:type="auto"/>
            <w:shd w:val="clear" w:color="auto" w:fill="auto"/>
          </w:tcPr>
          <w:p w14:paraId="1D026FAC" w14:textId="77777777" w:rsidR="004421F6" w:rsidRDefault="004421F6">
            <w:pPr>
              <w:rPr>
                <w:rFonts w:ascii="宋体"/>
              </w:rPr>
            </w:pPr>
          </w:p>
        </w:tc>
        <w:tc>
          <w:tcPr>
            <w:tcW w:w="0" w:type="auto"/>
            <w:shd w:val="clear" w:color="auto" w:fill="auto"/>
          </w:tcPr>
          <w:p w14:paraId="1D026FAD" w14:textId="77777777" w:rsidR="004421F6" w:rsidRDefault="004421F6">
            <w:pPr>
              <w:rPr>
                <w:rFonts w:ascii="宋体"/>
              </w:rPr>
            </w:pPr>
          </w:p>
        </w:tc>
        <w:tc>
          <w:tcPr>
            <w:tcW w:w="0" w:type="auto"/>
            <w:shd w:val="clear" w:color="auto" w:fill="auto"/>
          </w:tcPr>
          <w:p w14:paraId="1D026FAE" w14:textId="77777777" w:rsidR="004421F6" w:rsidRDefault="004421F6">
            <w:pPr>
              <w:rPr>
                <w:rFonts w:ascii="宋体"/>
              </w:rPr>
            </w:pPr>
          </w:p>
        </w:tc>
      </w:tr>
    </w:tbl>
    <w:p w14:paraId="1D026FB0" w14:textId="77777777" w:rsidR="004421F6" w:rsidRDefault="00F15622">
      <w:pPr>
        <w:spacing w:before="120" w:after="120"/>
      </w:pPr>
      <w:r>
        <w:rPr>
          <w:rFonts w:ascii="Arial" w:eastAsia="宋体" w:hAnsi="Arial" w:cs="Arial"/>
          <w:color w:val="000000"/>
          <w:sz w:val="17"/>
          <w:szCs w:val="17"/>
        </w:rPr>
        <w:t xml:space="preserve">As discussed previously, we entered into definitive agreements to sell our NIKE Brand businesses in Brazil, Argentina, Chile and Uruguay and shift to a distributor operating model. The impacts of entering into these agreements are included within </w:t>
      </w:r>
      <w:r>
        <w:rPr>
          <w:rFonts w:ascii="Arial" w:eastAsia="宋体" w:hAnsi="Arial" w:cs="Arial"/>
          <w:color w:val="000000"/>
          <w:sz w:val="17"/>
          <w:szCs w:val="17"/>
        </w:rPr>
        <w:t>Corporate and are not reflected in the APLA operating segment results. These transactions are expected to close prior to January 1, 2021.</w:t>
      </w:r>
    </w:p>
    <w:p w14:paraId="1D026FB1" w14:textId="77777777" w:rsidR="004421F6" w:rsidRDefault="00F15622">
      <w:pPr>
        <w:spacing w:before="120"/>
      </w:pPr>
      <w:r>
        <w:rPr>
          <w:rFonts w:ascii="sans-serif" w:eastAsia="sans-serif" w:hAnsi="sans-serif" w:cs="sans-serif"/>
          <w:b/>
          <w:bCs/>
          <w:color w:val="808080"/>
          <w:sz w:val="22"/>
          <w:szCs w:val="22"/>
        </w:rPr>
        <w:t>FIRST QUARTER OF FISCAL 2021 COMPARED TO FIRST QUARTER OF FISCAL 2020</w:t>
      </w:r>
    </w:p>
    <w:p w14:paraId="1D026FB2" w14:textId="77777777" w:rsidR="004421F6" w:rsidRDefault="00F15622">
      <w:pPr>
        <w:spacing w:after="120"/>
      </w:pPr>
      <w:r>
        <w:rPr>
          <w:rFonts w:ascii="Arial" w:eastAsia="宋体" w:hAnsi="Arial" w:cs="Arial"/>
          <w:color w:val="000000"/>
          <w:sz w:val="17"/>
          <w:szCs w:val="17"/>
        </w:rPr>
        <w:t>On a currency-neutral basis, APLA revenues decre</w:t>
      </w:r>
      <w:r>
        <w:rPr>
          <w:rFonts w:ascii="Arial" w:eastAsia="宋体" w:hAnsi="Arial" w:cs="Arial"/>
          <w:color w:val="000000"/>
          <w:sz w:val="17"/>
          <w:szCs w:val="17"/>
        </w:rPr>
        <w:t>ased 12% for the first quarter of fiscal 2021. The decline was due to lower revenues in several territories, led by our Latin America third-party distributor business and SOCO (which comprises Argentina, Chile and Uruguay), which decreased 79% and 34%, res</w:t>
      </w:r>
      <w:r>
        <w:rPr>
          <w:rFonts w:ascii="Arial" w:eastAsia="宋体" w:hAnsi="Arial" w:cs="Arial"/>
          <w:color w:val="000000"/>
          <w:sz w:val="17"/>
          <w:szCs w:val="17"/>
        </w:rPr>
        <w:t xml:space="preserve">pectively. Revenues decreased in nearly all key categories, primarily Football (Soccer) and Running. NIKE Direct revenues increased 4%, driven by digital commerce sales growth of 91%, partially offset by comparable store sales contraction of 28% primarily </w:t>
      </w:r>
      <w:r>
        <w:rPr>
          <w:rFonts w:ascii="Arial" w:eastAsia="宋体" w:hAnsi="Arial" w:cs="Arial"/>
          <w:color w:val="000000"/>
          <w:sz w:val="17"/>
          <w:szCs w:val="17"/>
        </w:rPr>
        <w:t xml:space="preserve">due to temporary store closures and </w:t>
      </w:r>
      <w:r>
        <w:rPr>
          <w:rFonts w:ascii="Arial" w:eastAsia="宋体" w:hAnsi="Arial" w:cs="Arial"/>
          <w:color w:val="212529"/>
          <w:sz w:val="17"/>
          <w:szCs w:val="17"/>
        </w:rPr>
        <w:t>reduced physical retail traffic, in part due to safety-related measures in response to COVID-19</w:t>
      </w:r>
      <w:r>
        <w:rPr>
          <w:rFonts w:ascii="Arial" w:eastAsia="宋体" w:hAnsi="Arial" w:cs="Arial"/>
          <w:color w:val="000000"/>
          <w:sz w:val="17"/>
          <w:szCs w:val="17"/>
        </w:rPr>
        <w:t>.</w:t>
      </w:r>
    </w:p>
    <w:p w14:paraId="1D026FB3" w14:textId="77777777" w:rsidR="004421F6" w:rsidRDefault="00F15622">
      <w:pPr>
        <w:spacing w:before="120" w:after="120"/>
      </w:pPr>
      <w:r>
        <w:rPr>
          <w:rFonts w:ascii="Arial" w:eastAsia="宋体" w:hAnsi="Arial" w:cs="Arial"/>
          <w:color w:val="000000"/>
          <w:sz w:val="17"/>
          <w:szCs w:val="17"/>
        </w:rPr>
        <w:t>Currency-neutral footwear revenues decreased 12% for the first quarter of fiscal 2021 due to lower revenues in nearly all k</w:t>
      </w:r>
      <w:r>
        <w:rPr>
          <w:rFonts w:ascii="Arial" w:eastAsia="宋体" w:hAnsi="Arial" w:cs="Arial"/>
          <w:color w:val="000000"/>
          <w:sz w:val="17"/>
          <w:szCs w:val="17"/>
        </w:rPr>
        <w:t>ey categories, primarily Sportswear, Football (Soccer) and Running, partially offset by the Jordan Brand. Unit sales of footwear decreased 24%, partially offset by higher ASP per pair contributing approximately 12 percentage points. Higher ASP per pair was</w:t>
      </w:r>
      <w:r>
        <w:rPr>
          <w:rFonts w:ascii="Arial" w:eastAsia="宋体" w:hAnsi="Arial" w:cs="Arial"/>
          <w:color w:val="000000"/>
          <w:sz w:val="17"/>
          <w:szCs w:val="17"/>
        </w:rPr>
        <w:t xml:space="preserve"> driven by higher full-price ASP, in part reflecting inflationary conditions in our SOCO territory, as well as the favorable impact of growth in our NIKE Direct business.</w:t>
      </w:r>
    </w:p>
    <w:p w14:paraId="1D026FB4" w14:textId="77777777" w:rsidR="004421F6" w:rsidRDefault="00F15622">
      <w:pPr>
        <w:spacing w:before="120" w:after="120"/>
      </w:pPr>
      <w:r>
        <w:rPr>
          <w:rFonts w:ascii="Arial" w:eastAsia="宋体" w:hAnsi="Arial" w:cs="Arial"/>
          <w:color w:val="000000"/>
          <w:sz w:val="17"/>
          <w:szCs w:val="17"/>
        </w:rPr>
        <w:t>Currency-neutral apparel revenues contracted 10% for the first quarter of fiscal 2021</w:t>
      </w:r>
      <w:r>
        <w:rPr>
          <w:rFonts w:ascii="Arial" w:eastAsia="宋体" w:hAnsi="Arial" w:cs="Arial"/>
          <w:color w:val="000000"/>
          <w:sz w:val="17"/>
          <w:szCs w:val="17"/>
        </w:rPr>
        <w:t>, as higher revenues in Sportswear were more than offset by lower revenues in all other key categories, most notably Football (Soccer) and Running. Unit sales of apparel decreased 14%, partially offset by higher ASP per unit contributing approximately 4 pe</w:t>
      </w:r>
      <w:r>
        <w:rPr>
          <w:rFonts w:ascii="Arial" w:eastAsia="宋体" w:hAnsi="Arial" w:cs="Arial"/>
          <w:color w:val="000000"/>
          <w:sz w:val="17"/>
          <w:szCs w:val="17"/>
        </w:rPr>
        <w:t>rcentage points, driven by higher full-price ASP, in part reflecting inflationary conditions in our SOCO territory.</w:t>
      </w:r>
    </w:p>
    <w:p w14:paraId="1D026FB5" w14:textId="77777777" w:rsidR="004421F6" w:rsidRDefault="00F15622">
      <w:pPr>
        <w:spacing w:before="120" w:after="120"/>
      </w:pPr>
      <w:r>
        <w:rPr>
          <w:rFonts w:ascii="Arial" w:eastAsia="宋体" w:hAnsi="Arial" w:cs="Arial"/>
          <w:color w:val="000000"/>
          <w:sz w:val="17"/>
          <w:szCs w:val="17"/>
        </w:rPr>
        <w:t>Reported EBIT decreased 18% for the first quarter of fiscal 2021 primarily due to lower revenues and a decline in gross margin, partially of</w:t>
      </w:r>
      <w:r>
        <w:rPr>
          <w:rFonts w:ascii="Arial" w:eastAsia="宋体" w:hAnsi="Arial" w:cs="Arial"/>
          <w:color w:val="000000"/>
          <w:sz w:val="17"/>
          <w:szCs w:val="17"/>
        </w:rPr>
        <w:t>fset by lower selling and administrative expense. Gross margin decreased approximately 100 basis points as higher full-price ASP, in part reflecting inflationary conditions in our SOCO territory, was more than offset by higher product costs, an increase in</w:t>
      </w:r>
      <w:r>
        <w:rPr>
          <w:rFonts w:ascii="Arial" w:eastAsia="宋体" w:hAnsi="Arial" w:cs="Arial"/>
          <w:color w:val="000000"/>
          <w:sz w:val="17"/>
          <w:szCs w:val="17"/>
        </w:rPr>
        <w:t xml:space="preserve"> other costs, lower margin in our NIKE Direct business, as well as unfavorable changes in standard foreign currency exchange rates. The increase in other costs was primarily due to higher warehousing and freight costs, as well as inventory obsolescence. Se</w:t>
      </w:r>
      <w:r>
        <w:rPr>
          <w:rFonts w:ascii="Arial" w:eastAsia="宋体" w:hAnsi="Arial" w:cs="Arial"/>
          <w:color w:val="000000"/>
          <w:sz w:val="17"/>
          <w:szCs w:val="17"/>
        </w:rPr>
        <w:t xml:space="preserve">lling and administrative expense decreased due to lower demand creation and overhead expense. The decrease in demand creation expense was primarily due to lower advertising and marketing costs, as well as sports marketing expense. Lower operating overhead </w:t>
      </w:r>
      <w:r>
        <w:rPr>
          <w:rFonts w:ascii="Arial" w:eastAsia="宋体" w:hAnsi="Arial" w:cs="Arial"/>
          <w:color w:val="000000"/>
          <w:sz w:val="17"/>
          <w:szCs w:val="17"/>
        </w:rPr>
        <w:t xml:space="preserve">expense was primarily due to lower travel and related expenses. </w:t>
      </w:r>
    </w:p>
    <w:p w14:paraId="1D026FB6" w14:textId="77777777" w:rsidR="004421F6" w:rsidRDefault="00F15622">
      <w:pPr>
        <w:spacing w:before="240" w:after="120"/>
      </w:pPr>
      <w:r>
        <w:rPr>
          <w:rFonts w:ascii="sans-serif" w:eastAsia="sans-serif" w:hAnsi="sans-serif" w:cs="sans-serif"/>
          <w:b/>
          <w:bCs/>
          <w:color w:val="000000"/>
          <w:sz w:val="28"/>
          <w:szCs w:val="28"/>
        </w:rPr>
        <w:t>GLOBAL BRAND DIVISIONS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820"/>
        <w:gridCol w:w="36"/>
        <w:gridCol w:w="130"/>
        <w:gridCol w:w="845"/>
        <w:gridCol w:w="41"/>
        <w:gridCol w:w="130"/>
        <w:gridCol w:w="845"/>
        <w:gridCol w:w="41"/>
        <w:gridCol w:w="52"/>
        <w:gridCol w:w="804"/>
        <w:gridCol w:w="187"/>
        <w:gridCol w:w="70"/>
        <w:gridCol w:w="787"/>
        <w:gridCol w:w="187"/>
        <w:gridCol w:w="36"/>
        <w:gridCol w:w="36"/>
        <w:gridCol w:w="36"/>
        <w:gridCol w:w="36"/>
        <w:gridCol w:w="36"/>
        <w:gridCol w:w="36"/>
        <w:gridCol w:w="36"/>
        <w:gridCol w:w="36"/>
        <w:gridCol w:w="36"/>
      </w:tblGrid>
      <w:tr w:rsidR="004421F6" w14:paraId="1D026FC6" w14:textId="77777777">
        <w:trPr>
          <w:gridAfter w:val="9"/>
        </w:trPr>
        <w:tc>
          <w:tcPr>
            <w:tcW w:w="50" w:type="pct"/>
            <w:shd w:val="clear" w:color="auto" w:fill="auto"/>
          </w:tcPr>
          <w:p w14:paraId="1D026FB7" w14:textId="77777777" w:rsidR="004421F6" w:rsidRDefault="004421F6">
            <w:pPr>
              <w:rPr>
                <w:rFonts w:ascii="宋体"/>
              </w:rPr>
            </w:pPr>
          </w:p>
        </w:tc>
        <w:tc>
          <w:tcPr>
            <w:tcW w:w="2445" w:type="pct"/>
            <w:shd w:val="clear" w:color="auto" w:fill="auto"/>
          </w:tcPr>
          <w:p w14:paraId="1D026FB8" w14:textId="77777777" w:rsidR="004421F6" w:rsidRDefault="004421F6">
            <w:pPr>
              <w:rPr>
                <w:rFonts w:ascii="宋体"/>
              </w:rPr>
            </w:pPr>
          </w:p>
        </w:tc>
        <w:tc>
          <w:tcPr>
            <w:tcW w:w="5" w:type="pct"/>
            <w:shd w:val="clear" w:color="auto" w:fill="auto"/>
          </w:tcPr>
          <w:p w14:paraId="1D026FB9" w14:textId="77777777" w:rsidR="004421F6" w:rsidRDefault="004421F6">
            <w:pPr>
              <w:rPr>
                <w:rFonts w:ascii="宋体"/>
              </w:rPr>
            </w:pPr>
          </w:p>
        </w:tc>
        <w:tc>
          <w:tcPr>
            <w:tcW w:w="50" w:type="pct"/>
            <w:shd w:val="clear" w:color="auto" w:fill="auto"/>
          </w:tcPr>
          <w:p w14:paraId="1D026FBA" w14:textId="77777777" w:rsidR="004421F6" w:rsidRDefault="004421F6">
            <w:pPr>
              <w:rPr>
                <w:rFonts w:ascii="宋体"/>
              </w:rPr>
            </w:pPr>
          </w:p>
        </w:tc>
        <w:tc>
          <w:tcPr>
            <w:tcW w:w="570" w:type="pct"/>
            <w:shd w:val="clear" w:color="auto" w:fill="auto"/>
          </w:tcPr>
          <w:p w14:paraId="1D026FBB" w14:textId="77777777" w:rsidR="004421F6" w:rsidRDefault="004421F6">
            <w:pPr>
              <w:rPr>
                <w:rFonts w:ascii="宋体"/>
              </w:rPr>
            </w:pPr>
          </w:p>
        </w:tc>
        <w:tc>
          <w:tcPr>
            <w:tcW w:w="5" w:type="pct"/>
            <w:shd w:val="clear" w:color="auto" w:fill="auto"/>
          </w:tcPr>
          <w:p w14:paraId="1D026FBC" w14:textId="77777777" w:rsidR="004421F6" w:rsidRDefault="004421F6">
            <w:pPr>
              <w:rPr>
                <w:rFonts w:ascii="宋体"/>
              </w:rPr>
            </w:pPr>
          </w:p>
        </w:tc>
        <w:tc>
          <w:tcPr>
            <w:tcW w:w="50" w:type="pct"/>
            <w:shd w:val="clear" w:color="auto" w:fill="auto"/>
          </w:tcPr>
          <w:p w14:paraId="1D026FBD" w14:textId="77777777" w:rsidR="004421F6" w:rsidRDefault="004421F6">
            <w:pPr>
              <w:rPr>
                <w:rFonts w:ascii="宋体"/>
              </w:rPr>
            </w:pPr>
          </w:p>
        </w:tc>
        <w:tc>
          <w:tcPr>
            <w:tcW w:w="570" w:type="pct"/>
            <w:shd w:val="clear" w:color="auto" w:fill="auto"/>
          </w:tcPr>
          <w:p w14:paraId="1D026FBE" w14:textId="77777777" w:rsidR="004421F6" w:rsidRDefault="004421F6">
            <w:pPr>
              <w:rPr>
                <w:rFonts w:ascii="宋体"/>
              </w:rPr>
            </w:pPr>
          </w:p>
        </w:tc>
        <w:tc>
          <w:tcPr>
            <w:tcW w:w="5" w:type="pct"/>
            <w:shd w:val="clear" w:color="auto" w:fill="auto"/>
          </w:tcPr>
          <w:p w14:paraId="1D026FBF" w14:textId="77777777" w:rsidR="004421F6" w:rsidRDefault="004421F6">
            <w:pPr>
              <w:rPr>
                <w:rFonts w:ascii="宋体"/>
              </w:rPr>
            </w:pPr>
          </w:p>
        </w:tc>
        <w:tc>
          <w:tcPr>
            <w:tcW w:w="50" w:type="pct"/>
            <w:shd w:val="clear" w:color="auto" w:fill="auto"/>
          </w:tcPr>
          <w:p w14:paraId="1D026FC0" w14:textId="77777777" w:rsidR="004421F6" w:rsidRDefault="004421F6">
            <w:pPr>
              <w:rPr>
                <w:rFonts w:ascii="宋体"/>
              </w:rPr>
            </w:pPr>
          </w:p>
        </w:tc>
        <w:tc>
          <w:tcPr>
            <w:tcW w:w="570" w:type="pct"/>
            <w:shd w:val="clear" w:color="auto" w:fill="auto"/>
          </w:tcPr>
          <w:p w14:paraId="1D026FC1" w14:textId="77777777" w:rsidR="004421F6" w:rsidRDefault="004421F6">
            <w:pPr>
              <w:rPr>
                <w:rFonts w:ascii="宋体"/>
              </w:rPr>
            </w:pPr>
          </w:p>
        </w:tc>
        <w:tc>
          <w:tcPr>
            <w:tcW w:w="5" w:type="pct"/>
            <w:shd w:val="clear" w:color="auto" w:fill="auto"/>
          </w:tcPr>
          <w:p w14:paraId="1D026FC2" w14:textId="77777777" w:rsidR="004421F6" w:rsidRDefault="004421F6">
            <w:pPr>
              <w:rPr>
                <w:rFonts w:ascii="宋体"/>
              </w:rPr>
            </w:pPr>
          </w:p>
        </w:tc>
        <w:tc>
          <w:tcPr>
            <w:tcW w:w="50" w:type="pct"/>
            <w:shd w:val="clear" w:color="auto" w:fill="auto"/>
          </w:tcPr>
          <w:p w14:paraId="1D026FC3" w14:textId="77777777" w:rsidR="004421F6" w:rsidRDefault="004421F6">
            <w:pPr>
              <w:rPr>
                <w:rFonts w:ascii="宋体"/>
              </w:rPr>
            </w:pPr>
          </w:p>
        </w:tc>
        <w:tc>
          <w:tcPr>
            <w:tcW w:w="570" w:type="pct"/>
            <w:shd w:val="clear" w:color="auto" w:fill="auto"/>
          </w:tcPr>
          <w:p w14:paraId="1D026FC4" w14:textId="77777777" w:rsidR="004421F6" w:rsidRDefault="004421F6">
            <w:pPr>
              <w:rPr>
                <w:rFonts w:ascii="宋体"/>
              </w:rPr>
            </w:pPr>
          </w:p>
        </w:tc>
        <w:tc>
          <w:tcPr>
            <w:tcW w:w="5" w:type="pct"/>
            <w:shd w:val="clear" w:color="auto" w:fill="auto"/>
          </w:tcPr>
          <w:p w14:paraId="1D026FC5" w14:textId="77777777" w:rsidR="004421F6" w:rsidRDefault="004421F6">
            <w:pPr>
              <w:rPr>
                <w:rFonts w:ascii="宋体"/>
              </w:rPr>
            </w:pPr>
          </w:p>
        </w:tc>
      </w:tr>
      <w:tr w:rsidR="004421F6" w14:paraId="1D026FCC" w14:textId="77777777">
        <w:tc>
          <w:tcPr>
            <w:tcW w:w="0" w:type="auto"/>
            <w:gridSpan w:val="3"/>
            <w:shd w:val="clear" w:color="auto" w:fill="auto"/>
            <w:tcMar>
              <w:left w:w="20" w:type="dxa"/>
              <w:right w:w="20" w:type="dxa"/>
            </w:tcMar>
            <w:vAlign w:val="bottom"/>
          </w:tcPr>
          <w:p w14:paraId="1D026FC7" w14:textId="77777777" w:rsidR="004421F6" w:rsidRDefault="004421F6">
            <w:pPr>
              <w:rPr>
                <w:rFonts w:ascii="宋体"/>
              </w:rPr>
            </w:pPr>
          </w:p>
        </w:tc>
        <w:tc>
          <w:tcPr>
            <w:tcW w:w="0" w:type="auto"/>
            <w:gridSpan w:val="12"/>
            <w:shd w:val="clear" w:color="auto" w:fill="auto"/>
            <w:tcMar>
              <w:top w:w="40" w:type="dxa"/>
              <w:left w:w="20" w:type="dxa"/>
              <w:bottom w:w="40" w:type="dxa"/>
              <w:right w:w="20" w:type="dxa"/>
            </w:tcMar>
            <w:vAlign w:val="bottom"/>
          </w:tcPr>
          <w:p w14:paraId="1D026FC8"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6FC9" w14:textId="77777777" w:rsidR="004421F6" w:rsidRDefault="004421F6">
            <w:pPr>
              <w:rPr>
                <w:rFonts w:ascii="宋体"/>
                <w:vanish/>
              </w:rPr>
            </w:pPr>
          </w:p>
        </w:tc>
        <w:tc>
          <w:tcPr>
            <w:tcW w:w="0" w:type="auto"/>
            <w:gridSpan w:val="3"/>
            <w:shd w:val="clear" w:color="auto" w:fill="auto"/>
          </w:tcPr>
          <w:p w14:paraId="1D026FCA" w14:textId="77777777" w:rsidR="004421F6" w:rsidRDefault="004421F6">
            <w:pPr>
              <w:rPr>
                <w:rFonts w:ascii="宋体"/>
                <w:vanish/>
              </w:rPr>
            </w:pPr>
          </w:p>
        </w:tc>
        <w:tc>
          <w:tcPr>
            <w:tcW w:w="0" w:type="auto"/>
            <w:gridSpan w:val="3"/>
            <w:shd w:val="clear" w:color="auto" w:fill="auto"/>
          </w:tcPr>
          <w:p w14:paraId="1D026FCB" w14:textId="77777777" w:rsidR="004421F6" w:rsidRDefault="004421F6">
            <w:pPr>
              <w:rPr>
                <w:rFonts w:ascii="宋体"/>
                <w:vanish/>
              </w:rPr>
            </w:pPr>
          </w:p>
        </w:tc>
      </w:tr>
      <w:tr w:rsidR="004421F6" w14:paraId="1D026FDB" w14:textId="77777777">
        <w:tc>
          <w:tcPr>
            <w:tcW w:w="0" w:type="auto"/>
            <w:gridSpan w:val="3"/>
            <w:shd w:val="clear" w:color="auto" w:fill="auto"/>
            <w:tcMar>
              <w:top w:w="40" w:type="dxa"/>
              <w:left w:w="20" w:type="dxa"/>
              <w:bottom w:w="40" w:type="dxa"/>
              <w:right w:w="20" w:type="dxa"/>
            </w:tcMar>
            <w:vAlign w:val="bottom"/>
          </w:tcPr>
          <w:p w14:paraId="1D026FCD" w14:textId="77777777" w:rsidR="004421F6" w:rsidRDefault="00F15622">
            <w:pPr>
              <w:spacing w:before="120" w:after="120"/>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FCE"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FCF"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FD0" w14:textId="77777777" w:rsidR="004421F6" w:rsidRDefault="00F1562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FD1" w14:textId="77777777" w:rsidR="004421F6" w:rsidRDefault="00F15622">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tcPr>
          <w:p w14:paraId="1D026FD2" w14:textId="77777777" w:rsidR="004421F6" w:rsidRDefault="004421F6">
            <w:pPr>
              <w:rPr>
                <w:rFonts w:ascii="宋体"/>
              </w:rPr>
            </w:pPr>
          </w:p>
        </w:tc>
        <w:tc>
          <w:tcPr>
            <w:tcW w:w="0" w:type="auto"/>
            <w:shd w:val="clear" w:color="auto" w:fill="auto"/>
          </w:tcPr>
          <w:p w14:paraId="1D026FD3" w14:textId="77777777" w:rsidR="004421F6" w:rsidRDefault="004421F6">
            <w:pPr>
              <w:rPr>
                <w:rFonts w:ascii="宋体"/>
              </w:rPr>
            </w:pPr>
          </w:p>
        </w:tc>
        <w:tc>
          <w:tcPr>
            <w:tcW w:w="0" w:type="auto"/>
            <w:shd w:val="clear" w:color="auto" w:fill="auto"/>
          </w:tcPr>
          <w:p w14:paraId="1D026FD4" w14:textId="77777777" w:rsidR="004421F6" w:rsidRDefault="004421F6">
            <w:pPr>
              <w:rPr>
                <w:rFonts w:ascii="宋体"/>
              </w:rPr>
            </w:pPr>
          </w:p>
        </w:tc>
        <w:tc>
          <w:tcPr>
            <w:tcW w:w="0" w:type="auto"/>
            <w:shd w:val="clear" w:color="auto" w:fill="auto"/>
          </w:tcPr>
          <w:p w14:paraId="1D026FD5" w14:textId="77777777" w:rsidR="004421F6" w:rsidRDefault="004421F6">
            <w:pPr>
              <w:rPr>
                <w:rFonts w:ascii="宋体"/>
              </w:rPr>
            </w:pPr>
          </w:p>
        </w:tc>
        <w:tc>
          <w:tcPr>
            <w:tcW w:w="0" w:type="auto"/>
            <w:shd w:val="clear" w:color="auto" w:fill="auto"/>
          </w:tcPr>
          <w:p w14:paraId="1D026FD6" w14:textId="77777777" w:rsidR="004421F6" w:rsidRDefault="004421F6">
            <w:pPr>
              <w:rPr>
                <w:rFonts w:ascii="宋体"/>
              </w:rPr>
            </w:pPr>
          </w:p>
        </w:tc>
        <w:tc>
          <w:tcPr>
            <w:tcW w:w="0" w:type="auto"/>
            <w:shd w:val="clear" w:color="auto" w:fill="auto"/>
          </w:tcPr>
          <w:p w14:paraId="1D026FD7" w14:textId="77777777" w:rsidR="004421F6" w:rsidRDefault="004421F6">
            <w:pPr>
              <w:rPr>
                <w:rFonts w:ascii="宋体"/>
              </w:rPr>
            </w:pPr>
          </w:p>
        </w:tc>
        <w:tc>
          <w:tcPr>
            <w:tcW w:w="0" w:type="auto"/>
            <w:shd w:val="clear" w:color="auto" w:fill="auto"/>
          </w:tcPr>
          <w:p w14:paraId="1D026FD8" w14:textId="77777777" w:rsidR="004421F6" w:rsidRDefault="004421F6">
            <w:pPr>
              <w:rPr>
                <w:rFonts w:ascii="宋体"/>
              </w:rPr>
            </w:pPr>
          </w:p>
        </w:tc>
        <w:tc>
          <w:tcPr>
            <w:tcW w:w="0" w:type="auto"/>
            <w:shd w:val="clear" w:color="auto" w:fill="auto"/>
          </w:tcPr>
          <w:p w14:paraId="1D026FD9" w14:textId="77777777" w:rsidR="004421F6" w:rsidRDefault="004421F6">
            <w:pPr>
              <w:rPr>
                <w:rFonts w:ascii="宋体"/>
              </w:rPr>
            </w:pPr>
          </w:p>
        </w:tc>
        <w:tc>
          <w:tcPr>
            <w:tcW w:w="0" w:type="auto"/>
            <w:shd w:val="clear" w:color="auto" w:fill="auto"/>
          </w:tcPr>
          <w:p w14:paraId="1D026FDA" w14:textId="77777777" w:rsidR="004421F6" w:rsidRDefault="004421F6">
            <w:pPr>
              <w:rPr>
                <w:rFonts w:ascii="宋体"/>
              </w:rPr>
            </w:pPr>
          </w:p>
        </w:tc>
      </w:tr>
      <w:tr w:rsidR="004421F6" w14:paraId="1D026FF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6FDC" w14:textId="77777777" w:rsidR="004421F6" w:rsidRDefault="00F15622">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tcMar>
            <w:vAlign w:val="bottom"/>
          </w:tcPr>
          <w:p w14:paraId="1D026FDD"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6FDE" w14:textId="77777777" w:rsidR="004421F6" w:rsidRDefault="00F15622">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FFF1E7"/>
            <w:tcMar>
              <w:top w:w="40" w:type="dxa"/>
              <w:bottom w:w="40" w:type="dxa"/>
              <w:right w:w="20" w:type="dxa"/>
            </w:tcMar>
            <w:vAlign w:val="bottom"/>
          </w:tcPr>
          <w:p w14:paraId="1D026FDF"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6FE0"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6FE1" w14:textId="77777777" w:rsidR="004421F6" w:rsidRDefault="00F15622">
            <w:pPr>
              <w:jc w:val="right"/>
              <w:textAlignment w:val="bottom"/>
            </w:pPr>
            <w:r>
              <w:rPr>
                <w:rFonts w:ascii="Arial" w:eastAsia="宋体" w:hAnsi="Arial" w:cs="Arial"/>
                <w:color w:val="000000"/>
                <w:sz w:val="17"/>
                <w:szCs w:val="17"/>
              </w:rPr>
              <w:t>6 </w:t>
            </w:r>
          </w:p>
        </w:tc>
        <w:tc>
          <w:tcPr>
            <w:tcW w:w="0" w:type="auto"/>
            <w:tcBorders>
              <w:top w:val="single" w:sz="8" w:space="0" w:color="E87722"/>
            </w:tcBorders>
            <w:shd w:val="clear" w:color="auto" w:fill="auto"/>
            <w:tcMar>
              <w:top w:w="40" w:type="dxa"/>
              <w:bottom w:w="40" w:type="dxa"/>
              <w:right w:w="20" w:type="dxa"/>
            </w:tcMar>
            <w:vAlign w:val="bottom"/>
          </w:tcPr>
          <w:p w14:paraId="1D026FE2"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FE3" w14:textId="77777777" w:rsidR="004421F6" w:rsidRDefault="00F15622">
            <w:pPr>
              <w:jc w:val="right"/>
              <w:textAlignment w:val="bottom"/>
            </w:pPr>
            <w:r>
              <w:rPr>
                <w:rFonts w:ascii="Arial" w:eastAsia="宋体" w:hAnsi="Arial" w:cs="Arial"/>
                <w:color w:val="000000"/>
                <w:sz w:val="17"/>
                <w:szCs w:val="17"/>
              </w:rPr>
              <w:t>-33 </w:t>
            </w:r>
          </w:p>
        </w:tc>
        <w:tc>
          <w:tcPr>
            <w:tcW w:w="0" w:type="auto"/>
            <w:tcBorders>
              <w:top w:val="single" w:sz="8" w:space="0" w:color="E87722"/>
            </w:tcBorders>
            <w:shd w:val="clear" w:color="auto" w:fill="auto"/>
            <w:tcMar>
              <w:top w:w="40" w:type="dxa"/>
              <w:bottom w:w="40" w:type="dxa"/>
              <w:right w:w="20" w:type="dxa"/>
            </w:tcMar>
            <w:vAlign w:val="bottom"/>
          </w:tcPr>
          <w:p w14:paraId="1D026FE4"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6FE5" w14:textId="77777777" w:rsidR="004421F6" w:rsidRDefault="00F15622">
            <w:pPr>
              <w:jc w:val="right"/>
              <w:textAlignment w:val="bottom"/>
            </w:pPr>
            <w:r>
              <w:rPr>
                <w:rFonts w:ascii="Arial" w:eastAsia="宋体" w:hAnsi="Arial" w:cs="Arial"/>
                <w:color w:val="000000"/>
                <w:sz w:val="17"/>
                <w:szCs w:val="17"/>
              </w:rPr>
              <w:t>-31 </w:t>
            </w:r>
          </w:p>
        </w:tc>
        <w:tc>
          <w:tcPr>
            <w:tcW w:w="0" w:type="auto"/>
            <w:tcBorders>
              <w:top w:val="single" w:sz="8" w:space="0" w:color="E87722"/>
            </w:tcBorders>
            <w:shd w:val="clear" w:color="auto" w:fill="auto"/>
            <w:tcMar>
              <w:top w:w="40" w:type="dxa"/>
              <w:bottom w:w="40" w:type="dxa"/>
              <w:right w:w="20" w:type="dxa"/>
            </w:tcMar>
            <w:vAlign w:val="bottom"/>
          </w:tcPr>
          <w:p w14:paraId="1D026FE6"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6FE7" w14:textId="77777777" w:rsidR="004421F6" w:rsidRDefault="004421F6">
            <w:pPr>
              <w:rPr>
                <w:rFonts w:ascii="宋体"/>
              </w:rPr>
            </w:pPr>
          </w:p>
        </w:tc>
        <w:tc>
          <w:tcPr>
            <w:tcW w:w="0" w:type="auto"/>
            <w:shd w:val="clear" w:color="auto" w:fill="auto"/>
          </w:tcPr>
          <w:p w14:paraId="1D026FE8" w14:textId="77777777" w:rsidR="004421F6" w:rsidRDefault="004421F6">
            <w:pPr>
              <w:rPr>
                <w:rFonts w:ascii="宋体"/>
              </w:rPr>
            </w:pPr>
          </w:p>
        </w:tc>
        <w:tc>
          <w:tcPr>
            <w:tcW w:w="0" w:type="auto"/>
            <w:shd w:val="clear" w:color="auto" w:fill="auto"/>
          </w:tcPr>
          <w:p w14:paraId="1D026FE9" w14:textId="77777777" w:rsidR="004421F6" w:rsidRDefault="004421F6">
            <w:pPr>
              <w:rPr>
                <w:rFonts w:ascii="宋体"/>
              </w:rPr>
            </w:pPr>
          </w:p>
        </w:tc>
        <w:tc>
          <w:tcPr>
            <w:tcW w:w="0" w:type="auto"/>
            <w:shd w:val="clear" w:color="auto" w:fill="auto"/>
          </w:tcPr>
          <w:p w14:paraId="1D026FEA" w14:textId="77777777" w:rsidR="004421F6" w:rsidRDefault="004421F6">
            <w:pPr>
              <w:rPr>
                <w:rFonts w:ascii="宋体"/>
              </w:rPr>
            </w:pPr>
          </w:p>
        </w:tc>
        <w:tc>
          <w:tcPr>
            <w:tcW w:w="0" w:type="auto"/>
            <w:shd w:val="clear" w:color="auto" w:fill="auto"/>
          </w:tcPr>
          <w:p w14:paraId="1D026FEB" w14:textId="77777777" w:rsidR="004421F6" w:rsidRDefault="004421F6">
            <w:pPr>
              <w:rPr>
                <w:rFonts w:ascii="宋体"/>
              </w:rPr>
            </w:pPr>
          </w:p>
        </w:tc>
        <w:tc>
          <w:tcPr>
            <w:tcW w:w="0" w:type="auto"/>
            <w:shd w:val="clear" w:color="auto" w:fill="auto"/>
          </w:tcPr>
          <w:p w14:paraId="1D026FEC" w14:textId="77777777" w:rsidR="004421F6" w:rsidRDefault="004421F6">
            <w:pPr>
              <w:rPr>
                <w:rFonts w:ascii="宋体"/>
              </w:rPr>
            </w:pPr>
          </w:p>
        </w:tc>
        <w:tc>
          <w:tcPr>
            <w:tcW w:w="0" w:type="auto"/>
            <w:shd w:val="clear" w:color="auto" w:fill="auto"/>
          </w:tcPr>
          <w:p w14:paraId="1D026FED" w14:textId="77777777" w:rsidR="004421F6" w:rsidRDefault="004421F6">
            <w:pPr>
              <w:rPr>
                <w:rFonts w:ascii="宋体"/>
              </w:rPr>
            </w:pPr>
          </w:p>
        </w:tc>
        <w:tc>
          <w:tcPr>
            <w:tcW w:w="0" w:type="auto"/>
            <w:shd w:val="clear" w:color="auto" w:fill="auto"/>
          </w:tcPr>
          <w:p w14:paraId="1D026FEE" w14:textId="77777777" w:rsidR="004421F6" w:rsidRDefault="004421F6">
            <w:pPr>
              <w:rPr>
                <w:rFonts w:ascii="宋体"/>
              </w:rPr>
            </w:pPr>
          </w:p>
        </w:tc>
        <w:tc>
          <w:tcPr>
            <w:tcW w:w="0" w:type="auto"/>
            <w:shd w:val="clear" w:color="auto" w:fill="auto"/>
          </w:tcPr>
          <w:p w14:paraId="1D026FEF" w14:textId="77777777" w:rsidR="004421F6" w:rsidRDefault="004421F6">
            <w:pPr>
              <w:rPr>
                <w:rFonts w:ascii="宋体"/>
              </w:rPr>
            </w:pPr>
          </w:p>
        </w:tc>
      </w:tr>
      <w:tr w:rsidR="004421F6" w14:paraId="1D027004"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1D026FF1" w14:textId="77777777" w:rsidR="004421F6" w:rsidRDefault="00F15622">
            <w:pPr>
              <w:textAlignment w:val="bottom"/>
            </w:pPr>
            <w:r>
              <w:rPr>
                <w:rFonts w:ascii="Arial" w:eastAsia="宋体" w:hAnsi="Arial" w:cs="Arial"/>
                <w:color w:val="000000"/>
                <w:sz w:val="17"/>
                <w:szCs w:val="17"/>
              </w:rPr>
              <w:t>Earnings (Loss) Before Interest and Taxes</w:t>
            </w:r>
          </w:p>
        </w:tc>
        <w:tc>
          <w:tcPr>
            <w:tcW w:w="0" w:type="auto"/>
            <w:tcBorders>
              <w:top w:val="single" w:sz="8" w:space="0" w:color="808080"/>
              <w:bottom w:val="single" w:sz="8" w:space="0" w:color="E87722"/>
            </w:tcBorders>
            <w:shd w:val="clear" w:color="auto" w:fill="FFF1E7"/>
            <w:tcMar>
              <w:top w:w="40" w:type="dxa"/>
              <w:left w:w="20" w:type="dxa"/>
              <w:bottom w:w="40" w:type="dxa"/>
            </w:tcMar>
            <w:vAlign w:val="bottom"/>
          </w:tcPr>
          <w:p w14:paraId="1D026FF2"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FFF1E7"/>
            <w:tcMar>
              <w:top w:w="40" w:type="dxa"/>
              <w:bottom w:w="40" w:type="dxa"/>
              <w:right w:w="0" w:type="dxa"/>
            </w:tcMar>
            <w:vAlign w:val="bottom"/>
          </w:tcPr>
          <w:p w14:paraId="1D026FF3" w14:textId="77777777" w:rsidR="004421F6" w:rsidRDefault="00F15622">
            <w:pPr>
              <w:jc w:val="right"/>
              <w:textAlignment w:val="bottom"/>
            </w:pPr>
            <w:r>
              <w:rPr>
                <w:rFonts w:ascii="Arial" w:eastAsia="宋体" w:hAnsi="Arial" w:cs="Arial"/>
                <w:color w:val="000000"/>
                <w:sz w:val="17"/>
                <w:szCs w:val="17"/>
              </w:rPr>
              <w:t>(853)</w:t>
            </w:r>
          </w:p>
        </w:tc>
        <w:tc>
          <w:tcPr>
            <w:tcW w:w="0" w:type="auto"/>
            <w:tcBorders>
              <w:top w:val="single" w:sz="8" w:space="0" w:color="808080"/>
              <w:bottom w:val="single" w:sz="8" w:space="0" w:color="E87722"/>
            </w:tcBorders>
            <w:shd w:val="clear" w:color="auto" w:fill="FFF1E7"/>
            <w:tcMar>
              <w:top w:w="40" w:type="dxa"/>
              <w:bottom w:w="40" w:type="dxa"/>
              <w:right w:w="20" w:type="dxa"/>
            </w:tcMar>
            <w:vAlign w:val="bottom"/>
          </w:tcPr>
          <w:p w14:paraId="1D026FF4" w14:textId="77777777" w:rsidR="004421F6" w:rsidRDefault="004421F6">
            <w:pPr>
              <w:jc w:val="right"/>
              <w:rPr>
                <w:rFonts w:ascii="宋体"/>
              </w:rPr>
            </w:pPr>
          </w:p>
        </w:tc>
        <w:tc>
          <w:tcPr>
            <w:tcW w:w="0" w:type="auto"/>
            <w:tcBorders>
              <w:top w:val="single" w:sz="8" w:space="0" w:color="808080"/>
              <w:bottom w:val="single" w:sz="8" w:space="0" w:color="E87722"/>
            </w:tcBorders>
            <w:shd w:val="clear" w:color="auto" w:fill="auto"/>
            <w:tcMar>
              <w:top w:w="40" w:type="dxa"/>
              <w:left w:w="20" w:type="dxa"/>
              <w:bottom w:w="40" w:type="dxa"/>
            </w:tcMar>
            <w:vAlign w:val="bottom"/>
          </w:tcPr>
          <w:p w14:paraId="1D026FF5"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auto"/>
            <w:tcMar>
              <w:top w:w="40" w:type="dxa"/>
              <w:bottom w:w="40" w:type="dxa"/>
              <w:right w:w="0" w:type="dxa"/>
            </w:tcMar>
            <w:vAlign w:val="bottom"/>
          </w:tcPr>
          <w:p w14:paraId="1D026FF6" w14:textId="77777777" w:rsidR="004421F6" w:rsidRDefault="00F15622">
            <w:pPr>
              <w:jc w:val="right"/>
              <w:textAlignment w:val="bottom"/>
            </w:pPr>
            <w:r>
              <w:rPr>
                <w:rFonts w:ascii="Arial" w:eastAsia="宋体" w:hAnsi="Arial" w:cs="Arial"/>
                <w:color w:val="000000"/>
                <w:sz w:val="17"/>
                <w:szCs w:val="17"/>
              </w:rPr>
              <w:t>(857)</w:t>
            </w:r>
          </w:p>
        </w:tc>
        <w:tc>
          <w:tcPr>
            <w:tcW w:w="0" w:type="auto"/>
            <w:tcBorders>
              <w:top w:val="single" w:sz="8" w:space="0" w:color="808080"/>
              <w:bottom w:val="single" w:sz="8" w:space="0" w:color="E87722"/>
            </w:tcBorders>
            <w:shd w:val="clear" w:color="auto" w:fill="auto"/>
            <w:tcMar>
              <w:top w:w="40" w:type="dxa"/>
              <w:bottom w:w="40" w:type="dxa"/>
              <w:right w:w="20" w:type="dxa"/>
            </w:tcMar>
            <w:vAlign w:val="bottom"/>
          </w:tcPr>
          <w:p w14:paraId="1D026FF7" w14:textId="77777777" w:rsidR="004421F6" w:rsidRDefault="004421F6">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1D026FF8" w14:textId="77777777" w:rsidR="004421F6" w:rsidRDefault="00F15622">
            <w:pPr>
              <w:jc w:val="right"/>
              <w:textAlignment w:val="bottom"/>
            </w:pPr>
            <w:r>
              <w:rPr>
                <w:rFonts w:ascii="Arial" w:eastAsia="宋体" w:hAnsi="Arial" w:cs="Arial"/>
                <w:color w:val="000000"/>
                <w:sz w:val="17"/>
                <w:szCs w:val="17"/>
              </w:rPr>
              <w:t>0 </w:t>
            </w:r>
          </w:p>
        </w:tc>
        <w:tc>
          <w:tcPr>
            <w:tcW w:w="0" w:type="auto"/>
            <w:tcBorders>
              <w:top w:val="single" w:sz="8" w:space="0" w:color="808080"/>
              <w:bottom w:val="single" w:sz="8" w:space="0" w:color="E87722"/>
            </w:tcBorders>
            <w:shd w:val="clear" w:color="auto" w:fill="auto"/>
            <w:tcMar>
              <w:top w:w="40" w:type="dxa"/>
              <w:bottom w:w="40" w:type="dxa"/>
              <w:right w:w="20" w:type="dxa"/>
            </w:tcMar>
            <w:vAlign w:val="bottom"/>
          </w:tcPr>
          <w:p w14:paraId="1D026FF9" w14:textId="77777777" w:rsidR="004421F6" w:rsidRDefault="00F15622">
            <w:pPr>
              <w:jc w:val="right"/>
              <w:textAlignment w:val="bottom"/>
            </w:pPr>
            <w:r>
              <w:rPr>
                <w:rFonts w:ascii="Arial" w:eastAsia="宋体" w:hAnsi="Arial" w:cs="Arial"/>
                <w:color w:val="000000"/>
                <w:sz w:val="17"/>
                <w:szCs w:val="17"/>
              </w:rPr>
              <w:t>%</w:t>
            </w:r>
          </w:p>
        </w:tc>
        <w:tc>
          <w:tcPr>
            <w:tcW w:w="0" w:type="auto"/>
            <w:gridSpan w:val="3"/>
            <w:tcBorders>
              <w:top w:val="single" w:sz="8" w:space="0" w:color="808080"/>
              <w:bottom w:val="single" w:sz="8" w:space="0" w:color="E87722"/>
            </w:tcBorders>
            <w:shd w:val="clear" w:color="auto" w:fill="auto"/>
            <w:tcMar>
              <w:left w:w="20" w:type="dxa"/>
              <w:right w:w="20" w:type="dxa"/>
            </w:tcMar>
            <w:vAlign w:val="bottom"/>
          </w:tcPr>
          <w:p w14:paraId="1D026FFA" w14:textId="77777777" w:rsidR="004421F6" w:rsidRDefault="004421F6">
            <w:pPr>
              <w:rPr>
                <w:rFonts w:ascii="宋体"/>
              </w:rPr>
            </w:pPr>
          </w:p>
        </w:tc>
        <w:tc>
          <w:tcPr>
            <w:tcW w:w="0" w:type="auto"/>
            <w:shd w:val="clear" w:color="auto" w:fill="auto"/>
          </w:tcPr>
          <w:p w14:paraId="1D026FFB" w14:textId="77777777" w:rsidR="004421F6" w:rsidRDefault="004421F6">
            <w:pPr>
              <w:rPr>
                <w:rFonts w:ascii="宋体"/>
              </w:rPr>
            </w:pPr>
          </w:p>
        </w:tc>
        <w:tc>
          <w:tcPr>
            <w:tcW w:w="0" w:type="auto"/>
            <w:shd w:val="clear" w:color="auto" w:fill="auto"/>
          </w:tcPr>
          <w:p w14:paraId="1D026FFC" w14:textId="77777777" w:rsidR="004421F6" w:rsidRDefault="004421F6">
            <w:pPr>
              <w:rPr>
                <w:rFonts w:ascii="宋体"/>
              </w:rPr>
            </w:pPr>
          </w:p>
        </w:tc>
        <w:tc>
          <w:tcPr>
            <w:tcW w:w="0" w:type="auto"/>
            <w:shd w:val="clear" w:color="auto" w:fill="auto"/>
          </w:tcPr>
          <w:p w14:paraId="1D026FFD" w14:textId="77777777" w:rsidR="004421F6" w:rsidRDefault="004421F6">
            <w:pPr>
              <w:rPr>
                <w:rFonts w:ascii="宋体"/>
              </w:rPr>
            </w:pPr>
          </w:p>
        </w:tc>
        <w:tc>
          <w:tcPr>
            <w:tcW w:w="0" w:type="auto"/>
            <w:shd w:val="clear" w:color="auto" w:fill="auto"/>
          </w:tcPr>
          <w:p w14:paraId="1D026FFE" w14:textId="77777777" w:rsidR="004421F6" w:rsidRDefault="004421F6">
            <w:pPr>
              <w:rPr>
                <w:rFonts w:ascii="宋体"/>
              </w:rPr>
            </w:pPr>
          </w:p>
        </w:tc>
        <w:tc>
          <w:tcPr>
            <w:tcW w:w="0" w:type="auto"/>
            <w:shd w:val="clear" w:color="auto" w:fill="auto"/>
          </w:tcPr>
          <w:p w14:paraId="1D026FFF" w14:textId="77777777" w:rsidR="004421F6" w:rsidRDefault="004421F6">
            <w:pPr>
              <w:rPr>
                <w:rFonts w:ascii="宋体"/>
              </w:rPr>
            </w:pPr>
          </w:p>
        </w:tc>
        <w:tc>
          <w:tcPr>
            <w:tcW w:w="0" w:type="auto"/>
            <w:shd w:val="clear" w:color="auto" w:fill="auto"/>
          </w:tcPr>
          <w:p w14:paraId="1D027000" w14:textId="77777777" w:rsidR="004421F6" w:rsidRDefault="004421F6">
            <w:pPr>
              <w:rPr>
                <w:rFonts w:ascii="宋体"/>
              </w:rPr>
            </w:pPr>
          </w:p>
        </w:tc>
        <w:tc>
          <w:tcPr>
            <w:tcW w:w="0" w:type="auto"/>
            <w:shd w:val="clear" w:color="auto" w:fill="auto"/>
          </w:tcPr>
          <w:p w14:paraId="1D027001" w14:textId="77777777" w:rsidR="004421F6" w:rsidRDefault="004421F6">
            <w:pPr>
              <w:rPr>
                <w:rFonts w:ascii="宋体"/>
              </w:rPr>
            </w:pPr>
          </w:p>
        </w:tc>
        <w:tc>
          <w:tcPr>
            <w:tcW w:w="0" w:type="auto"/>
            <w:shd w:val="clear" w:color="auto" w:fill="auto"/>
          </w:tcPr>
          <w:p w14:paraId="1D027002" w14:textId="77777777" w:rsidR="004421F6" w:rsidRDefault="004421F6">
            <w:pPr>
              <w:rPr>
                <w:rFonts w:ascii="宋体"/>
              </w:rPr>
            </w:pPr>
          </w:p>
        </w:tc>
        <w:tc>
          <w:tcPr>
            <w:tcW w:w="0" w:type="auto"/>
            <w:shd w:val="clear" w:color="auto" w:fill="auto"/>
          </w:tcPr>
          <w:p w14:paraId="1D027003" w14:textId="77777777" w:rsidR="004421F6" w:rsidRDefault="004421F6">
            <w:pPr>
              <w:rPr>
                <w:rFonts w:ascii="宋体"/>
              </w:rPr>
            </w:pPr>
          </w:p>
        </w:tc>
      </w:tr>
    </w:tbl>
    <w:p w14:paraId="1D027005" w14:textId="77777777" w:rsidR="004421F6" w:rsidRDefault="00F15622">
      <w:pPr>
        <w:spacing w:before="120" w:after="120"/>
      </w:pPr>
      <w:r>
        <w:rPr>
          <w:rFonts w:ascii="Arial" w:eastAsia="宋体" w:hAnsi="Arial" w:cs="Arial"/>
          <w:color w:val="000000"/>
          <w:sz w:val="17"/>
          <w:szCs w:val="17"/>
        </w:rPr>
        <w:t>Global Brand Divisions primarily represent demand creation and operating overhead expense, including product creation and design expenses that are centrally managed for the NIKE Brand, as well as costs associated with NIKE Direct global dig</w:t>
      </w:r>
      <w:r>
        <w:rPr>
          <w:rFonts w:ascii="Arial" w:eastAsia="宋体" w:hAnsi="Arial" w:cs="Arial"/>
          <w:color w:val="000000"/>
          <w:sz w:val="17"/>
          <w:szCs w:val="17"/>
        </w:rPr>
        <w:t xml:space="preserve">ital </w:t>
      </w:r>
    </w:p>
    <w:p w14:paraId="1D027006" w14:textId="77777777" w:rsidR="004421F6" w:rsidRDefault="00F15622">
      <w:pPr>
        <w:spacing w:before="120" w:after="120"/>
        <w:jc w:val="right"/>
      </w:pPr>
      <w:r>
        <w:rPr>
          <w:rFonts w:ascii="Arial" w:eastAsia="宋体" w:hAnsi="Arial" w:cs="Arial"/>
          <w:color w:val="E87722"/>
          <w:sz w:val="17"/>
          <w:szCs w:val="17"/>
        </w:rPr>
        <w:t>31</w:t>
      </w:r>
    </w:p>
    <w:p w14:paraId="1D027007" w14:textId="77777777" w:rsidR="004421F6" w:rsidRDefault="00F15622">
      <w:r>
        <w:pict w14:anchorId="1D02729A">
          <v:rect id="_x0000_i1057" style="width:415.3pt;height:1.5pt" o:hralign="center" o:hrstd="t" o:hr="t" fillcolor="#a0a0a0" stroked="f"/>
        </w:pict>
      </w:r>
    </w:p>
    <w:p w14:paraId="1D027008" w14:textId="77777777" w:rsidR="004421F6" w:rsidRDefault="004421F6"/>
    <w:p w14:paraId="1D027009" w14:textId="77777777" w:rsidR="004421F6" w:rsidRDefault="00F15622">
      <w:hyperlink r:id="rId102" w:anchor="i3e524f2e23844e81ba9d33a05ac3917c_7" w:history="1">
        <w:r>
          <w:rPr>
            <w:rStyle w:val="a5"/>
            <w:rFonts w:ascii="sans-serif" w:eastAsia="sans-serif" w:hAnsi="sans-serif" w:cs="sans-serif"/>
            <w:sz w:val="17"/>
            <w:szCs w:val="17"/>
          </w:rPr>
          <w:t>Table of Contents</w:t>
        </w:r>
      </w:hyperlink>
    </w:p>
    <w:p w14:paraId="1D02700A" w14:textId="77777777" w:rsidR="004421F6" w:rsidRDefault="004421F6"/>
    <w:p w14:paraId="1D02700B" w14:textId="77777777" w:rsidR="004421F6" w:rsidRDefault="00F15622">
      <w:pPr>
        <w:spacing w:before="120" w:after="120"/>
      </w:pPr>
      <w:r>
        <w:rPr>
          <w:rFonts w:ascii="Arial" w:eastAsia="宋体" w:hAnsi="Arial" w:cs="Arial"/>
          <w:color w:val="000000"/>
          <w:sz w:val="17"/>
          <w:szCs w:val="17"/>
        </w:rPr>
        <w:t>operations and enterprise technology. Revenues for Global Brand Divisions are primari</w:t>
      </w:r>
      <w:r>
        <w:rPr>
          <w:rFonts w:ascii="Arial" w:eastAsia="宋体" w:hAnsi="Arial" w:cs="Arial"/>
          <w:color w:val="000000"/>
          <w:sz w:val="17"/>
          <w:szCs w:val="17"/>
        </w:rPr>
        <w:t>ly attributable to NIKE Brand licensing businesses that are not part of a geographic operating segment.</w:t>
      </w:r>
    </w:p>
    <w:p w14:paraId="1D02700C" w14:textId="77777777" w:rsidR="004421F6" w:rsidRDefault="00F15622">
      <w:pPr>
        <w:spacing w:before="120"/>
      </w:pPr>
      <w:r>
        <w:rPr>
          <w:rFonts w:ascii="sans-serif" w:eastAsia="sans-serif" w:hAnsi="sans-serif" w:cs="sans-serif"/>
          <w:b/>
          <w:bCs/>
          <w:color w:val="808080"/>
          <w:sz w:val="22"/>
          <w:szCs w:val="22"/>
        </w:rPr>
        <w:t>FIRST QUARTER OF FISCAL 2021 COMPARED TO FIRST QUARTER OF FISCAL 2020</w:t>
      </w:r>
    </w:p>
    <w:p w14:paraId="1D02700D" w14:textId="77777777" w:rsidR="004421F6" w:rsidRDefault="00F15622">
      <w:pPr>
        <w:spacing w:after="120"/>
      </w:pPr>
      <w:r>
        <w:rPr>
          <w:rFonts w:ascii="Arial" w:eastAsia="宋体" w:hAnsi="Arial" w:cs="Arial"/>
          <w:color w:val="000000"/>
          <w:sz w:val="17"/>
          <w:szCs w:val="17"/>
        </w:rPr>
        <w:t>Global Brand Divisions' loss before interest and taxes was relatively flat for the</w:t>
      </w:r>
      <w:r>
        <w:rPr>
          <w:rFonts w:ascii="Arial" w:eastAsia="宋体" w:hAnsi="Arial" w:cs="Arial"/>
          <w:color w:val="000000"/>
          <w:sz w:val="17"/>
          <w:szCs w:val="17"/>
        </w:rPr>
        <w:t xml:space="preserve"> first quarter of fiscal 2021, with total selling and administrative expense decreasing slightly. Lower demand creation expense was primarily due to lower advertising and marketing costs, as well as lower sports marketing expense. Operating overhead expens</w:t>
      </w:r>
      <w:r>
        <w:rPr>
          <w:rFonts w:ascii="Arial" w:eastAsia="宋体" w:hAnsi="Arial" w:cs="Arial"/>
          <w:color w:val="000000"/>
          <w:sz w:val="17"/>
          <w:szCs w:val="17"/>
        </w:rPr>
        <w:t>e increased slightly, primarily due to higher wage-related costs partially offset by lower travel and related expenses.</w:t>
      </w:r>
    </w:p>
    <w:p w14:paraId="1D02700E" w14:textId="77777777" w:rsidR="004421F6" w:rsidRDefault="00F15622">
      <w:pPr>
        <w:spacing w:before="240" w:after="120"/>
      </w:pPr>
      <w:r>
        <w:rPr>
          <w:rFonts w:ascii="sans-serif" w:eastAsia="sans-serif" w:hAnsi="sans-serif" w:cs="sans-serif"/>
          <w:b/>
          <w:bCs/>
          <w:color w:val="000000"/>
          <w:sz w:val="28"/>
          <w:szCs w:val="28"/>
        </w:rPr>
        <w:t>CONVERSE</w:t>
      </w:r>
    </w:p>
    <w:tbl>
      <w:tblPr>
        <w:tblW w:w="5000" w:type="pct"/>
        <w:tblCellMar>
          <w:top w:w="15" w:type="dxa"/>
          <w:left w:w="15" w:type="dxa"/>
          <w:bottom w:w="15" w:type="dxa"/>
          <w:right w:w="15" w:type="dxa"/>
        </w:tblCellMar>
        <w:tblLook w:val="04A0" w:firstRow="1" w:lastRow="0" w:firstColumn="1" w:lastColumn="0" w:noHBand="0" w:noVBand="1"/>
      </w:tblPr>
      <w:tblGrid>
        <w:gridCol w:w="52"/>
        <w:gridCol w:w="3805"/>
        <w:gridCol w:w="37"/>
        <w:gridCol w:w="130"/>
        <w:gridCol w:w="844"/>
        <w:gridCol w:w="41"/>
        <w:gridCol w:w="130"/>
        <w:gridCol w:w="845"/>
        <w:gridCol w:w="41"/>
        <w:gridCol w:w="52"/>
        <w:gridCol w:w="804"/>
        <w:gridCol w:w="187"/>
        <w:gridCol w:w="70"/>
        <w:gridCol w:w="787"/>
        <w:gridCol w:w="187"/>
        <w:gridCol w:w="36"/>
        <w:gridCol w:w="36"/>
        <w:gridCol w:w="36"/>
        <w:gridCol w:w="36"/>
        <w:gridCol w:w="36"/>
        <w:gridCol w:w="36"/>
        <w:gridCol w:w="36"/>
        <w:gridCol w:w="36"/>
        <w:gridCol w:w="36"/>
      </w:tblGrid>
      <w:tr w:rsidR="004421F6" w14:paraId="1D02701E" w14:textId="77777777">
        <w:trPr>
          <w:gridAfter w:val="9"/>
        </w:trPr>
        <w:tc>
          <w:tcPr>
            <w:tcW w:w="50" w:type="pct"/>
            <w:shd w:val="clear" w:color="auto" w:fill="auto"/>
          </w:tcPr>
          <w:p w14:paraId="1D02700F" w14:textId="77777777" w:rsidR="004421F6" w:rsidRDefault="004421F6">
            <w:pPr>
              <w:rPr>
                <w:rFonts w:ascii="宋体"/>
              </w:rPr>
            </w:pPr>
          </w:p>
        </w:tc>
        <w:tc>
          <w:tcPr>
            <w:tcW w:w="2445" w:type="pct"/>
            <w:shd w:val="clear" w:color="auto" w:fill="auto"/>
          </w:tcPr>
          <w:p w14:paraId="1D027010" w14:textId="77777777" w:rsidR="004421F6" w:rsidRDefault="004421F6">
            <w:pPr>
              <w:rPr>
                <w:rFonts w:ascii="宋体"/>
              </w:rPr>
            </w:pPr>
          </w:p>
        </w:tc>
        <w:tc>
          <w:tcPr>
            <w:tcW w:w="5" w:type="pct"/>
            <w:shd w:val="clear" w:color="auto" w:fill="auto"/>
          </w:tcPr>
          <w:p w14:paraId="1D027011" w14:textId="77777777" w:rsidR="004421F6" w:rsidRDefault="004421F6">
            <w:pPr>
              <w:rPr>
                <w:rFonts w:ascii="宋体"/>
              </w:rPr>
            </w:pPr>
          </w:p>
        </w:tc>
        <w:tc>
          <w:tcPr>
            <w:tcW w:w="50" w:type="pct"/>
            <w:shd w:val="clear" w:color="auto" w:fill="auto"/>
          </w:tcPr>
          <w:p w14:paraId="1D027012" w14:textId="77777777" w:rsidR="004421F6" w:rsidRDefault="004421F6">
            <w:pPr>
              <w:rPr>
                <w:rFonts w:ascii="宋体"/>
              </w:rPr>
            </w:pPr>
          </w:p>
        </w:tc>
        <w:tc>
          <w:tcPr>
            <w:tcW w:w="570" w:type="pct"/>
            <w:shd w:val="clear" w:color="auto" w:fill="auto"/>
          </w:tcPr>
          <w:p w14:paraId="1D027013" w14:textId="77777777" w:rsidR="004421F6" w:rsidRDefault="004421F6">
            <w:pPr>
              <w:rPr>
                <w:rFonts w:ascii="宋体"/>
              </w:rPr>
            </w:pPr>
          </w:p>
        </w:tc>
        <w:tc>
          <w:tcPr>
            <w:tcW w:w="5" w:type="pct"/>
            <w:shd w:val="clear" w:color="auto" w:fill="auto"/>
          </w:tcPr>
          <w:p w14:paraId="1D027014" w14:textId="77777777" w:rsidR="004421F6" w:rsidRDefault="004421F6">
            <w:pPr>
              <w:rPr>
                <w:rFonts w:ascii="宋体"/>
              </w:rPr>
            </w:pPr>
          </w:p>
        </w:tc>
        <w:tc>
          <w:tcPr>
            <w:tcW w:w="50" w:type="pct"/>
            <w:shd w:val="clear" w:color="auto" w:fill="auto"/>
          </w:tcPr>
          <w:p w14:paraId="1D027015" w14:textId="77777777" w:rsidR="004421F6" w:rsidRDefault="004421F6">
            <w:pPr>
              <w:rPr>
                <w:rFonts w:ascii="宋体"/>
              </w:rPr>
            </w:pPr>
          </w:p>
        </w:tc>
        <w:tc>
          <w:tcPr>
            <w:tcW w:w="570" w:type="pct"/>
            <w:shd w:val="clear" w:color="auto" w:fill="auto"/>
          </w:tcPr>
          <w:p w14:paraId="1D027016" w14:textId="77777777" w:rsidR="004421F6" w:rsidRDefault="004421F6">
            <w:pPr>
              <w:rPr>
                <w:rFonts w:ascii="宋体"/>
              </w:rPr>
            </w:pPr>
          </w:p>
        </w:tc>
        <w:tc>
          <w:tcPr>
            <w:tcW w:w="5" w:type="pct"/>
            <w:shd w:val="clear" w:color="auto" w:fill="auto"/>
          </w:tcPr>
          <w:p w14:paraId="1D027017" w14:textId="77777777" w:rsidR="004421F6" w:rsidRDefault="004421F6">
            <w:pPr>
              <w:rPr>
                <w:rFonts w:ascii="宋体"/>
              </w:rPr>
            </w:pPr>
          </w:p>
        </w:tc>
        <w:tc>
          <w:tcPr>
            <w:tcW w:w="50" w:type="pct"/>
            <w:shd w:val="clear" w:color="auto" w:fill="auto"/>
          </w:tcPr>
          <w:p w14:paraId="1D027018" w14:textId="77777777" w:rsidR="004421F6" w:rsidRDefault="004421F6">
            <w:pPr>
              <w:rPr>
                <w:rFonts w:ascii="宋体"/>
              </w:rPr>
            </w:pPr>
          </w:p>
        </w:tc>
        <w:tc>
          <w:tcPr>
            <w:tcW w:w="570" w:type="pct"/>
            <w:shd w:val="clear" w:color="auto" w:fill="auto"/>
          </w:tcPr>
          <w:p w14:paraId="1D027019" w14:textId="77777777" w:rsidR="004421F6" w:rsidRDefault="004421F6">
            <w:pPr>
              <w:rPr>
                <w:rFonts w:ascii="宋体"/>
              </w:rPr>
            </w:pPr>
          </w:p>
        </w:tc>
        <w:tc>
          <w:tcPr>
            <w:tcW w:w="5" w:type="pct"/>
            <w:shd w:val="clear" w:color="auto" w:fill="auto"/>
          </w:tcPr>
          <w:p w14:paraId="1D02701A" w14:textId="77777777" w:rsidR="004421F6" w:rsidRDefault="004421F6">
            <w:pPr>
              <w:rPr>
                <w:rFonts w:ascii="宋体"/>
              </w:rPr>
            </w:pPr>
          </w:p>
        </w:tc>
        <w:tc>
          <w:tcPr>
            <w:tcW w:w="50" w:type="pct"/>
            <w:shd w:val="clear" w:color="auto" w:fill="auto"/>
          </w:tcPr>
          <w:p w14:paraId="1D02701B" w14:textId="77777777" w:rsidR="004421F6" w:rsidRDefault="004421F6">
            <w:pPr>
              <w:rPr>
                <w:rFonts w:ascii="宋体"/>
              </w:rPr>
            </w:pPr>
          </w:p>
        </w:tc>
        <w:tc>
          <w:tcPr>
            <w:tcW w:w="570" w:type="pct"/>
            <w:shd w:val="clear" w:color="auto" w:fill="auto"/>
          </w:tcPr>
          <w:p w14:paraId="1D02701C" w14:textId="77777777" w:rsidR="004421F6" w:rsidRDefault="004421F6">
            <w:pPr>
              <w:rPr>
                <w:rFonts w:ascii="宋体"/>
              </w:rPr>
            </w:pPr>
          </w:p>
        </w:tc>
        <w:tc>
          <w:tcPr>
            <w:tcW w:w="5" w:type="pct"/>
            <w:shd w:val="clear" w:color="auto" w:fill="auto"/>
          </w:tcPr>
          <w:p w14:paraId="1D02701D" w14:textId="77777777" w:rsidR="004421F6" w:rsidRDefault="004421F6">
            <w:pPr>
              <w:rPr>
                <w:rFonts w:ascii="宋体"/>
              </w:rPr>
            </w:pPr>
          </w:p>
        </w:tc>
      </w:tr>
      <w:tr w:rsidR="004421F6" w14:paraId="1D027024" w14:textId="77777777">
        <w:tc>
          <w:tcPr>
            <w:tcW w:w="0" w:type="auto"/>
            <w:gridSpan w:val="3"/>
            <w:shd w:val="clear" w:color="auto" w:fill="auto"/>
            <w:tcMar>
              <w:left w:w="20" w:type="dxa"/>
              <w:right w:w="20" w:type="dxa"/>
            </w:tcMar>
            <w:vAlign w:val="bottom"/>
          </w:tcPr>
          <w:p w14:paraId="1D02701F" w14:textId="77777777" w:rsidR="004421F6" w:rsidRDefault="004421F6">
            <w:pPr>
              <w:rPr>
                <w:rFonts w:ascii="宋体"/>
              </w:rPr>
            </w:pPr>
          </w:p>
        </w:tc>
        <w:tc>
          <w:tcPr>
            <w:tcW w:w="0" w:type="auto"/>
            <w:gridSpan w:val="12"/>
            <w:shd w:val="clear" w:color="auto" w:fill="auto"/>
            <w:tcMar>
              <w:top w:w="40" w:type="dxa"/>
              <w:left w:w="20" w:type="dxa"/>
              <w:bottom w:w="40" w:type="dxa"/>
              <w:right w:w="20" w:type="dxa"/>
            </w:tcMar>
            <w:vAlign w:val="bottom"/>
          </w:tcPr>
          <w:p w14:paraId="1D027020"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7021" w14:textId="77777777" w:rsidR="004421F6" w:rsidRDefault="004421F6">
            <w:pPr>
              <w:rPr>
                <w:rFonts w:ascii="宋体"/>
                <w:vanish/>
              </w:rPr>
            </w:pPr>
          </w:p>
        </w:tc>
        <w:tc>
          <w:tcPr>
            <w:tcW w:w="0" w:type="auto"/>
            <w:gridSpan w:val="3"/>
            <w:shd w:val="clear" w:color="auto" w:fill="auto"/>
          </w:tcPr>
          <w:p w14:paraId="1D027022" w14:textId="77777777" w:rsidR="004421F6" w:rsidRDefault="004421F6">
            <w:pPr>
              <w:rPr>
                <w:rFonts w:ascii="宋体"/>
                <w:vanish/>
              </w:rPr>
            </w:pPr>
          </w:p>
        </w:tc>
        <w:tc>
          <w:tcPr>
            <w:tcW w:w="0" w:type="auto"/>
            <w:gridSpan w:val="3"/>
            <w:shd w:val="clear" w:color="auto" w:fill="auto"/>
          </w:tcPr>
          <w:p w14:paraId="1D027023" w14:textId="77777777" w:rsidR="004421F6" w:rsidRDefault="004421F6">
            <w:pPr>
              <w:rPr>
                <w:rFonts w:ascii="宋体"/>
                <w:vanish/>
              </w:rPr>
            </w:pPr>
          </w:p>
        </w:tc>
      </w:tr>
      <w:tr w:rsidR="004421F6" w14:paraId="1D027033" w14:textId="77777777">
        <w:tc>
          <w:tcPr>
            <w:tcW w:w="0" w:type="auto"/>
            <w:gridSpan w:val="3"/>
            <w:shd w:val="clear" w:color="auto" w:fill="auto"/>
            <w:tcMar>
              <w:top w:w="40" w:type="dxa"/>
              <w:left w:w="20" w:type="dxa"/>
              <w:bottom w:w="40" w:type="dxa"/>
              <w:right w:w="20" w:type="dxa"/>
            </w:tcMar>
            <w:vAlign w:val="bottom"/>
          </w:tcPr>
          <w:p w14:paraId="1D027025" w14:textId="77777777" w:rsidR="004421F6" w:rsidRDefault="00F1562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7026"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7027"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7028" w14:textId="77777777" w:rsidR="004421F6" w:rsidRDefault="00F1562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7029" w14:textId="77777777" w:rsidR="004421F6" w:rsidRDefault="00F15622">
            <w:pPr>
              <w:jc w:val="right"/>
              <w:textAlignment w:val="bottom"/>
            </w:pPr>
            <w:r>
              <w:rPr>
                <w:rFonts w:ascii="sans-serif" w:eastAsia="sans-serif" w:hAnsi="sans-serif" w:cs="sans-serif"/>
                <w:b/>
                <w:bCs/>
                <w:color w:val="000000"/>
                <w:sz w:val="17"/>
                <w:szCs w:val="17"/>
              </w:rPr>
              <w:t xml:space="preserve">% CHANGE EXCLUDING CURRENCY </w:t>
            </w:r>
            <w:r>
              <w:rPr>
                <w:rFonts w:ascii="sans-serif" w:eastAsia="sans-serif" w:hAnsi="sans-serif" w:cs="sans-serif"/>
                <w:b/>
                <w:bCs/>
                <w:color w:val="000000"/>
                <w:sz w:val="17"/>
                <w:szCs w:val="17"/>
              </w:rPr>
              <w:t>CHANGES</w:t>
            </w:r>
          </w:p>
        </w:tc>
        <w:tc>
          <w:tcPr>
            <w:tcW w:w="0" w:type="auto"/>
            <w:shd w:val="clear" w:color="auto" w:fill="auto"/>
          </w:tcPr>
          <w:p w14:paraId="1D02702A" w14:textId="77777777" w:rsidR="004421F6" w:rsidRDefault="004421F6">
            <w:pPr>
              <w:rPr>
                <w:rFonts w:ascii="宋体"/>
              </w:rPr>
            </w:pPr>
          </w:p>
        </w:tc>
        <w:tc>
          <w:tcPr>
            <w:tcW w:w="0" w:type="auto"/>
            <w:shd w:val="clear" w:color="auto" w:fill="auto"/>
          </w:tcPr>
          <w:p w14:paraId="1D02702B" w14:textId="77777777" w:rsidR="004421F6" w:rsidRDefault="004421F6">
            <w:pPr>
              <w:rPr>
                <w:rFonts w:ascii="宋体"/>
              </w:rPr>
            </w:pPr>
          </w:p>
        </w:tc>
        <w:tc>
          <w:tcPr>
            <w:tcW w:w="0" w:type="auto"/>
            <w:shd w:val="clear" w:color="auto" w:fill="auto"/>
          </w:tcPr>
          <w:p w14:paraId="1D02702C" w14:textId="77777777" w:rsidR="004421F6" w:rsidRDefault="004421F6">
            <w:pPr>
              <w:rPr>
                <w:rFonts w:ascii="宋体"/>
              </w:rPr>
            </w:pPr>
          </w:p>
        </w:tc>
        <w:tc>
          <w:tcPr>
            <w:tcW w:w="0" w:type="auto"/>
            <w:shd w:val="clear" w:color="auto" w:fill="auto"/>
          </w:tcPr>
          <w:p w14:paraId="1D02702D" w14:textId="77777777" w:rsidR="004421F6" w:rsidRDefault="004421F6">
            <w:pPr>
              <w:rPr>
                <w:rFonts w:ascii="宋体"/>
              </w:rPr>
            </w:pPr>
          </w:p>
        </w:tc>
        <w:tc>
          <w:tcPr>
            <w:tcW w:w="0" w:type="auto"/>
            <w:shd w:val="clear" w:color="auto" w:fill="auto"/>
          </w:tcPr>
          <w:p w14:paraId="1D02702E" w14:textId="77777777" w:rsidR="004421F6" w:rsidRDefault="004421F6">
            <w:pPr>
              <w:rPr>
                <w:rFonts w:ascii="宋体"/>
              </w:rPr>
            </w:pPr>
          </w:p>
        </w:tc>
        <w:tc>
          <w:tcPr>
            <w:tcW w:w="0" w:type="auto"/>
            <w:shd w:val="clear" w:color="auto" w:fill="auto"/>
          </w:tcPr>
          <w:p w14:paraId="1D02702F" w14:textId="77777777" w:rsidR="004421F6" w:rsidRDefault="004421F6">
            <w:pPr>
              <w:rPr>
                <w:rFonts w:ascii="宋体"/>
              </w:rPr>
            </w:pPr>
          </w:p>
        </w:tc>
        <w:tc>
          <w:tcPr>
            <w:tcW w:w="0" w:type="auto"/>
            <w:shd w:val="clear" w:color="auto" w:fill="auto"/>
          </w:tcPr>
          <w:p w14:paraId="1D027030" w14:textId="77777777" w:rsidR="004421F6" w:rsidRDefault="004421F6">
            <w:pPr>
              <w:rPr>
                <w:rFonts w:ascii="宋体"/>
              </w:rPr>
            </w:pPr>
          </w:p>
        </w:tc>
        <w:tc>
          <w:tcPr>
            <w:tcW w:w="0" w:type="auto"/>
            <w:shd w:val="clear" w:color="auto" w:fill="auto"/>
          </w:tcPr>
          <w:p w14:paraId="1D027031" w14:textId="77777777" w:rsidR="004421F6" w:rsidRDefault="004421F6">
            <w:pPr>
              <w:rPr>
                <w:rFonts w:ascii="宋体"/>
              </w:rPr>
            </w:pPr>
          </w:p>
        </w:tc>
        <w:tc>
          <w:tcPr>
            <w:tcW w:w="0" w:type="auto"/>
            <w:shd w:val="clear" w:color="auto" w:fill="auto"/>
          </w:tcPr>
          <w:p w14:paraId="1D027032" w14:textId="77777777" w:rsidR="004421F6" w:rsidRDefault="004421F6">
            <w:pPr>
              <w:rPr>
                <w:rFonts w:ascii="宋体"/>
              </w:rPr>
            </w:pPr>
          </w:p>
        </w:tc>
      </w:tr>
      <w:tr w:rsidR="004421F6" w14:paraId="1D02704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7034" w14:textId="77777777" w:rsidR="004421F6" w:rsidRDefault="00F1562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left w:w="20" w:type="dxa"/>
              <w:right w:w="20" w:type="dxa"/>
            </w:tcMar>
            <w:vAlign w:val="bottom"/>
          </w:tcPr>
          <w:p w14:paraId="1D027035"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7036"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7037"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7038" w14:textId="77777777" w:rsidR="004421F6" w:rsidRDefault="004421F6">
            <w:pPr>
              <w:rPr>
                <w:rFonts w:ascii="宋体"/>
              </w:rPr>
            </w:pPr>
          </w:p>
        </w:tc>
        <w:tc>
          <w:tcPr>
            <w:tcW w:w="0" w:type="auto"/>
            <w:shd w:val="clear" w:color="auto" w:fill="auto"/>
          </w:tcPr>
          <w:p w14:paraId="1D027039" w14:textId="77777777" w:rsidR="004421F6" w:rsidRDefault="004421F6">
            <w:pPr>
              <w:rPr>
                <w:rFonts w:ascii="宋体"/>
              </w:rPr>
            </w:pPr>
          </w:p>
        </w:tc>
        <w:tc>
          <w:tcPr>
            <w:tcW w:w="0" w:type="auto"/>
            <w:shd w:val="clear" w:color="auto" w:fill="auto"/>
          </w:tcPr>
          <w:p w14:paraId="1D02703A" w14:textId="77777777" w:rsidR="004421F6" w:rsidRDefault="004421F6">
            <w:pPr>
              <w:rPr>
                <w:rFonts w:ascii="宋体"/>
              </w:rPr>
            </w:pPr>
          </w:p>
        </w:tc>
        <w:tc>
          <w:tcPr>
            <w:tcW w:w="0" w:type="auto"/>
            <w:shd w:val="clear" w:color="auto" w:fill="auto"/>
          </w:tcPr>
          <w:p w14:paraId="1D02703B" w14:textId="77777777" w:rsidR="004421F6" w:rsidRDefault="004421F6">
            <w:pPr>
              <w:rPr>
                <w:rFonts w:ascii="宋体"/>
              </w:rPr>
            </w:pPr>
          </w:p>
        </w:tc>
        <w:tc>
          <w:tcPr>
            <w:tcW w:w="0" w:type="auto"/>
            <w:shd w:val="clear" w:color="auto" w:fill="auto"/>
          </w:tcPr>
          <w:p w14:paraId="1D02703C" w14:textId="77777777" w:rsidR="004421F6" w:rsidRDefault="004421F6">
            <w:pPr>
              <w:rPr>
                <w:rFonts w:ascii="宋体"/>
              </w:rPr>
            </w:pPr>
          </w:p>
        </w:tc>
        <w:tc>
          <w:tcPr>
            <w:tcW w:w="0" w:type="auto"/>
            <w:shd w:val="clear" w:color="auto" w:fill="auto"/>
          </w:tcPr>
          <w:p w14:paraId="1D02703D" w14:textId="77777777" w:rsidR="004421F6" w:rsidRDefault="004421F6">
            <w:pPr>
              <w:rPr>
                <w:rFonts w:ascii="宋体"/>
              </w:rPr>
            </w:pPr>
          </w:p>
        </w:tc>
        <w:tc>
          <w:tcPr>
            <w:tcW w:w="0" w:type="auto"/>
            <w:shd w:val="clear" w:color="auto" w:fill="auto"/>
          </w:tcPr>
          <w:p w14:paraId="1D02703E" w14:textId="77777777" w:rsidR="004421F6" w:rsidRDefault="004421F6">
            <w:pPr>
              <w:rPr>
                <w:rFonts w:ascii="宋体"/>
              </w:rPr>
            </w:pPr>
          </w:p>
        </w:tc>
        <w:tc>
          <w:tcPr>
            <w:tcW w:w="0" w:type="auto"/>
            <w:shd w:val="clear" w:color="auto" w:fill="auto"/>
          </w:tcPr>
          <w:p w14:paraId="1D02703F" w14:textId="77777777" w:rsidR="004421F6" w:rsidRDefault="004421F6">
            <w:pPr>
              <w:rPr>
                <w:rFonts w:ascii="宋体"/>
              </w:rPr>
            </w:pPr>
          </w:p>
        </w:tc>
        <w:tc>
          <w:tcPr>
            <w:tcW w:w="0" w:type="auto"/>
            <w:shd w:val="clear" w:color="auto" w:fill="auto"/>
          </w:tcPr>
          <w:p w14:paraId="1D027040" w14:textId="77777777" w:rsidR="004421F6" w:rsidRDefault="004421F6">
            <w:pPr>
              <w:rPr>
                <w:rFonts w:ascii="宋体"/>
              </w:rPr>
            </w:pPr>
          </w:p>
        </w:tc>
        <w:tc>
          <w:tcPr>
            <w:tcW w:w="0" w:type="auto"/>
            <w:shd w:val="clear" w:color="auto" w:fill="auto"/>
          </w:tcPr>
          <w:p w14:paraId="1D027041" w14:textId="77777777" w:rsidR="004421F6" w:rsidRDefault="004421F6">
            <w:pPr>
              <w:rPr>
                <w:rFonts w:ascii="宋体"/>
              </w:rPr>
            </w:pPr>
          </w:p>
        </w:tc>
      </w:tr>
      <w:tr w:rsidR="004421F6" w14:paraId="1D027057"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7043" w14:textId="77777777" w:rsidR="004421F6" w:rsidRDefault="00F1562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tcMar>
            <w:vAlign w:val="bottom"/>
          </w:tcPr>
          <w:p w14:paraId="1D027044"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7045" w14:textId="77777777" w:rsidR="004421F6" w:rsidRDefault="00F15622">
            <w:pPr>
              <w:jc w:val="right"/>
              <w:textAlignment w:val="bottom"/>
            </w:pPr>
            <w:r>
              <w:rPr>
                <w:rFonts w:ascii="Arial" w:eastAsia="宋体" w:hAnsi="Arial" w:cs="Arial"/>
                <w:color w:val="000000"/>
                <w:sz w:val="17"/>
                <w:szCs w:val="17"/>
              </w:rPr>
              <w:t>513 </w:t>
            </w:r>
          </w:p>
        </w:tc>
        <w:tc>
          <w:tcPr>
            <w:tcW w:w="0" w:type="auto"/>
            <w:tcBorders>
              <w:top w:val="single" w:sz="8" w:space="0" w:color="808080"/>
            </w:tcBorders>
            <w:shd w:val="clear" w:color="auto" w:fill="FFF1E7"/>
            <w:tcMar>
              <w:top w:w="40" w:type="dxa"/>
              <w:bottom w:w="40" w:type="dxa"/>
              <w:right w:w="20" w:type="dxa"/>
            </w:tcMar>
            <w:vAlign w:val="bottom"/>
          </w:tcPr>
          <w:p w14:paraId="1D027046"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7047"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7048" w14:textId="77777777" w:rsidR="004421F6" w:rsidRDefault="00F15622">
            <w:pPr>
              <w:jc w:val="right"/>
              <w:textAlignment w:val="bottom"/>
            </w:pPr>
            <w:r>
              <w:rPr>
                <w:rFonts w:ascii="Arial" w:eastAsia="宋体" w:hAnsi="Arial" w:cs="Arial"/>
                <w:color w:val="000000"/>
                <w:sz w:val="17"/>
                <w:szCs w:val="17"/>
              </w:rPr>
              <w:t>496 </w:t>
            </w:r>
          </w:p>
        </w:tc>
        <w:tc>
          <w:tcPr>
            <w:tcW w:w="0" w:type="auto"/>
            <w:tcBorders>
              <w:top w:val="single" w:sz="8" w:space="0" w:color="808080"/>
            </w:tcBorders>
            <w:shd w:val="clear" w:color="auto" w:fill="auto"/>
            <w:tcMar>
              <w:top w:w="40" w:type="dxa"/>
              <w:bottom w:w="40" w:type="dxa"/>
              <w:right w:w="20" w:type="dxa"/>
            </w:tcMar>
            <w:vAlign w:val="bottom"/>
          </w:tcPr>
          <w:p w14:paraId="1D027049"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4A" w14:textId="77777777" w:rsidR="004421F6" w:rsidRDefault="00F1562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bottom w:w="40" w:type="dxa"/>
              <w:right w:w="20" w:type="dxa"/>
            </w:tcMar>
            <w:vAlign w:val="bottom"/>
          </w:tcPr>
          <w:p w14:paraId="1D02704B"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4C" w14:textId="77777777" w:rsidR="004421F6" w:rsidRDefault="00F1562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bottom w:w="40" w:type="dxa"/>
              <w:right w:w="20" w:type="dxa"/>
            </w:tcMar>
            <w:vAlign w:val="bottom"/>
          </w:tcPr>
          <w:p w14:paraId="1D02704D"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704E" w14:textId="77777777" w:rsidR="004421F6" w:rsidRDefault="004421F6">
            <w:pPr>
              <w:rPr>
                <w:rFonts w:ascii="宋体"/>
              </w:rPr>
            </w:pPr>
          </w:p>
        </w:tc>
        <w:tc>
          <w:tcPr>
            <w:tcW w:w="0" w:type="auto"/>
            <w:shd w:val="clear" w:color="auto" w:fill="auto"/>
          </w:tcPr>
          <w:p w14:paraId="1D02704F" w14:textId="77777777" w:rsidR="004421F6" w:rsidRDefault="004421F6">
            <w:pPr>
              <w:rPr>
                <w:rFonts w:ascii="宋体"/>
              </w:rPr>
            </w:pPr>
          </w:p>
        </w:tc>
        <w:tc>
          <w:tcPr>
            <w:tcW w:w="0" w:type="auto"/>
            <w:shd w:val="clear" w:color="auto" w:fill="auto"/>
          </w:tcPr>
          <w:p w14:paraId="1D027050" w14:textId="77777777" w:rsidR="004421F6" w:rsidRDefault="004421F6">
            <w:pPr>
              <w:rPr>
                <w:rFonts w:ascii="宋体"/>
              </w:rPr>
            </w:pPr>
          </w:p>
        </w:tc>
        <w:tc>
          <w:tcPr>
            <w:tcW w:w="0" w:type="auto"/>
            <w:shd w:val="clear" w:color="auto" w:fill="auto"/>
          </w:tcPr>
          <w:p w14:paraId="1D027051" w14:textId="77777777" w:rsidR="004421F6" w:rsidRDefault="004421F6">
            <w:pPr>
              <w:rPr>
                <w:rFonts w:ascii="宋体"/>
              </w:rPr>
            </w:pPr>
          </w:p>
        </w:tc>
        <w:tc>
          <w:tcPr>
            <w:tcW w:w="0" w:type="auto"/>
            <w:shd w:val="clear" w:color="auto" w:fill="auto"/>
          </w:tcPr>
          <w:p w14:paraId="1D027052" w14:textId="77777777" w:rsidR="004421F6" w:rsidRDefault="004421F6">
            <w:pPr>
              <w:rPr>
                <w:rFonts w:ascii="宋体"/>
              </w:rPr>
            </w:pPr>
          </w:p>
        </w:tc>
        <w:tc>
          <w:tcPr>
            <w:tcW w:w="0" w:type="auto"/>
            <w:shd w:val="clear" w:color="auto" w:fill="auto"/>
          </w:tcPr>
          <w:p w14:paraId="1D027053" w14:textId="77777777" w:rsidR="004421F6" w:rsidRDefault="004421F6">
            <w:pPr>
              <w:rPr>
                <w:rFonts w:ascii="宋体"/>
              </w:rPr>
            </w:pPr>
          </w:p>
        </w:tc>
        <w:tc>
          <w:tcPr>
            <w:tcW w:w="0" w:type="auto"/>
            <w:shd w:val="clear" w:color="auto" w:fill="auto"/>
          </w:tcPr>
          <w:p w14:paraId="1D027054" w14:textId="77777777" w:rsidR="004421F6" w:rsidRDefault="004421F6">
            <w:pPr>
              <w:rPr>
                <w:rFonts w:ascii="宋体"/>
              </w:rPr>
            </w:pPr>
          </w:p>
        </w:tc>
        <w:tc>
          <w:tcPr>
            <w:tcW w:w="0" w:type="auto"/>
            <w:shd w:val="clear" w:color="auto" w:fill="auto"/>
          </w:tcPr>
          <w:p w14:paraId="1D027055" w14:textId="77777777" w:rsidR="004421F6" w:rsidRDefault="004421F6">
            <w:pPr>
              <w:rPr>
                <w:rFonts w:ascii="宋体"/>
              </w:rPr>
            </w:pPr>
          </w:p>
        </w:tc>
        <w:tc>
          <w:tcPr>
            <w:tcW w:w="0" w:type="auto"/>
            <w:shd w:val="clear" w:color="auto" w:fill="auto"/>
          </w:tcPr>
          <w:p w14:paraId="1D027056" w14:textId="77777777" w:rsidR="004421F6" w:rsidRDefault="004421F6">
            <w:pPr>
              <w:rPr>
                <w:rFonts w:ascii="宋体"/>
              </w:rPr>
            </w:pPr>
          </w:p>
        </w:tc>
      </w:tr>
      <w:tr w:rsidR="004421F6" w14:paraId="1D02706A"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7058" w14:textId="77777777" w:rsidR="004421F6" w:rsidRDefault="00F1562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7059" w14:textId="77777777" w:rsidR="004421F6" w:rsidRDefault="00F15622">
            <w:pPr>
              <w:jc w:val="right"/>
              <w:textAlignment w:val="bottom"/>
            </w:pPr>
            <w:r>
              <w:rPr>
                <w:rFonts w:ascii="Arial" w:eastAsia="宋体" w:hAnsi="Arial" w:cs="Arial"/>
                <w:color w:val="000000"/>
                <w:sz w:val="17"/>
                <w:szCs w:val="17"/>
              </w:rPr>
              <w:t>22 </w:t>
            </w:r>
          </w:p>
        </w:tc>
        <w:tc>
          <w:tcPr>
            <w:tcW w:w="0" w:type="auto"/>
            <w:tcBorders>
              <w:top w:val="single" w:sz="8" w:space="0" w:color="808080"/>
            </w:tcBorders>
            <w:shd w:val="clear" w:color="auto" w:fill="FFF1E7"/>
            <w:tcMar>
              <w:top w:w="40" w:type="dxa"/>
              <w:bottom w:w="40" w:type="dxa"/>
              <w:right w:w="20" w:type="dxa"/>
            </w:tcMar>
            <w:vAlign w:val="bottom"/>
          </w:tcPr>
          <w:p w14:paraId="1D02705A"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5B" w14:textId="77777777" w:rsidR="004421F6" w:rsidRDefault="00F15622">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auto"/>
            <w:tcMar>
              <w:top w:w="40" w:type="dxa"/>
              <w:bottom w:w="40" w:type="dxa"/>
              <w:right w:w="20" w:type="dxa"/>
            </w:tcMar>
            <w:vAlign w:val="bottom"/>
          </w:tcPr>
          <w:p w14:paraId="1D02705C"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5D" w14:textId="77777777" w:rsidR="004421F6" w:rsidRDefault="00F15622">
            <w:pPr>
              <w:jc w:val="right"/>
              <w:textAlignment w:val="bottom"/>
            </w:pPr>
            <w:r>
              <w:rPr>
                <w:rFonts w:ascii="Arial" w:eastAsia="宋体" w:hAnsi="Arial" w:cs="Arial"/>
                <w:color w:val="000000"/>
                <w:sz w:val="17"/>
                <w:szCs w:val="17"/>
              </w:rPr>
              <w:t>-15 </w:t>
            </w:r>
          </w:p>
        </w:tc>
        <w:tc>
          <w:tcPr>
            <w:tcW w:w="0" w:type="auto"/>
            <w:tcBorders>
              <w:top w:val="single" w:sz="8" w:space="0" w:color="808080"/>
            </w:tcBorders>
            <w:shd w:val="clear" w:color="auto" w:fill="auto"/>
            <w:tcMar>
              <w:top w:w="40" w:type="dxa"/>
              <w:bottom w:w="40" w:type="dxa"/>
              <w:right w:w="20" w:type="dxa"/>
            </w:tcMar>
            <w:vAlign w:val="bottom"/>
          </w:tcPr>
          <w:p w14:paraId="1D02705E"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5F" w14:textId="77777777" w:rsidR="004421F6" w:rsidRDefault="00F15622">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auto"/>
            <w:tcMar>
              <w:top w:w="40" w:type="dxa"/>
              <w:bottom w:w="40" w:type="dxa"/>
              <w:right w:w="20" w:type="dxa"/>
            </w:tcMar>
            <w:vAlign w:val="bottom"/>
          </w:tcPr>
          <w:p w14:paraId="1D027060"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7061" w14:textId="77777777" w:rsidR="004421F6" w:rsidRDefault="004421F6">
            <w:pPr>
              <w:rPr>
                <w:rFonts w:ascii="宋体"/>
              </w:rPr>
            </w:pPr>
          </w:p>
        </w:tc>
        <w:tc>
          <w:tcPr>
            <w:tcW w:w="0" w:type="auto"/>
            <w:shd w:val="clear" w:color="auto" w:fill="auto"/>
          </w:tcPr>
          <w:p w14:paraId="1D027062" w14:textId="77777777" w:rsidR="004421F6" w:rsidRDefault="004421F6">
            <w:pPr>
              <w:rPr>
                <w:rFonts w:ascii="宋体"/>
              </w:rPr>
            </w:pPr>
          </w:p>
        </w:tc>
        <w:tc>
          <w:tcPr>
            <w:tcW w:w="0" w:type="auto"/>
            <w:shd w:val="clear" w:color="auto" w:fill="auto"/>
          </w:tcPr>
          <w:p w14:paraId="1D027063" w14:textId="77777777" w:rsidR="004421F6" w:rsidRDefault="004421F6">
            <w:pPr>
              <w:rPr>
                <w:rFonts w:ascii="宋体"/>
              </w:rPr>
            </w:pPr>
          </w:p>
        </w:tc>
        <w:tc>
          <w:tcPr>
            <w:tcW w:w="0" w:type="auto"/>
            <w:shd w:val="clear" w:color="auto" w:fill="auto"/>
          </w:tcPr>
          <w:p w14:paraId="1D027064" w14:textId="77777777" w:rsidR="004421F6" w:rsidRDefault="004421F6">
            <w:pPr>
              <w:rPr>
                <w:rFonts w:ascii="宋体"/>
              </w:rPr>
            </w:pPr>
          </w:p>
        </w:tc>
        <w:tc>
          <w:tcPr>
            <w:tcW w:w="0" w:type="auto"/>
            <w:shd w:val="clear" w:color="auto" w:fill="auto"/>
          </w:tcPr>
          <w:p w14:paraId="1D027065" w14:textId="77777777" w:rsidR="004421F6" w:rsidRDefault="004421F6">
            <w:pPr>
              <w:rPr>
                <w:rFonts w:ascii="宋体"/>
              </w:rPr>
            </w:pPr>
          </w:p>
        </w:tc>
        <w:tc>
          <w:tcPr>
            <w:tcW w:w="0" w:type="auto"/>
            <w:shd w:val="clear" w:color="auto" w:fill="auto"/>
          </w:tcPr>
          <w:p w14:paraId="1D027066" w14:textId="77777777" w:rsidR="004421F6" w:rsidRDefault="004421F6">
            <w:pPr>
              <w:rPr>
                <w:rFonts w:ascii="宋体"/>
              </w:rPr>
            </w:pPr>
          </w:p>
        </w:tc>
        <w:tc>
          <w:tcPr>
            <w:tcW w:w="0" w:type="auto"/>
            <w:shd w:val="clear" w:color="auto" w:fill="auto"/>
          </w:tcPr>
          <w:p w14:paraId="1D027067" w14:textId="77777777" w:rsidR="004421F6" w:rsidRDefault="004421F6">
            <w:pPr>
              <w:rPr>
                <w:rFonts w:ascii="宋体"/>
              </w:rPr>
            </w:pPr>
          </w:p>
        </w:tc>
        <w:tc>
          <w:tcPr>
            <w:tcW w:w="0" w:type="auto"/>
            <w:shd w:val="clear" w:color="auto" w:fill="auto"/>
          </w:tcPr>
          <w:p w14:paraId="1D027068" w14:textId="77777777" w:rsidR="004421F6" w:rsidRDefault="004421F6">
            <w:pPr>
              <w:rPr>
                <w:rFonts w:ascii="宋体"/>
              </w:rPr>
            </w:pPr>
          </w:p>
        </w:tc>
        <w:tc>
          <w:tcPr>
            <w:tcW w:w="0" w:type="auto"/>
            <w:shd w:val="clear" w:color="auto" w:fill="auto"/>
          </w:tcPr>
          <w:p w14:paraId="1D027069" w14:textId="77777777" w:rsidR="004421F6" w:rsidRDefault="004421F6">
            <w:pPr>
              <w:rPr>
                <w:rFonts w:ascii="宋体"/>
              </w:rPr>
            </w:pPr>
          </w:p>
        </w:tc>
      </w:tr>
      <w:tr w:rsidR="004421F6" w14:paraId="1D02707D"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706B" w14:textId="77777777" w:rsidR="004421F6" w:rsidRDefault="00F1562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706C" w14:textId="77777777" w:rsidR="004421F6" w:rsidRDefault="00F1562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FFF1E7"/>
            <w:tcMar>
              <w:top w:w="40" w:type="dxa"/>
              <w:bottom w:w="40" w:type="dxa"/>
              <w:right w:w="20" w:type="dxa"/>
            </w:tcMar>
            <w:vAlign w:val="bottom"/>
          </w:tcPr>
          <w:p w14:paraId="1D02706D"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6E" w14:textId="77777777" w:rsidR="004421F6" w:rsidRDefault="00F1562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bottom w:w="40" w:type="dxa"/>
              <w:right w:w="20" w:type="dxa"/>
            </w:tcMar>
            <w:vAlign w:val="bottom"/>
          </w:tcPr>
          <w:p w14:paraId="1D02706F"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70" w14:textId="77777777" w:rsidR="004421F6" w:rsidRDefault="00F15622">
            <w:pPr>
              <w:jc w:val="right"/>
              <w:textAlignment w:val="bottom"/>
            </w:pPr>
            <w:r>
              <w:rPr>
                <w:rFonts w:ascii="Arial" w:eastAsia="宋体" w:hAnsi="Arial" w:cs="Arial"/>
                <w:color w:val="000000"/>
                <w:sz w:val="17"/>
                <w:szCs w:val="17"/>
              </w:rPr>
              <w:t>0 </w:t>
            </w:r>
          </w:p>
        </w:tc>
        <w:tc>
          <w:tcPr>
            <w:tcW w:w="0" w:type="auto"/>
            <w:tcBorders>
              <w:top w:val="single" w:sz="8" w:space="0" w:color="808080"/>
            </w:tcBorders>
            <w:shd w:val="clear" w:color="auto" w:fill="auto"/>
            <w:tcMar>
              <w:top w:w="40" w:type="dxa"/>
              <w:bottom w:w="40" w:type="dxa"/>
              <w:right w:w="20" w:type="dxa"/>
            </w:tcMar>
            <w:vAlign w:val="bottom"/>
          </w:tcPr>
          <w:p w14:paraId="1D027071"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72" w14:textId="77777777" w:rsidR="004421F6" w:rsidRDefault="00F15622">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bottom w:w="40" w:type="dxa"/>
              <w:right w:w="20" w:type="dxa"/>
            </w:tcMar>
            <w:vAlign w:val="bottom"/>
          </w:tcPr>
          <w:p w14:paraId="1D027073"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7074" w14:textId="77777777" w:rsidR="004421F6" w:rsidRDefault="004421F6">
            <w:pPr>
              <w:rPr>
                <w:rFonts w:ascii="宋体"/>
              </w:rPr>
            </w:pPr>
          </w:p>
        </w:tc>
        <w:tc>
          <w:tcPr>
            <w:tcW w:w="0" w:type="auto"/>
            <w:shd w:val="clear" w:color="auto" w:fill="auto"/>
          </w:tcPr>
          <w:p w14:paraId="1D027075" w14:textId="77777777" w:rsidR="004421F6" w:rsidRDefault="004421F6">
            <w:pPr>
              <w:rPr>
                <w:rFonts w:ascii="宋体"/>
              </w:rPr>
            </w:pPr>
          </w:p>
        </w:tc>
        <w:tc>
          <w:tcPr>
            <w:tcW w:w="0" w:type="auto"/>
            <w:shd w:val="clear" w:color="auto" w:fill="auto"/>
          </w:tcPr>
          <w:p w14:paraId="1D027076" w14:textId="77777777" w:rsidR="004421F6" w:rsidRDefault="004421F6">
            <w:pPr>
              <w:rPr>
                <w:rFonts w:ascii="宋体"/>
              </w:rPr>
            </w:pPr>
          </w:p>
        </w:tc>
        <w:tc>
          <w:tcPr>
            <w:tcW w:w="0" w:type="auto"/>
            <w:shd w:val="clear" w:color="auto" w:fill="auto"/>
          </w:tcPr>
          <w:p w14:paraId="1D027077" w14:textId="77777777" w:rsidR="004421F6" w:rsidRDefault="004421F6">
            <w:pPr>
              <w:rPr>
                <w:rFonts w:ascii="宋体"/>
              </w:rPr>
            </w:pPr>
          </w:p>
        </w:tc>
        <w:tc>
          <w:tcPr>
            <w:tcW w:w="0" w:type="auto"/>
            <w:shd w:val="clear" w:color="auto" w:fill="auto"/>
          </w:tcPr>
          <w:p w14:paraId="1D027078" w14:textId="77777777" w:rsidR="004421F6" w:rsidRDefault="004421F6">
            <w:pPr>
              <w:rPr>
                <w:rFonts w:ascii="宋体"/>
              </w:rPr>
            </w:pPr>
          </w:p>
        </w:tc>
        <w:tc>
          <w:tcPr>
            <w:tcW w:w="0" w:type="auto"/>
            <w:shd w:val="clear" w:color="auto" w:fill="auto"/>
          </w:tcPr>
          <w:p w14:paraId="1D027079" w14:textId="77777777" w:rsidR="004421F6" w:rsidRDefault="004421F6">
            <w:pPr>
              <w:rPr>
                <w:rFonts w:ascii="宋体"/>
              </w:rPr>
            </w:pPr>
          </w:p>
        </w:tc>
        <w:tc>
          <w:tcPr>
            <w:tcW w:w="0" w:type="auto"/>
            <w:shd w:val="clear" w:color="auto" w:fill="auto"/>
          </w:tcPr>
          <w:p w14:paraId="1D02707A" w14:textId="77777777" w:rsidR="004421F6" w:rsidRDefault="004421F6">
            <w:pPr>
              <w:rPr>
                <w:rFonts w:ascii="宋体"/>
              </w:rPr>
            </w:pPr>
          </w:p>
        </w:tc>
        <w:tc>
          <w:tcPr>
            <w:tcW w:w="0" w:type="auto"/>
            <w:shd w:val="clear" w:color="auto" w:fill="auto"/>
          </w:tcPr>
          <w:p w14:paraId="1D02707B" w14:textId="77777777" w:rsidR="004421F6" w:rsidRDefault="004421F6">
            <w:pPr>
              <w:rPr>
                <w:rFonts w:ascii="宋体"/>
              </w:rPr>
            </w:pPr>
          </w:p>
        </w:tc>
        <w:tc>
          <w:tcPr>
            <w:tcW w:w="0" w:type="auto"/>
            <w:shd w:val="clear" w:color="auto" w:fill="auto"/>
          </w:tcPr>
          <w:p w14:paraId="1D02707C" w14:textId="77777777" w:rsidR="004421F6" w:rsidRDefault="004421F6">
            <w:pPr>
              <w:rPr>
                <w:rFonts w:ascii="宋体"/>
              </w:rPr>
            </w:pPr>
          </w:p>
        </w:tc>
      </w:tr>
      <w:tr w:rsidR="004421F6" w14:paraId="1D02709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707E" w14:textId="77777777" w:rsidR="004421F6" w:rsidRDefault="00F15622">
            <w:pPr>
              <w:textAlignment w:val="bottom"/>
            </w:pPr>
            <w:r>
              <w:rPr>
                <w:rFonts w:ascii="Arial" w:eastAsia="宋体" w:hAnsi="Arial" w:cs="Arial"/>
                <w:color w:val="000000"/>
                <w:sz w:val="17"/>
                <w:szCs w:val="17"/>
              </w:rPr>
              <w:t>Other</w:t>
            </w:r>
            <w:r>
              <w:rPr>
                <w:rFonts w:ascii="Arial" w:eastAsia="宋体" w:hAnsi="Arial" w:cs="Arial"/>
                <w:color w:val="000000"/>
                <w:sz w:val="9"/>
                <w:szCs w:val="9"/>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707F" w14:textId="77777777" w:rsidR="004421F6" w:rsidRDefault="00F15622">
            <w:pPr>
              <w:jc w:val="right"/>
              <w:textAlignment w:val="bottom"/>
            </w:pPr>
            <w:r>
              <w:rPr>
                <w:rFonts w:ascii="Arial" w:eastAsia="宋体" w:hAnsi="Arial" w:cs="Arial"/>
                <w:color w:val="000000"/>
                <w:sz w:val="17"/>
                <w:szCs w:val="17"/>
              </w:rPr>
              <w:t>19 </w:t>
            </w:r>
          </w:p>
        </w:tc>
        <w:tc>
          <w:tcPr>
            <w:tcW w:w="0" w:type="auto"/>
            <w:tcBorders>
              <w:top w:val="single" w:sz="8" w:space="0" w:color="808080"/>
            </w:tcBorders>
            <w:shd w:val="clear" w:color="auto" w:fill="FFF1E7"/>
            <w:tcMar>
              <w:top w:w="40" w:type="dxa"/>
              <w:bottom w:w="40" w:type="dxa"/>
              <w:right w:w="20" w:type="dxa"/>
            </w:tcMar>
            <w:vAlign w:val="bottom"/>
          </w:tcPr>
          <w:p w14:paraId="1D027080"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81" w14:textId="77777777" w:rsidR="004421F6" w:rsidRDefault="00F15622">
            <w:pPr>
              <w:jc w:val="right"/>
              <w:textAlignment w:val="bottom"/>
            </w:pPr>
            <w:r>
              <w:rPr>
                <w:rFonts w:ascii="Arial" w:eastAsia="宋体" w:hAnsi="Arial" w:cs="Arial"/>
                <w:color w:val="000000"/>
                <w:sz w:val="17"/>
                <w:szCs w:val="17"/>
              </w:rPr>
              <w:t>24 </w:t>
            </w:r>
          </w:p>
        </w:tc>
        <w:tc>
          <w:tcPr>
            <w:tcW w:w="0" w:type="auto"/>
            <w:tcBorders>
              <w:top w:val="single" w:sz="8" w:space="0" w:color="808080"/>
            </w:tcBorders>
            <w:shd w:val="clear" w:color="auto" w:fill="auto"/>
            <w:tcMar>
              <w:top w:w="40" w:type="dxa"/>
              <w:bottom w:w="40" w:type="dxa"/>
              <w:right w:w="20" w:type="dxa"/>
            </w:tcMar>
            <w:vAlign w:val="bottom"/>
          </w:tcPr>
          <w:p w14:paraId="1D027082"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83" w14:textId="77777777" w:rsidR="004421F6" w:rsidRDefault="00F15622">
            <w:pPr>
              <w:jc w:val="right"/>
              <w:textAlignment w:val="bottom"/>
            </w:pPr>
            <w:r>
              <w:rPr>
                <w:rFonts w:ascii="Arial" w:eastAsia="宋体" w:hAnsi="Arial" w:cs="Arial"/>
                <w:color w:val="000000"/>
                <w:sz w:val="17"/>
                <w:szCs w:val="17"/>
              </w:rPr>
              <w:t>-21 </w:t>
            </w:r>
          </w:p>
        </w:tc>
        <w:tc>
          <w:tcPr>
            <w:tcW w:w="0" w:type="auto"/>
            <w:tcBorders>
              <w:top w:val="single" w:sz="8" w:space="0" w:color="808080"/>
            </w:tcBorders>
            <w:shd w:val="clear" w:color="auto" w:fill="auto"/>
            <w:tcMar>
              <w:top w:w="40" w:type="dxa"/>
              <w:bottom w:w="40" w:type="dxa"/>
              <w:right w:w="20" w:type="dxa"/>
            </w:tcMar>
            <w:vAlign w:val="bottom"/>
          </w:tcPr>
          <w:p w14:paraId="1D027084"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85" w14:textId="77777777" w:rsidR="004421F6" w:rsidRDefault="00F15622">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auto"/>
            <w:tcMar>
              <w:top w:w="40" w:type="dxa"/>
              <w:bottom w:w="40" w:type="dxa"/>
              <w:right w:w="20" w:type="dxa"/>
            </w:tcMar>
            <w:vAlign w:val="bottom"/>
          </w:tcPr>
          <w:p w14:paraId="1D027086"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7087" w14:textId="77777777" w:rsidR="004421F6" w:rsidRDefault="004421F6">
            <w:pPr>
              <w:rPr>
                <w:rFonts w:ascii="宋体"/>
              </w:rPr>
            </w:pPr>
          </w:p>
        </w:tc>
        <w:tc>
          <w:tcPr>
            <w:tcW w:w="0" w:type="auto"/>
            <w:shd w:val="clear" w:color="auto" w:fill="auto"/>
          </w:tcPr>
          <w:p w14:paraId="1D027088" w14:textId="77777777" w:rsidR="004421F6" w:rsidRDefault="004421F6">
            <w:pPr>
              <w:rPr>
                <w:rFonts w:ascii="宋体"/>
              </w:rPr>
            </w:pPr>
          </w:p>
        </w:tc>
        <w:tc>
          <w:tcPr>
            <w:tcW w:w="0" w:type="auto"/>
            <w:shd w:val="clear" w:color="auto" w:fill="auto"/>
          </w:tcPr>
          <w:p w14:paraId="1D027089" w14:textId="77777777" w:rsidR="004421F6" w:rsidRDefault="004421F6">
            <w:pPr>
              <w:rPr>
                <w:rFonts w:ascii="宋体"/>
              </w:rPr>
            </w:pPr>
          </w:p>
        </w:tc>
        <w:tc>
          <w:tcPr>
            <w:tcW w:w="0" w:type="auto"/>
            <w:shd w:val="clear" w:color="auto" w:fill="auto"/>
          </w:tcPr>
          <w:p w14:paraId="1D02708A" w14:textId="77777777" w:rsidR="004421F6" w:rsidRDefault="004421F6">
            <w:pPr>
              <w:rPr>
                <w:rFonts w:ascii="宋体"/>
              </w:rPr>
            </w:pPr>
          </w:p>
        </w:tc>
        <w:tc>
          <w:tcPr>
            <w:tcW w:w="0" w:type="auto"/>
            <w:shd w:val="clear" w:color="auto" w:fill="auto"/>
          </w:tcPr>
          <w:p w14:paraId="1D02708B" w14:textId="77777777" w:rsidR="004421F6" w:rsidRDefault="004421F6">
            <w:pPr>
              <w:rPr>
                <w:rFonts w:ascii="宋体"/>
              </w:rPr>
            </w:pPr>
          </w:p>
        </w:tc>
        <w:tc>
          <w:tcPr>
            <w:tcW w:w="0" w:type="auto"/>
            <w:shd w:val="clear" w:color="auto" w:fill="auto"/>
          </w:tcPr>
          <w:p w14:paraId="1D02708C" w14:textId="77777777" w:rsidR="004421F6" w:rsidRDefault="004421F6">
            <w:pPr>
              <w:rPr>
                <w:rFonts w:ascii="宋体"/>
              </w:rPr>
            </w:pPr>
          </w:p>
        </w:tc>
        <w:tc>
          <w:tcPr>
            <w:tcW w:w="0" w:type="auto"/>
            <w:shd w:val="clear" w:color="auto" w:fill="auto"/>
          </w:tcPr>
          <w:p w14:paraId="1D02708D" w14:textId="77777777" w:rsidR="004421F6" w:rsidRDefault="004421F6">
            <w:pPr>
              <w:rPr>
                <w:rFonts w:ascii="宋体"/>
              </w:rPr>
            </w:pPr>
          </w:p>
        </w:tc>
        <w:tc>
          <w:tcPr>
            <w:tcW w:w="0" w:type="auto"/>
            <w:shd w:val="clear" w:color="auto" w:fill="auto"/>
          </w:tcPr>
          <w:p w14:paraId="1D02708E" w14:textId="77777777" w:rsidR="004421F6" w:rsidRDefault="004421F6">
            <w:pPr>
              <w:rPr>
                <w:rFonts w:ascii="宋体"/>
              </w:rPr>
            </w:pPr>
          </w:p>
        </w:tc>
        <w:tc>
          <w:tcPr>
            <w:tcW w:w="0" w:type="auto"/>
            <w:shd w:val="clear" w:color="auto" w:fill="auto"/>
          </w:tcPr>
          <w:p w14:paraId="1D02708F" w14:textId="77777777" w:rsidR="004421F6" w:rsidRDefault="004421F6">
            <w:pPr>
              <w:rPr>
                <w:rFonts w:ascii="宋体"/>
              </w:rPr>
            </w:pPr>
          </w:p>
        </w:tc>
      </w:tr>
      <w:tr w:rsidR="004421F6" w14:paraId="1D0270A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7091" w14:textId="77777777" w:rsidR="004421F6" w:rsidRDefault="00F1562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tcMar>
            <w:vAlign w:val="bottom"/>
          </w:tcPr>
          <w:p w14:paraId="1D027092"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7093" w14:textId="77777777" w:rsidR="004421F6" w:rsidRDefault="00F15622">
            <w:pPr>
              <w:jc w:val="right"/>
              <w:textAlignment w:val="bottom"/>
            </w:pPr>
            <w:r>
              <w:rPr>
                <w:rFonts w:ascii="Arial" w:eastAsia="宋体" w:hAnsi="Arial" w:cs="Arial"/>
                <w:b/>
                <w:bCs/>
                <w:color w:val="000000"/>
                <w:sz w:val="17"/>
                <w:szCs w:val="17"/>
              </w:rPr>
              <w:t>563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7094"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7095"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7096" w14:textId="77777777" w:rsidR="004421F6" w:rsidRDefault="00F15622">
            <w:pPr>
              <w:jc w:val="right"/>
              <w:textAlignment w:val="bottom"/>
            </w:pPr>
            <w:r>
              <w:rPr>
                <w:rFonts w:ascii="Arial" w:eastAsia="宋体" w:hAnsi="Arial" w:cs="Arial"/>
                <w:b/>
                <w:bCs/>
                <w:color w:val="000000"/>
                <w:sz w:val="17"/>
                <w:szCs w:val="17"/>
              </w:rPr>
              <w:t>555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7097"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7098" w14:textId="77777777" w:rsidR="004421F6" w:rsidRDefault="00F1562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7099"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709A" w14:textId="77777777" w:rsidR="004421F6" w:rsidRDefault="00F15622">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709B"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709C" w14:textId="77777777" w:rsidR="004421F6" w:rsidRDefault="004421F6">
            <w:pPr>
              <w:rPr>
                <w:rFonts w:ascii="宋体"/>
              </w:rPr>
            </w:pPr>
          </w:p>
        </w:tc>
        <w:tc>
          <w:tcPr>
            <w:tcW w:w="0" w:type="auto"/>
            <w:shd w:val="clear" w:color="auto" w:fill="auto"/>
          </w:tcPr>
          <w:p w14:paraId="1D02709D" w14:textId="77777777" w:rsidR="004421F6" w:rsidRDefault="004421F6">
            <w:pPr>
              <w:rPr>
                <w:rFonts w:ascii="宋体"/>
              </w:rPr>
            </w:pPr>
          </w:p>
        </w:tc>
        <w:tc>
          <w:tcPr>
            <w:tcW w:w="0" w:type="auto"/>
            <w:shd w:val="clear" w:color="auto" w:fill="auto"/>
          </w:tcPr>
          <w:p w14:paraId="1D02709E" w14:textId="77777777" w:rsidR="004421F6" w:rsidRDefault="004421F6">
            <w:pPr>
              <w:rPr>
                <w:rFonts w:ascii="宋体"/>
              </w:rPr>
            </w:pPr>
          </w:p>
        </w:tc>
        <w:tc>
          <w:tcPr>
            <w:tcW w:w="0" w:type="auto"/>
            <w:shd w:val="clear" w:color="auto" w:fill="auto"/>
          </w:tcPr>
          <w:p w14:paraId="1D02709F" w14:textId="77777777" w:rsidR="004421F6" w:rsidRDefault="004421F6">
            <w:pPr>
              <w:rPr>
                <w:rFonts w:ascii="宋体"/>
              </w:rPr>
            </w:pPr>
          </w:p>
        </w:tc>
        <w:tc>
          <w:tcPr>
            <w:tcW w:w="0" w:type="auto"/>
            <w:shd w:val="clear" w:color="auto" w:fill="auto"/>
          </w:tcPr>
          <w:p w14:paraId="1D0270A0" w14:textId="77777777" w:rsidR="004421F6" w:rsidRDefault="004421F6">
            <w:pPr>
              <w:rPr>
                <w:rFonts w:ascii="宋体"/>
              </w:rPr>
            </w:pPr>
          </w:p>
        </w:tc>
        <w:tc>
          <w:tcPr>
            <w:tcW w:w="0" w:type="auto"/>
            <w:shd w:val="clear" w:color="auto" w:fill="auto"/>
          </w:tcPr>
          <w:p w14:paraId="1D0270A1" w14:textId="77777777" w:rsidR="004421F6" w:rsidRDefault="004421F6">
            <w:pPr>
              <w:rPr>
                <w:rFonts w:ascii="宋体"/>
              </w:rPr>
            </w:pPr>
          </w:p>
        </w:tc>
        <w:tc>
          <w:tcPr>
            <w:tcW w:w="0" w:type="auto"/>
            <w:shd w:val="clear" w:color="auto" w:fill="auto"/>
          </w:tcPr>
          <w:p w14:paraId="1D0270A2" w14:textId="77777777" w:rsidR="004421F6" w:rsidRDefault="004421F6">
            <w:pPr>
              <w:rPr>
                <w:rFonts w:ascii="宋体"/>
              </w:rPr>
            </w:pPr>
          </w:p>
        </w:tc>
        <w:tc>
          <w:tcPr>
            <w:tcW w:w="0" w:type="auto"/>
            <w:shd w:val="clear" w:color="auto" w:fill="auto"/>
          </w:tcPr>
          <w:p w14:paraId="1D0270A3" w14:textId="77777777" w:rsidR="004421F6" w:rsidRDefault="004421F6">
            <w:pPr>
              <w:rPr>
                <w:rFonts w:ascii="宋体"/>
              </w:rPr>
            </w:pPr>
          </w:p>
        </w:tc>
        <w:tc>
          <w:tcPr>
            <w:tcW w:w="0" w:type="auto"/>
            <w:shd w:val="clear" w:color="auto" w:fill="auto"/>
          </w:tcPr>
          <w:p w14:paraId="1D0270A4" w14:textId="77777777" w:rsidR="004421F6" w:rsidRDefault="004421F6">
            <w:pPr>
              <w:rPr>
                <w:rFonts w:ascii="宋体"/>
              </w:rPr>
            </w:pPr>
          </w:p>
        </w:tc>
      </w:tr>
      <w:tr w:rsidR="004421F6" w14:paraId="1D0270B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70A6" w14:textId="77777777" w:rsidR="004421F6" w:rsidRDefault="00F1562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left w:w="20" w:type="dxa"/>
              <w:right w:w="20" w:type="dxa"/>
            </w:tcMar>
            <w:vAlign w:val="bottom"/>
          </w:tcPr>
          <w:p w14:paraId="1D0270A7"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70A8"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70A9" w14:textId="77777777" w:rsidR="004421F6" w:rsidRDefault="004421F6">
            <w:pPr>
              <w:rPr>
                <w:rFonts w:ascii="宋体"/>
              </w:rPr>
            </w:pPr>
          </w:p>
        </w:tc>
        <w:tc>
          <w:tcPr>
            <w:tcW w:w="0" w:type="auto"/>
            <w:gridSpan w:val="3"/>
            <w:tcBorders>
              <w:top w:val="single" w:sz="8" w:space="0" w:color="E87722"/>
            </w:tcBorders>
            <w:shd w:val="clear" w:color="auto" w:fill="auto"/>
            <w:tcMar>
              <w:left w:w="20" w:type="dxa"/>
              <w:right w:w="20" w:type="dxa"/>
            </w:tcMar>
            <w:vAlign w:val="bottom"/>
          </w:tcPr>
          <w:p w14:paraId="1D0270AA" w14:textId="77777777" w:rsidR="004421F6" w:rsidRDefault="004421F6">
            <w:pPr>
              <w:rPr>
                <w:rFonts w:ascii="宋体"/>
              </w:rPr>
            </w:pPr>
          </w:p>
        </w:tc>
        <w:tc>
          <w:tcPr>
            <w:tcW w:w="0" w:type="auto"/>
            <w:shd w:val="clear" w:color="auto" w:fill="auto"/>
          </w:tcPr>
          <w:p w14:paraId="1D0270AB" w14:textId="77777777" w:rsidR="004421F6" w:rsidRDefault="004421F6">
            <w:pPr>
              <w:rPr>
                <w:rFonts w:ascii="宋体"/>
              </w:rPr>
            </w:pPr>
          </w:p>
        </w:tc>
        <w:tc>
          <w:tcPr>
            <w:tcW w:w="0" w:type="auto"/>
            <w:shd w:val="clear" w:color="auto" w:fill="auto"/>
          </w:tcPr>
          <w:p w14:paraId="1D0270AC" w14:textId="77777777" w:rsidR="004421F6" w:rsidRDefault="004421F6">
            <w:pPr>
              <w:rPr>
                <w:rFonts w:ascii="宋体"/>
              </w:rPr>
            </w:pPr>
          </w:p>
        </w:tc>
        <w:tc>
          <w:tcPr>
            <w:tcW w:w="0" w:type="auto"/>
            <w:shd w:val="clear" w:color="auto" w:fill="auto"/>
          </w:tcPr>
          <w:p w14:paraId="1D0270AD" w14:textId="77777777" w:rsidR="004421F6" w:rsidRDefault="004421F6">
            <w:pPr>
              <w:rPr>
                <w:rFonts w:ascii="宋体"/>
              </w:rPr>
            </w:pPr>
          </w:p>
        </w:tc>
        <w:tc>
          <w:tcPr>
            <w:tcW w:w="0" w:type="auto"/>
            <w:shd w:val="clear" w:color="auto" w:fill="auto"/>
          </w:tcPr>
          <w:p w14:paraId="1D0270AE" w14:textId="77777777" w:rsidR="004421F6" w:rsidRDefault="004421F6">
            <w:pPr>
              <w:rPr>
                <w:rFonts w:ascii="宋体"/>
              </w:rPr>
            </w:pPr>
          </w:p>
        </w:tc>
        <w:tc>
          <w:tcPr>
            <w:tcW w:w="0" w:type="auto"/>
            <w:shd w:val="clear" w:color="auto" w:fill="auto"/>
          </w:tcPr>
          <w:p w14:paraId="1D0270AF" w14:textId="77777777" w:rsidR="004421F6" w:rsidRDefault="004421F6">
            <w:pPr>
              <w:rPr>
                <w:rFonts w:ascii="宋体"/>
              </w:rPr>
            </w:pPr>
          </w:p>
        </w:tc>
        <w:tc>
          <w:tcPr>
            <w:tcW w:w="0" w:type="auto"/>
            <w:shd w:val="clear" w:color="auto" w:fill="auto"/>
          </w:tcPr>
          <w:p w14:paraId="1D0270B0" w14:textId="77777777" w:rsidR="004421F6" w:rsidRDefault="004421F6">
            <w:pPr>
              <w:rPr>
                <w:rFonts w:ascii="宋体"/>
              </w:rPr>
            </w:pPr>
          </w:p>
        </w:tc>
        <w:tc>
          <w:tcPr>
            <w:tcW w:w="0" w:type="auto"/>
            <w:shd w:val="clear" w:color="auto" w:fill="auto"/>
          </w:tcPr>
          <w:p w14:paraId="1D0270B1" w14:textId="77777777" w:rsidR="004421F6" w:rsidRDefault="004421F6">
            <w:pPr>
              <w:rPr>
                <w:rFonts w:ascii="宋体"/>
              </w:rPr>
            </w:pPr>
          </w:p>
        </w:tc>
        <w:tc>
          <w:tcPr>
            <w:tcW w:w="0" w:type="auto"/>
            <w:shd w:val="clear" w:color="auto" w:fill="auto"/>
          </w:tcPr>
          <w:p w14:paraId="1D0270B2" w14:textId="77777777" w:rsidR="004421F6" w:rsidRDefault="004421F6">
            <w:pPr>
              <w:rPr>
                <w:rFonts w:ascii="宋体"/>
              </w:rPr>
            </w:pPr>
          </w:p>
        </w:tc>
        <w:tc>
          <w:tcPr>
            <w:tcW w:w="0" w:type="auto"/>
            <w:shd w:val="clear" w:color="auto" w:fill="auto"/>
          </w:tcPr>
          <w:p w14:paraId="1D0270B3" w14:textId="77777777" w:rsidR="004421F6" w:rsidRDefault="004421F6">
            <w:pPr>
              <w:rPr>
                <w:rFonts w:ascii="宋体"/>
              </w:rPr>
            </w:pPr>
          </w:p>
        </w:tc>
      </w:tr>
      <w:tr w:rsidR="004421F6" w14:paraId="1D0270C9"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70B5" w14:textId="77777777" w:rsidR="004421F6" w:rsidRDefault="00F1562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tcMar>
            <w:vAlign w:val="bottom"/>
          </w:tcPr>
          <w:p w14:paraId="1D0270B6"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bottom w:w="40" w:type="dxa"/>
              <w:right w:w="0" w:type="dxa"/>
            </w:tcMar>
            <w:vAlign w:val="bottom"/>
          </w:tcPr>
          <w:p w14:paraId="1D0270B7" w14:textId="77777777" w:rsidR="004421F6" w:rsidRDefault="00F15622">
            <w:pPr>
              <w:jc w:val="right"/>
              <w:textAlignment w:val="bottom"/>
            </w:pPr>
            <w:r>
              <w:rPr>
                <w:rFonts w:ascii="Arial" w:eastAsia="宋体" w:hAnsi="Arial" w:cs="Arial"/>
                <w:color w:val="000000"/>
                <w:sz w:val="17"/>
                <w:szCs w:val="17"/>
              </w:rPr>
              <w:t>373 </w:t>
            </w:r>
          </w:p>
        </w:tc>
        <w:tc>
          <w:tcPr>
            <w:tcW w:w="0" w:type="auto"/>
            <w:tcBorders>
              <w:top w:val="single" w:sz="8" w:space="0" w:color="808080"/>
            </w:tcBorders>
            <w:shd w:val="clear" w:color="auto" w:fill="FFF1E7"/>
            <w:tcMar>
              <w:top w:w="40" w:type="dxa"/>
              <w:bottom w:w="40" w:type="dxa"/>
              <w:right w:w="20" w:type="dxa"/>
            </w:tcMar>
            <w:vAlign w:val="bottom"/>
          </w:tcPr>
          <w:p w14:paraId="1D0270B8" w14:textId="77777777" w:rsidR="004421F6" w:rsidRDefault="004421F6">
            <w:pPr>
              <w:jc w:val="right"/>
              <w:rPr>
                <w:rFonts w:ascii="宋体"/>
              </w:rPr>
            </w:pPr>
          </w:p>
        </w:tc>
        <w:tc>
          <w:tcPr>
            <w:tcW w:w="0" w:type="auto"/>
            <w:tcBorders>
              <w:top w:val="single" w:sz="8" w:space="0" w:color="808080"/>
            </w:tcBorders>
            <w:shd w:val="clear" w:color="auto" w:fill="auto"/>
            <w:tcMar>
              <w:top w:w="40" w:type="dxa"/>
              <w:left w:w="20" w:type="dxa"/>
              <w:bottom w:w="40" w:type="dxa"/>
            </w:tcMar>
            <w:vAlign w:val="bottom"/>
          </w:tcPr>
          <w:p w14:paraId="1D0270B9"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bottom w:w="40" w:type="dxa"/>
              <w:right w:w="0" w:type="dxa"/>
            </w:tcMar>
            <w:vAlign w:val="bottom"/>
          </w:tcPr>
          <w:p w14:paraId="1D0270BA" w14:textId="77777777" w:rsidR="004421F6" w:rsidRDefault="00F15622">
            <w:pPr>
              <w:jc w:val="right"/>
              <w:textAlignment w:val="bottom"/>
            </w:pPr>
            <w:r>
              <w:rPr>
                <w:rFonts w:ascii="Arial" w:eastAsia="宋体" w:hAnsi="Arial" w:cs="Arial"/>
                <w:color w:val="000000"/>
                <w:sz w:val="17"/>
                <w:szCs w:val="17"/>
              </w:rPr>
              <w:t>367 </w:t>
            </w:r>
          </w:p>
        </w:tc>
        <w:tc>
          <w:tcPr>
            <w:tcW w:w="0" w:type="auto"/>
            <w:tcBorders>
              <w:top w:val="single" w:sz="8" w:space="0" w:color="808080"/>
            </w:tcBorders>
            <w:shd w:val="clear" w:color="auto" w:fill="auto"/>
            <w:tcMar>
              <w:top w:w="40" w:type="dxa"/>
              <w:bottom w:w="40" w:type="dxa"/>
              <w:right w:w="20" w:type="dxa"/>
            </w:tcMar>
            <w:vAlign w:val="bottom"/>
          </w:tcPr>
          <w:p w14:paraId="1D0270BB"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BC" w14:textId="77777777" w:rsidR="004421F6" w:rsidRDefault="00F1562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bottom w:w="40" w:type="dxa"/>
              <w:right w:w="20" w:type="dxa"/>
            </w:tcMar>
            <w:vAlign w:val="bottom"/>
          </w:tcPr>
          <w:p w14:paraId="1D0270BD"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BE" w14:textId="77777777" w:rsidR="004421F6" w:rsidRDefault="00F1562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bottom w:w="40" w:type="dxa"/>
              <w:right w:w="20" w:type="dxa"/>
            </w:tcMar>
            <w:vAlign w:val="bottom"/>
          </w:tcPr>
          <w:p w14:paraId="1D0270BF"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70C0" w14:textId="77777777" w:rsidR="004421F6" w:rsidRDefault="004421F6">
            <w:pPr>
              <w:rPr>
                <w:rFonts w:ascii="宋体"/>
              </w:rPr>
            </w:pPr>
          </w:p>
        </w:tc>
        <w:tc>
          <w:tcPr>
            <w:tcW w:w="0" w:type="auto"/>
            <w:shd w:val="clear" w:color="auto" w:fill="auto"/>
          </w:tcPr>
          <w:p w14:paraId="1D0270C1" w14:textId="77777777" w:rsidR="004421F6" w:rsidRDefault="004421F6">
            <w:pPr>
              <w:rPr>
                <w:rFonts w:ascii="宋体"/>
              </w:rPr>
            </w:pPr>
          </w:p>
        </w:tc>
        <w:tc>
          <w:tcPr>
            <w:tcW w:w="0" w:type="auto"/>
            <w:shd w:val="clear" w:color="auto" w:fill="auto"/>
          </w:tcPr>
          <w:p w14:paraId="1D0270C2" w14:textId="77777777" w:rsidR="004421F6" w:rsidRDefault="004421F6">
            <w:pPr>
              <w:rPr>
                <w:rFonts w:ascii="宋体"/>
              </w:rPr>
            </w:pPr>
          </w:p>
        </w:tc>
        <w:tc>
          <w:tcPr>
            <w:tcW w:w="0" w:type="auto"/>
            <w:shd w:val="clear" w:color="auto" w:fill="auto"/>
          </w:tcPr>
          <w:p w14:paraId="1D0270C3" w14:textId="77777777" w:rsidR="004421F6" w:rsidRDefault="004421F6">
            <w:pPr>
              <w:rPr>
                <w:rFonts w:ascii="宋体"/>
              </w:rPr>
            </w:pPr>
          </w:p>
        </w:tc>
        <w:tc>
          <w:tcPr>
            <w:tcW w:w="0" w:type="auto"/>
            <w:shd w:val="clear" w:color="auto" w:fill="auto"/>
          </w:tcPr>
          <w:p w14:paraId="1D0270C4" w14:textId="77777777" w:rsidR="004421F6" w:rsidRDefault="004421F6">
            <w:pPr>
              <w:rPr>
                <w:rFonts w:ascii="宋体"/>
              </w:rPr>
            </w:pPr>
          </w:p>
        </w:tc>
        <w:tc>
          <w:tcPr>
            <w:tcW w:w="0" w:type="auto"/>
            <w:shd w:val="clear" w:color="auto" w:fill="auto"/>
          </w:tcPr>
          <w:p w14:paraId="1D0270C5" w14:textId="77777777" w:rsidR="004421F6" w:rsidRDefault="004421F6">
            <w:pPr>
              <w:rPr>
                <w:rFonts w:ascii="宋体"/>
              </w:rPr>
            </w:pPr>
          </w:p>
        </w:tc>
        <w:tc>
          <w:tcPr>
            <w:tcW w:w="0" w:type="auto"/>
            <w:shd w:val="clear" w:color="auto" w:fill="auto"/>
          </w:tcPr>
          <w:p w14:paraId="1D0270C6" w14:textId="77777777" w:rsidR="004421F6" w:rsidRDefault="004421F6">
            <w:pPr>
              <w:rPr>
                <w:rFonts w:ascii="宋体"/>
              </w:rPr>
            </w:pPr>
          </w:p>
        </w:tc>
        <w:tc>
          <w:tcPr>
            <w:tcW w:w="0" w:type="auto"/>
            <w:shd w:val="clear" w:color="auto" w:fill="auto"/>
          </w:tcPr>
          <w:p w14:paraId="1D0270C7" w14:textId="77777777" w:rsidR="004421F6" w:rsidRDefault="004421F6">
            <w:pPr>
              <w:rPr>
                <w:rFonts w:ascii="宋体"/>
              </w:rPr>
            </w:pPr>
          </w:p>
        </w:tc>
        <w:tc>
          <w:tcPr>
            <w:tcW w:w="0" w:type="auto"/>
            <w:shd w:val="clear" w:color="auto" w:fill="auto"/>
          </w:tcPr>
          <w:p w14:paraId="1D0270C8" w14:textId="77777777" w:rsidR="004421F6" w:rsidRDefault="004421F6">
            <w:pPr>
              <w:rPr>
                <w:rFonts w:ascii="宋体"/>
              </w:rPr>
            </w:pPr>
          </w:p>
        </w:tc>
      </w:tr>
      <w:tr w:rsidR="004421F6" w14:paraId="1D0270DC" w14:textId="77777777">
        <w:tc>
          <w:tcPr>
            <w:tcW w:w="0" w:type="auto"/>
            <w:gridSpan w:val="3"/>
            <w:tcBorders>
              <w:top w:val="single" w:sz="8" w:space="0" w:color="808080"/>
            </w:tcBorders>
            <w:shd w:val="clear" w:color="auto" w:fill="auto"/>
            <w:tcMar>
              <w:top w:w="40" w:type="dxa"/>
              <w:left w:w="135" w:type="dxa"/>
              <w:bottom w:w="40" w:type="dxa"/>
              <w:right w:w="20" w:type="dxa"/>
            </w:tcMar>
            <w:vAlign w:val="bottom"/>
          </w:tcPr>
          <w:p w14:paraId="1D0270CA" w14:textId="77777777" w:rsidR="004421F6" w:rsidRDefault="00F15622">
            <w:pPr>
              <w:textAlignment w:val="bottom"/>
            </w:pPr>
            <w:r>
              <w:rPr>
                <w:rFonts w:ascii="Arial" w:eastAsia="宋体" w:hAnsi="Arial" w:cs="Arial"/>
                <w:color w:val="000000"/>
                <w:sz w:val="17"/>
                <w:szCs w:val="17"/>
              </w:rPr>
              <w:t>Sales through Direct to Consumer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70CB" w14:textId="77777777" w:rsidR="004421F6" w:rsidRDefault="00F15622">
            <w:pPr>
              <w:jc w:val="right"/>
              <w:textAlignment w:val="bottom"/>
            </w:pPr>
            <w:r>
              <w:rPr>
                <w:rFonts w:ascii="Arial" w:eastAsia="宋体" w:hAnsi="Arial" w:cs="Arial"/>
                <w:color w:val="000000"/>
                <w:sz w:val="17"/>
                <w:szCs w:val="17"/>
              </w:rPr>
              <w:t>171 </w:t>
            </w:r>
          </w:p>
        </w:tc>
        <w:tc>
          <w:tcPr>
            <w:tcW w:w="0" w:type="auto"/>
            <w:tcBorders>
              <w:top w:val="single" w:sz="8" w:space="0" w:color="808080"/>
            </w:tcBorders>
            <w:shd w:val="clear" w:color="auto" w:fill="FFF1E7"/>
            <w:tcMar>
              <w:top w:w="40" w:type="dxa"/>
              <w:bottom w:w="40" w:type="dxa"/>
              <w:right w:w="20" w:type="dxa"/>
            </w:tcMar>
            <w:vAlign w:val="bottom"/>
          </w:tcPr>
          <w:p w14:paraId="1D0270CC"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CD" w14:textId="77777777" w:rsidR="004421F6" w:rsidRDefault="00F15622">
            <w:pPr>
              <w:jc w:val="right"/>
              <w:textAlignment w:val="bottom"/>
            </w:pPr>
            <w:r>
              <w:rPr>
                <w:rFonts w:ascii="Arial" w:eastAsia="宋体" w:hAnsi="Arial" w:cs="Arial"/>
                <w:color w:val="000000"/>
                <w:sz w:val="17"/>
                <w:szCs w:val="17"/>
              </w:rPr>
              <w:t>164 </w:t>
            </w:r>
          </w:p>
        </w:tc>
        <w:tc>
          <w:tcPr>
            <w:tcW w:w="0" w:type="auto"/>
            <w:tcBorders>
              <w:top w:val="single" w:sz="8" w:space="0" w:color="808080"/>
            </w:tcBorders>
            <w:shd w:val="clear" w:color="auto" w:fill="auto"/>
            <w:tcMar>
              <w:top w:w="40" w:type="dxa"/>
              <w:bottom w:w="40" w:type="dxa"/>
              <w:right w:w="20" w:type="dxa"/>
            </w:tcMar>
            <w:vAlign w:val="bottom"/>
          </w:tcPr>
          <w:p w14:paraId="1D0270CE"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CF" w14:textId="77777777" w:rsidR="004421F6" w:rsidRDefault="00F1562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bottom w:w="40" w:type="dxa"/>
              <w:right w:w="20" w:type="dxa"/>
            </w:tcMar>
            <w:vAlign w:val="bottom"/>
          </w:tcPr>
          <w:p w14:paraId="1D0270D0"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D1" w14:textId="77777777" w:rsidR="004421F6" w:rsidRDefault="00F1562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bottom w:w="40" w:type="dxa"/>
              <w:right w:w="20" w:type="dxa"/>
            </w:tcMar>
            <w:vAlign w:val="bottom"/>
          </w:tcPr>
          <w:p w14:paraId="1D0270D2"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70D3" w14:textId="77777777" w:rsidR="004421F6" w:rsidRDefault="004421F6">
            <w:pPr>
              <w:rPr>
                <w:rFonts w:ascii="宋体"/>
              </w:rPr>
            </w:pPr>
          </w:p>
        </w:tc>
        <w:tc>
          <w:tcPr>
            <w:tcW w:w="0" w:type="auto"/>
            <w:shd w:val="clear" w:color="auto" w:fill="auto"/>
          </w:tcPr>
          <w:p w14:paraId="1D0270D4" w14:textId="77777777" w:rsidR="004421F6" w:rsidRDefault="004421F6">
            <w:pPr>
              <w:rPr>
                <w:rFonts w:ascii="宋体"/>
              </w:rPr>
            </w:pPr>
          </w:p>
        </w:tc>
        <w:tc>
          <w:tcPr>
            <w:tcW w:w="0" w:type="auto"/>
            <w:shd w:val="clear" w:color="auto" w:fill="auto"/>
          </w:tcPr>
          <w:p w14:paraId="1D0270D5" w14:textId="77777777" w:rsidR="004421F6" w:rsidRDefault="004421F6">
            <w:pPr>
              <w:rPr>
                <w:rFonts w:ascii="宋体"/>
              </w:rPr>
            </w:pPr>
          </w:p>
        </w:tc>
        <w:tc>
          <w:tcPr>
            <w:tcW w:w="0" w:type="auto"/>
            <w:shd w:val="clear" w:color="auto" w:fill="auto"/>
          </w:tcPr>
          <w:p w14:paraId="1D0270D6" w14:textId="77777777" w:rsidR="004421F6" w:rsidRDefault="004421F6">
            <w:pPr>
              <w:rPr>
                <w:rFonts w:ascii="宋体"/>
              </w:rPr>
            </w:pPr>
          </w:p>
        </w:tc>
        <w:tc>
          <w:tcPr>
            <w:tcW w:w="0" w:type="auto"/>
            <w:shd w:val="clear" w:color="auto" w:fill="auto"/>
          </w:tcPr>
          <w:p w14:paraId="1D0270D7" w14:textId="77777777" w:rsidR="004421F6" w:rsidRDefault="004421F6">
            <w:pPr>
              <w:rPr>
                <w:rFonts w:ascii="宋体"/>
              </w:rPr>
            </w:pPr>
          </w:p>
        </w:tc>
        <w:tc>
          <w:tcPr>
            <w:tcW w:w="0" w:type="auto"/>
            <w:shd w:val="clear" w:color="auto" w:fill="auto"/>
          </w:tcPr>
          <w:p w14:paraId="1D0270D8" w14:textId="77777777" w:rsidR="004421F6" w:rsidRDefault="004421F6">
            <w:pPr>
              <w:rPr>
                <w:rFonts w:ascii="宋体"/>
              </w:rPr>
            </w:pPr>
          </w:p>
        </w:tc>
        <w:tc>
          <w:tcPr>
            <w:tcW w:w="0" w:type="auto"/>
            <w:shd w:val="clear" w:color="auto" w:fill="auto"/>
          </w:tcPr>
          <w:p w14:paraId="1D0270D9" w14:textId="77777777" w:rsidR="004421F6" w:rsidRDefault="004421F6">
            <w:pPr>
              <w:rPr>
                <w:rFonts w:ascii="宋体"/>
              </w:rPr>
            </w:pPr>
          </w:p>
        </w:tc>
        <w:tc>
          <w:tcPr>
            <w:tcW w:w="0" w:type="auto"/>
            <w:shd w:val="clear" w:color="auto" w:fill="auto"/>
          </w:tcPr>
          <w:p w14:paraId="1D0270DA" w14:textId="77777777" w:rsidR="004421F6" w:rsidRDefault="004421F6">
            <w:pPr>
              <w:rPr>
                <w:rFonts w:ascii="宋体"/>
              </w:rPr>
            </w:pPr>
          </w:p>
        </w:tc>
        <w:tc>
          <w:tcPr>
            <w:tcW w:w="0" w:type="auto"/>
            <w:shd w:val="clear" w:color="auto" w:fill="auto"/>
          </w:tcPr>
          <w:p w14:paraId="1D0270DB" w14:textId="77777777" w:rsidR="004421F6" w:rsidRDefault="004421F6">
            <w:pPr>
              <w:rPr>
                <w:rFonts w:ascii="宋体"/>
              </w:rPr>
            </w:pPr>
          </w:p>
        </w:tc>
      </w:tr>
      <w:tr w:rsidR="004421F6" w14:paraId="1D0270EF"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70DD" w14:textId="77777777" w:rsidR="004421F6" w:rsidRDefault="00F15622">
            <w:pPr>
              <w:textAlignment w:val="bottom"/>
            </w:pPr>
            <w:r>
              <w:rPr>
                <w:rFonts w:ascii="Arial" w:eastAsia="宋体" w:hAnsi="Arial" w:cs="Arial"/>
                <w:color w:val="000000"/>
                <w:sz w:val="17"/>
                <w:szCs w:val="17"/>
              </w:rPr>
              <w:t>Other</w:t>
            </w:r>
            <w:r>
              <w:rPr>
                <w:rFonts w:ascii="Arial" w:eastAsia="宋体" w:hAnsi="Arial" w:cs="Arial"/>
                <w:color w:val="000000"/>
                <w:sz w:val="9"/>
                <w:szCs w:val="9"/>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1D0270DE" w14:textId="77777777" w:rsidR="004421F6" w:rsidRDefault="00F15622">
            <w:pPr>
              <w:jc w:val="right"/>
              <w:textAlignment w:val="bottom"/>
            </w:pPr>
            <w:r>
              <w:rPr>
                <w:rFonts w:ascii="Arial" w:eastAsia="宋体" w:hAnsi="Arial" w:cs="Arial"/>
                <w:color w:val="000000"/>
                <w:sz w:val="17"/>
                <w:szCs w:val="17"/>
              </w:rPr>
              <w:t>19 </w:t>
            </w:r>
          </w:p>
        </w:tc>
        <w:tc>
          <w:tcPr>
            <w:tcW w:w="0" w:type="auto"/>
            <w:tcBorders>
              <w:top w:val="single" w:sz="8" w:space="0" w:color="808080"/>
            </w:tcBorders>
            <w:shd w:val="clear" w:color="auto" w:fill="FFF1E7"/>
            <w:tcMar>
              <w:top w:w="40" w:type="dxa"/>
              <w:bottom w:w="40" w:type="dxa"/>
              <w:right w:w="20" w:type="dxa"/>
            </w:tcMar>
            <w:vAlign w:val="bottom"/>
          </w:tcPr>
          <w:p w14:paraId="1D0270DF"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E0" w14:textId="77777777" w:rsidR="004421F6" w:rsidRDefault="00F15622">
            <w:pPr>
              <w:jc w:val="right"/>
              <w:textAlignment w:val="bottom"/>
            </w:pPr>
            <w:r>
              <w:rPr>
                <w:rFonts w:ascii="Arial" w:eastAsia="宋体" w:hAnsi="Arial" w:cs="Arial"/>
                <w:color w:val="000000"/>
                <w:sz w:val="17"/>
                <w:szCs w:val="17"/>
              </w:rPr>
              <w:t>24 </w:t>
            </w:r>
          </w:p>
        </w:tc>
        <w:tc>
          <w:tcPr>
            <w:tcW w:w="0" w:type="auto"/>
            <w:tcBorders>
              <w:top w:val="single" w:sz="8" w:space="0" w:color="808080"/>
            </w:tcBorders>
            <w:shd w:val="clear" w:color="auto" w:fill="auto"/>
            <w:tcMar>
              <w:top w:w="40" w:type="dxa"/>
              <w:bottom w:w="40" w:type="dxa"/>
              <w:right w:w="20" w:type="dxa"/>
            </w:tcMar>
            <w:vAlign w:val="bottom"/>
          </w:tcPr>
          <w:p w14:paraId="1D0270E1" w14:textId="77777777" w:rsidR="004421F6" w:rsidRDefault="004421F6">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E2" w14:textId="77777777" w:rsidR="004421F6" w:rsidRDefault="00F15622">
            <w:pPr>
              <w:jc w:val="right"/>
              <w:textAlignment w:val="bottom"/>
            </w:pPr>
            <w:r>
              <w:rPr>
                <w:rFonts w:ascii="Arial" w:eastAsia="宋体" w:hAnsi="Arial" w:cs="Arial"/>
                <w:color w:val="000000"/>
                <w:sz w:val="17"/>
                <w:szCs w:val="17"/>
              </w:rPr>
              <w:t>-21 </w:t>
            </w:r>
          </w:p>
        </w:tc>
        <w:tc>
          <w:tcPr>
            <w:tcW w:w="0" w:type="auto"/>
            <w:tcBorders>
              <w:top w:val="single" w:sz="8" w:space="0" w:color="808080"/>
            </w:tcBorders>
            <w:shd w:val="clear" w:color="auto" w:fill="auto"/>
            <w:tcMar>
              <w:top w:w="40" w:type="dxa"/>
              <w:bottom w:w="40" w:type="dxa"/>
              <w:right w:w="20" w:type="dxa"/>
            </w:tcMar>
            <w:vAlign w:val="bottom"/>
          </w:tcPr>
          <w:p w14:paraId="1D0270E3" w14:textId="77777777" w:rsidR="004421F6" w:rsidRDefault="00F1562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1D0270E4" w14:textId="77777777" w:rsidR="004421F6" w:rsidRDefault="00F15622">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auto"/>
            <w:tcMar>
              <w:top w:w="40" w:type="dxa"/>
              <w:bottom w:w="40" w:type="dxa"/>
              <w:right w:w="20" w:type="dxa"/>
            </w:tcMar>
            <w:vAlign w:val="bottom"/>
          </w:tcPr>
          <w:p w14:paraId="1D0270E5"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70E6" w14:textId="77777777" w:rsidR="004421F6" w:rsidRDefault="004421F6">
            <w:pPr>
              <w:rPr>
                <w:rFonts w:ascii="宋体"/>
              </w:rPr>
            </w:pPr>
          </w:p>
        </w:tc>
        <w:tc>
          <w:tcPr>
            <w:tcW w:w="0" w:type="auto"/>
            <w:shd w:val="clear" w:color="auto" w:fill="auto"/>
          </w:tcPr>
          <w:p w14:paraId="1D0270E7" w14:textId="77777777" w:rsidR="004421F6" w:rsidRDefault="004421F6">
            <w:pPr>
              <w:rPr>
                <w:rFonts w:ascii="宋体"/>
              </w:rPr>
            </w:pPr>
          </w:p>
        </w:tc>
        <w:tc>
          <w:tcPr>
            <w:tcW w:w="0" w:type="auto"/>
            <w:shd w:val="clear" w:color="auto" w:fill="auto"/>
          </w:tcPr>
          <w:p w14:paraId="1D0270E8" w14:textId="77777777" w:rsidR="004421F6" w:rsidRDefault="004421F6">
            <w:pPr>
              <w:rPr>
                <w:rFonts w:ascii="宋体"/>
              </w:rPr>
            </w:pPr>
          </w:p>
        </w:tc>
        <w:tc>
          <w:tcPr>
            <w:tcW w:w="0" w:type="auto"/>
            <w:shd w:val="clear" w:color="auto" w:fill="auto"/>
          </w:tcPr>
          <w:p w14:paraId="1D0270E9" w14:textId="77777777" w:rsidR="004421F6" w:rsidRDefault="004421F6">
            <w:pPr>
              <w:rPr>
                <w:rFonts w:ascii="宋体"/>
              </w:rPr>
            </w:pPr>
          </w:p>
        </w:tc>
        <w:tc>
          <w:tcPr>
            <w:tcW w:w="0" w:type="auto"/>
            <w:shd w:val="clear" w:color="auto" w:fill="auto"/>
          </w:tcPr>
          <w:p w14:paraId="1D0270EA" w14:textId="77777777" w:rsidR="004421F6" w:rsidRDefault="004421F6">
            <w:pPr>
              <w:rPr>
                <w:rFonts w:ascii="宋体"/>
              </w:rPr>
            </w:pPr>
          </w:p>
        </w:tc>
        <w:tc>
          <w:tcPr>
            <w:tcW w:w="0" w:type="auto"/>
            <w:shd w:val="clear" w:color="auto" w:fill="auto"/>
          </w:tcPr>
          <w:p w14:paraId="1D0270EB" w14:textId="77777777" w:rsidR="004421F6" w:rsidRDefault="004421F6">
            <w:pPr>
              <w:rPr>
                <w:rFonts w:ascii="宋体"/>
              </w:rPr>
            </w:pPr>
          </w:p>
        </w:tc>
        <w:tc>
          <w:tcPr>
            <w:tcW w:w="0" w:type="auto"/>
            <w:shd w:val="clear" w:color="auto" w:fill="auto"/>
          </w:tcPr>
          <w:p w14:paraId="1D0270EC" w14:textId="77777777" w:rsidR="004421F6" w:rsidRDefault="004421F6">
            <w:pPr>
              <w:rPr>
                <w:rFonts w:ascii="宋体"/>
              </w:rPr>
            </w:pPr>
          </w:p>
        </w:tc>
        <w:tc>
          <w:tcPr>
            <w:tcW w:w="0" w:type="auto"/>
            <w:shd w:val="clear" w:color="auto" w:fill="auto"/>
          </w:tcPr>
          <w:p w14:paraId="1D0270ED" w14:textId="77777777" w:rsidR="004421F6" w:rsidRDefault="004421F6">
            <w:pPr>
              <w:rPr>
                <w:rFonts w:ascii="宋体"/>
              </w:rPr>
            </w:pPr>
          </w:p>
        </w:tc>
        <w:tc>
          <w:tcPr>
            <w:tcW w:w="0" w:type="auto"/>
            <w:shd w:val="clear" w:color="auto" w:fill="auto"/>
          </w:tcPr>
          <w:p w14:paraId="1D0270EE" w14:textId="77777777" w:rsidR="004421F6" w:rsidRDefault="004421F6">
            <w:pPr>
              <w:rPr>
                <w:rFonts w:ascii="宋体"/>
              </w:rPr>
            </w:pPr>
          </w:p>
        </w:tc>
      </w:tr>
      <w:tr w:rsidR="004421F6" w14:paraId="1D02710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70F0" w14:textId="77777777" w:rsidR="004421F6" w:rsidRDefault="00F1562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tcMar>
            <w:vAlign w:val="bottom"/>
          </w:tcPr>
          <w:p w14:paraId="1D0270F1"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70F2" w14:textId="77777777" w:rsidR="004421F6" w:rsidRDefault="00F15622">
            <w:pPr>
              <w:jc w:val="right"/>
              <w:textAlignment w:val="bottom"/>
            </w:pPr>
            <w:r>
              <w:rPr>
                <w:rFonts w:ascii="Arial" w:eastAsia="宋体" w:hAnsi="Arial" w:cs="Arial"/>
                <w:b/>
                <w:bCs/>
                <w:color w:val="000000"/>
                <w:sz w:val="17"/>
                <w:szCs w:val="17"/>
              </w:rPr>
              <w:t>563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bottom w:w="40" w:type="dxa"/>
              <w:right w:w="20" w:type="dxa"/>
            </w:tcMar>
            <w:vAlign w:val="bottom"/>
          </w:tcPr>
          <w:p w14:paraId="1D0270F3"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70F4"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70F5" w14:textId="77777777" w:rsidR="004421F6" w:rsidRDefault="00F15622">
            <w:pPr>
              <w:jc w:val="right"/>
              <w:textAlignment w:val="bottom"/>
            </w:pPr>
            <w:r>
              <w:rPr>
                <w:rFonts w:ascii="Arial" w:eastAsia="宋体" w:hAnsi="Arial" w:cs="Arial"/>
                <w:b/>
                <w:bCs/>
                <w:color w:val="000000"/>
                <w:sz w:val="17"/>
                <w:szCs w:val="17"/>
              </w:rPr>
              <w:t>555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70F6"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70F7" w14:textId="77777777" w:rsidR="004421F6" w:rsidRDefault="00F1562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70F8"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70F9" w14:textId="77777777" w:rsidR="004421F6" w:rsidRDefault="00F15622">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70FA" w14:textId="77777777" w:rsidR="004421F6" w:rsidRDefault="00F15622">
            <w:pPr>
              <w:jc w:val="right"/>
              <w:textAlignment w:val="bottom"/>
            </w:pPr>
            <w:r>
              <w:rPr>
                <w:rFonts w:ascii="Arial" w:eastAsia="宋体" w:hAnsi="Arial" w:cs="Arial"/>
                <w:b/>
                <w:bCs/>
                <w:color w:val="000000"/>
                <w:sz w:val="17"/>
                <w:szCs w:val="17"/>
              </w:rPr>
              <w:t>%</w:t>
            </w:r>
          </w:p>
        </w:tc>
        <w:tc>
          <w:tcPr>
            <w:tcW w:w="0" w:type="auto"/>
            <w:shd w:val="clear" w:color="auto" w:fill="auto"/>
          </w:tcPr>
          <w:p w14:paraId="1D0270FB" w14:textId="77777777" w:rsidR="004421F6" w:rsidRDefault="004421F6">
            <w:pPr>
              <w:rPr>
                <w:rFonts w:ascii="宋体"/>
              </w:rPr>
            </w:pPr>
          </w:p>
        </w:tc>
        <w:tc>
          <w:tcPr>
            <w:tcW w:w="0" w:type="auto"/>
            <w:shd w:val="clear" w:color="auto" w:fill="auto"/>
          </w:tcPr>
          <w:p w14:paraId="1D0270FC" w14:textId="77777777" w:rsidR="004421F6" w:rsidRDefault="004421F6">
            <w:pPr>
              <w:rPr>
                <w:rFonts w:ascii="宋体"/>
              </w:rPr>
            </w:pPr>
          </w:p>
        </w:tc>
        <w:tc>
          <w:tcPr>
            <w:tcW w:w="0" w:type="auto"/>
            <w:shd w:val="clear" w:color="auto" w:fill="auto"/>
          </w:tcPr>
          <w:p w14:paraId="1D0270FD" w14:textId="77777777" w:rsidR="004421F6" w:rsidRDefault="004421F6">
            <w:pPr>
              <w:rPr>
                <w:rFonts w:ascii="宋体"/>
              </w:rPr>
            </w:pPr>
          </w:p>
        </w:tc>
        <w:tc>
          <w:tcPr>
            <w:tcW w:w="0" w:type="auto"/>
            <w:shd w:val="clear" w:color="auto" w:fill="auto"/>
          </w:tcPr>
          <w:p w14:paraId="1D0270FE" w14:textId="77777777" w:rsidR="004421F6" w:rsidRDefault="004421F6">
            <w:pPr>
              <w:rPr>
                <w:rFonts w:ascii="宋体"/>
              </w:rPr>
            </w:pPr>
          </w:p>
        </w:tc>
        <w:tc>
          <w:tcPr>
            <w:tcW w:w="0" w:type="auto"/>
            <w:shd w:val="clear" w:color="auto" w:fill="auto"/>
          </w:tcPr>
          <w:p w14:paraId="1D0270FF" w14:textId="77777777" w:rsidR="004421F6" w:rsidRDefault="004421F6">
            <w:pPr>
              <w:rPr>
                <w:rFonts w:ascii="宋体"/>
              </w:rPr>
            </w:pPr>
          </w:p>
        </w:tc>
        <w:tc>
          <w:tcPr>
            <w:tcW w:w="0" w:type="auto"/>
            <w:shd w:val="clear" w:color="auto" w:fill="auto"/>
          </w:tcPr>
          <w:p w14:paraId="1D027100" w14:textId="77777777" w:rsidR="004421F6" w:rsidRDefault="004421F6">
            <w:pPr>
              <w:rPr>
                <w:rFonts w:ascii="宋体"/>
              </w:rPr>
            </w:pPr>
          </w:p>
        </w:tc>
        <w:tc>
          <w:tcPr>
            <w:tcW w:w="0" w:type="auto"/>
            <w:shd w:val="clear" w:color="auto" w:fill="auto"/>
          </w:tcPr>
          <w:p w14:paraId="1D027101" w14:textId="77777777" w:rsidR="004421F6" w:rsidRDefault="004421F6">
            <w:pPr>
              <w:rPr>
                <w:rFonts w:ascii="宋体"/>
              </w:rPr>
            </w:pPr>
          </w:p>
        </w:tc>
        <w:tc>
          <w:tcPr>
            <w:tcW w:w="0" w:type="auto"/>
            <w:shd w:val="clear" w:color="auto" w:fill="auto"/>
          </w:tcPr>
          <w:p w14:paraId="1D027102" w14:textId="77777777" w:rsidR="004421F6" w:rsidRDefault="004421F6">
            <w:pPr>
              <w:rPr>
                <w:rFonts w:ascii="宋体"/>
              </w:rPr>
            </w:pPr>
          </w:p>
        </w:tc>
        <w:tc>
          <w:tcPr>
            <w:tcW w:w="0" w:type="auto"/>
            <w:shd w:val="clear" w:color="auto" w:fill="auto"/>
          </w:tcPr>
          <w:p w14:paraId="1D027103" w14:textId="77777777" w:rsidR="004421F6" w:rsidRDefault="004421F6">
            <w:pPr>
              <w:rPr>
                <w:rFonts w:ascii="宋体"/>
              </w:rPr>
            </w:pPr>
          </w:p>
        </w:tc>
      </w:tr>
      <w:tr w:rsidR="004421F6" w14:paraId="1D027118"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D027105" w14:textId="77777777" w:rsidR="004421F6" w:rsidRDefault="00F15622">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tcMar>
            <w:vAlign w:val="bottom"/>
          </w:tcPr>
          <w:p w14:paraId="1D027106"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bottom w:w="40" w:type="dxa"/>
              <w:right w:w="0" w:type="dxa"/>
            </w:tcMar>
            <w:vAlign w:val="bottom"/>
          </w:tcPr>
          <w:p w14:paraId="1D027107" w14:textId="77777777" w:rsidR="004421F6" w:rsidRDefault="00F15622">
            <w:pPr>
              <w:jc w:val="right"/>
              <w:textAlignment w:val="bottom"/>
            </w:pPr>
            <w:r>
              <w:rPr>
                <w:rFonts w:ascii="Arial" w:eastAsia="宋体" w:hAnsi="Arial" w:cs="Arial"/>
                <w:b/>
                <w:bCs/>
                <w:color w:val="000000"/>
                <w:sz w:val="17"/>
                <w:szCs w:val="17"/>
              </w:rPr>
              <w:t>168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bottom w:w="40" w:type="dxa"/>
              <w:right w:w="20" w:type="dxa"/>
            </w:tcMar>
            <w:vAlign w:val="bottom"/>
          </w:tcPr>
          <w:p w14:paraId="1D027108" w14:textId="77777777" w:rsidR="004421F6" w:rsidRDefault="004421F6">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tcMar>
            <w:vAlign w:val="bottom"/>
          </w:tcPr>
          <w:p w14:paraId="1D027109" w14:textId="77777777" w:rsidR="004421F6" w:rsidRDefault="00F1562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bottom w:w="40" w:type="dxa"/>
              <w:right w:w="0" w:type="dxa"/>
            </w:tcMar>
            <w:vAlign w:val="bottom"/>
          </w:tcPr>
          <w:p w14:paraId="1D02710A" w14:textId="77777777" w:rsidR="004421F6" w:rsidRDefault="00F15622">
            <w:pPr>
              <w:jc w:val="right"/>
              <w:textAlignment w:val="bottom"/>
            </w:pPr>
            <w:r>
              <w:rPr>
                <w:rFonts w:ascii="Arial" w:eastAsia="宋体" w:hAnsi="Arial" w:cs="Arial"/>
                <w:b/>
                <w:bCs/>
                <w:color w:val="000000"/>
                <w:sz w:val="17"/>
                <w:szCs w:val="17"/>
              </w:rPr>
              <w:t>138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710B" w14:textId="77777777" w:rsidR="004421F6" w:rsidRDefault="004421F6">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D02710C" w14:textId="77777777" w:rsidR="004421F6" w:rsidRDefault="00F15622">
            <w:pPr>
              <w:jc w:val="right"/>
              <w:textAlignment w:val="bottom"/>
            </w:pPr>
            <w:r>
              <w:rPr>
                <w:rFonts w:ascii="Arial" w:eastAsia="宋体" w:hAnsi="Arial" w:cs="Arial"/>
                <w:b/>
                <w:bCs/>
                <w:color w:val="000000"/>
                <w:sz w:val="17"/>
                <w:szCs w:val="17"/>
              </w:rPr>
              <w:t>22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bottom w:w="40" w:type="dxa"/>
              <w:right w:w="20" w:type="dxa"/>
            </w:tcMar>
            <w:vAlign w:val="bottom"/>
          </w:tcPr>
          <w:p w14:paraId="1D02710D" w14:textId="77777777" w:rsidR="004421F6" w:rsidRDefault="00F1562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left w:w="20" w:type="dxa"/>
              <w:right w:w="20" w:type="dxa"/>
            </w:tcMar>
            <w:vAlign w:val="bottom"/>
          </w:tcPr>
          <w:p w14:paraId="1D02710E" w14:textId="77777777" w:rsidR="004421F6" w:rsidRDefault="004421F6">
            <w:pPr>
              <w:rPr>
                <w:rFonts w:ascii="宋体"/>
              </w:rPr>
            </w:pPr>
          </w:p>
        </w:tc>
        <w:tc>
          <w:tcPr>
            <w:tcW w:w="0" w:type="auto"/>
            <w:shd w:val="clear" w:color="auto" w:fill="auto"/>
          </w:tcPr>
          <w:p w14:paraId="1D02710F" w14:textId="77777777" w:rsidR="004421F6" w:rsidRDefault="004421F6">
            <w:pPr>
              <w:rPr>
                <w:rFonts w:ascii="宋体"/>
              </w:rPr>
            </w:pPr>
          </w:p>
        </w:tc>
        <w:tc>
          <w:tcPr>
            <w:tcW w:w="0" w:type="auto"/>
            <w:shd w:val="clear" w:color="auto" w:fill="auto"/>
          </w:tcPr>
          <w:p w14:paraId="1D027110" w14:textId="77777777" w:rsidR="004421F6" w:rsidRDefault="004421F6">
            <w:pPr>
              <w:rPr>
                <w:rFonts w:ascii="宋体"/>
              </w:rPr>
            </w:pPr>
          </w:p>
        </w:tc>
        <w:tc>
          <w:tcPr>
            <w:tcW w:w="0" w:type="auto"/>
            <w:shd w:val="clear" w:color="auto" w:fill="auto"/>
          </w:tcPr>
          <w:p w14:paraId="1D027111" w14:textId="77777777" w:rsidR="004421F6" w:rsidRDefault="004421F6">
            <w:pPr>
              <w:rPr>
                <w:rFonts w:ascii="宋体"/>
              </w:rPr>
            </w:pPr>
          </w:p>
        </w:tc>
        <w:tc>
          <w:tcPr>
            <w:tcW w:w="0" w:type="auto"/>
            <w:shd w:val="clear" w:color="auto" w:fill="auto"/>
          </w:tcPr>
          <w:p w14:paraId="1D027112" w14:textId="77777777" w:rsidR="004421F6" w:rsidRDefault="004421F6">
            <w:pPr>
              <w:rPr>
                <w:rFonts w:ascii="宋体"/>
              </w:rPr>
            </w:pPr>
          </w:p>
        </w:tc>
        <w:tc>
          <w:tcPr>
            <w:tcW w:w="0" w:type="auto"/>
            <w:shd w:val="clear" w:color="auto" w:fill="auto"/>
          </w:tcPr>
          <w:p w14:paraId="1D027113" w14:textId="77777777" w:rsidR="004421F6" w:rsidRDefault="004421F6">
            <w:pPr>
              <w:rPr>
                <w:rFonts w:ascii="宋体"/>
              </w:rPr>
            </w:pPr>
          </w:p>
        </w:tc>
        <w:tc>
          <w:tcPr>
            <w:tcW w:w="0" w:type="auto"/>
            <w:shd w:val="clear" w:color="auto" w:fill="auto"/>
          </w:tcPr>
          <w:p w14:paraId="1D027114" w14:textId="77777777" w:rsidR="004421F6" w:rsidRDefault="004421F6">
            <w:pPr>
              <w:rPr>
                <w:rFonts w:ascii="宋体"/>
              </w:rPr>
            </w:pPr>
          </w:p>
        </w:tc>
        <w:tc>
          <w:tcPr>
            <w:tcW w:w="0" w:type="auto"/>
            <w:shd w:val="clear" w:color="auto" w:fill="auto"/>
          </w:tcPr>
          <w:p w14:paraId="1D027115" w14:textId="77777777" w:rsidR="004421F6" w:rsidRDefault="004421F6">
            <w:pPr>
              <w:rPr>
                <w:rFonts w:ascii="宋体"/>
              </w:rPr>
            </w:pPr>
          </w:p>
        </w:tc>
        <w:tc>
          <w:tcPr>
            <w:tcW w:w="0" w:type="auto"/>
            <w:shd w:val="clear" w:color="auto" w:fill="auto"/>
          </w:tcPr>
          <w:p w14:paraId="1D027116" w14:textId="77777777" w:rsidR="004421F6" w:rsidRDefault="004421F6">
            <w:pPr>
              <w:rPr>
                <w:rFonts w:ascii="宋体"/>
              </w:rPr>
            </w:pPr>
          </w:p>
        </w:tc>
        <w:tc>
          <w:tcPr>
            <w:tcW w:w="0" w:type="auto"/>
            <w:shd w:val="clear" w:color="auto" w:fill="auto"/>
          </w:tcPr>
          <w:p w14:paraId="1D027117" w14:textId="77777777" w:rsidR="004421F6" w:rsidRDefault="004421F6">
            <w:pPr>
              <w:rPr>
                <w:rFonts w:ascii="宋体"/>
              </w:rPr>
            </w:pPr>
          </w:p>
        </w:tc>
      </w:tr>
    </w:tbl>
    <w:p w14:paraId="1D027119" w14:textId="77777777" w:rsidR="004421F6" w:rsidRDefault="00F15622">
      <w:pPr>
        <w:spacing w:before="60" w:after="60"/>
        <w:ind w:hanging="360"/>
      </w:pPr>
      <w:r>
        <w:rPr>
          <w:rFonts w:ascii="Arial" w:eastAsia="宋体" w:hAnsi="Arial" w:cs="Arial"/>
          <w:i/>
          <w:iCs/>
          <w:color w:val="000000"/>
          <w:sz w:val="14"/>
          <w:szCs w:val="14"/>
        </w:rPr>
        <w:t>(1)    Other revenues consist of territories serviced by third-party licensees who pay royalties to Converse for the use of its registered trademarks and other intellectual property rights. We do not own the Converse trademarks in Japan and accord</w:t>
      </w:r>
      <w:r>
        <w:rPr>
          <w:rFonts w:ascii="Arial" w:eastAsia="宋体" w:hAnsi="Arial" w:cs="Arial"/>
          <w:i/>
          <w:iCs/>
          <w:color w:val="000000"/>
          <w:sz w:val="14"/>
          <w:szCs w:val="14"/>
        </w:rPr>
        <w:t>ingly do not earn revenues in Japan.</w:t>
      </w:r>
    </w:p>
    <w:p w14:paraId="1D02711A" w14:textId="77777777" w:rsidR="004421F6" w:rsidRDefault="00F15622">
      <w:pPr>
        <w:spacing w:before="120"/>
      </w:pPr>
      <w:r>
        <w:rPr>
          <w:rFonts w:ascii="sans-serif" w:eastAsia="sans-serif" w:hAnsi="sans-serif" w:cs="sans-serif"/>
          <w:b/>
          <w:bCs/>
          <w:color w:val="808080"/>
          <w:sz w:val="22"/>
          <w:szCs w:val="22"/>
        </w:rPr>
        <w:t>FIRST QUARTER OF FISCAL 2021 COMPARED TO FIRST QUARTER OF FISCAL 2020</w:t>
      </w:r>
    </w:p>
    <w:p w14:paraId="1D02711B" w14:textId="77777777" w:rsidR="004421F6" w:rsidRDefault="00F15622">
      <w:pPr>
        <w:spacing w:after="120"/>
      </w:pPr>
      <w:r>
        <w:rPr>
          <w:rFonts w:ascii="Arial" w:eastAsia="宋体" w:hAnsi="Arial" w:cs="Arial"/>
          <w:color w:val="000000"/>
          <w:sz w:val="17"/>
          <w:szCs w:val="17"/>
        </w:rPr>
        <w:t xml:space="preserve">On a currency-neutral basis, Converse revenues increased 2% for the first quarter of fiscal 2021, driven by revenue growth in Asia and Europe, </w:t>
      </w:r>
      <w:r>
        <w:rPr>
          <w:rFonts w:ascii="Arial" w:eastAsia="宋体" w:hAnsi="Arial" w:cs="Arial"/>
          <w:color w:val="000000"/>
          <w:sz w:val="17"/>
          <w:szCs w:val="17"/>
        </w:rPr>
        <w:t>partially offset by revenue declines in the United States. Direct to consumer revenues increased 5% as strong digital sales growth across all geographies more than offset declines from Converse owned stores reflecting the ongoing impact of COVID-19. Combin</w:t>
      </w:r>
      <w:r>
        <w:rPr>
          <w:rFonts w:ascii="Arial" w:eastAsia="宋体" w:hAnsi="Arial" w:cs="Arial"/>
          <w:color w:val="000000"/>
          <w:sz w:val="17"/>
          <w:szCs w:val="17"/>
        </w:rPr>
        <w:t>ed unit sales within the wholesale and direct to consumer channels increased 2%, while ASP remained flat.</w:t>
      </w:r>
    </w:p>
    <w:p w14:paraId="1D02711C" w14:textId="77777777" w:rsidR="004421F6" w:rsidRDefault="00F15622">
      <w:pPr>
        <w:spacing w:before="120" w:after="120"/>
      </w:pPr>
      <w:r>
        <w:rPr>
          <w:rFonts w:ascii="Arial" w:eastAsia="宋体" w:hAnsi="Arial" w:cs="Arial"/>
          <w:color w:val="000000"/>
          <w:sz w:val="17"/>
          <w:szCs w:val="17"/>
        </w:rPr>
        <w:t>Reported EBIT increased 22%, driven primarily by decreases in selling and administrative expenses, partially offset by a decline in gross margin. Gros</w:t>
      </w:r>
      <w:r>
        <w:rPr>
          <w:rFonts w:ascii="Arial" w:eastAsia="宋体" w:hAnsi="Arial" w:cs="Arial"/>
          <w:color w:val="000000"/>
          <w:sz w:val="17"/>
          <w:szCs w:val="17"/>
        </w:rPr>
        <w:t>s margin decreased 210 basis points driven by higher promotions across our direct to consumer and full-price wholesale channels, lower revenues in Converse’s licensing business, as well as unfavorable changes in standard foreign currency exchange rates. Se</w:t>
      </w:r>
      <w:r>
        <w:rPr>
          <w:rFonts w:ascii="Arial" w:eastAsia="宋体" w:hAnsi="Arial" w:cs="Arial"/>
          <w:color w:val="000000"/>
          <w:sz w:val="17"/>
          <w:szCs w:val="17"/>
        </w:rPr>
        <w:t>lling and administrative expense decreased due to lower operating overhead and demand creation expense. Operating overhead decreased primarily due to lower administrative expenses. Demand creation decreased as a result of lower advertising and marketing co</w:t>
      </w:r>
      <w:r>
        <w:rPr>
          <w:rFonts w:ascii="Arial" w:eastAsia="宋体" w:hAnsi="Arial" w:cs="Arial"/>
          <w:color w:val="000000"/>
          <w:sz w:val="17"/>
          <w:szCs w:val="17"/>
        </w:rPr>
        <w:t>sts, as well as lower retail brand presentation costs.</w:t>
      </w:r>
    </w:p>
    <w:p w14:paraId="1D02711D" w14:textId="77777777" w:rsidR="004421F6" w:rsidRDefault="00F15622">
      <w:pPr>
        <w:spacing w:before="120" w:after="120"/>
      </w:pPr>
      <w:r>
        <w:rPr>
          <w:rFonts w:ascii="Arial" w:eastAsia="宋体" w:hAnsi="Arial" w:cs="Arial"/>
          <w:color w:val="E87722"/>
          <w:sz w:val="17"/>
          <w:szCs w:val="17"/>
        </w:rPr>
        <w:t>32</w:t>
      </w:r>
      <w:r>
        <w:rPr>
          <w:rFonts w:ascii="sans-serif" w:eastAsia="sans-serif" w:hAnsi="sans-serif" w:cs="sans-serif"/>
          <w:color w:val="000000"/>
          <w:sz w:val="17"/>
          <w:szCs w:val="17"/>
        </w:rPr>
        <w:t xml:space="preserve"> </w:t>
      </w:r>
    </w:p>
    <w:p w14:paraId="1D02711E" w14:textId="77777777" w:rsidR="004421F6" w:rsidRDefault="00F15622">
      <w:r>
        <w:pict w14:anchorId="1D02729B">
          <v:rect id="_x0000_i1058" style="width:415.3pt;height:1.5pt" o:hralign="center" o:hrstd="t" o:hr="t" fillcolor="#a0a0a0" stroked="f"/>
        </w:pict>
      </w:r>
    </w:p>
    <w:p w14:paraId="1D02711F" w14:textId="77777777" w:rsidR="004421F6" w:rsidRDefault="004421F6"/>
    <w:p w14:paraId="1D027120" w14:textId="77777777" w:rsidR="004421F6" w:rsidRDefault="00F15622">
      <w:hyperlink r:id="rId103" w:anchor="i3e524f2e23844e81ba9d33a05ac3917c_7" w:history="1">
        <w:r>
          <w:rPr>
            <w:rStyle w:val="a5"/>
            <w:rFonts w:ascii="sans-serif" w:eastAsia="sans-serif" w:hAnsi="sans-serif" w:cs="sans-serif"/>
            <w:sz w:val="17"/>
            <w:szCs w:val="17"/>
          </w:rPr>
          <w:t>Table of Contents</w:t>
        </w:r>
      </w:hyperlink>
    </w:p>
    <w:p w14:paraId="1D027121" w14:textId="77777777" w:rsidR="004421F6" w:rsidRDefault="004421F6"/>
    <w:p w14:paraId="1D027122" w14:textId="77777777" w:rsidR="004421F6" w:rsidRDefault="00F15622">
      <w:pPr>
        <w:spacing w:before="240" w:after="120"/>
      </w:pPr>
      <w:r>
        <w:rPr>
          <w:rFonts w:ascii="sans-serif" w:eastAsia="sans-serif" w:hAnsi="sans-serif" w:cs="sans-serif"/>
          <w:b/>
          <w:bCs/>
          <w:color w:val="000000"/>
          <w:sz w:val="28"/>
          <w:szCs w:val="28"/>
        </w:rPr>
        <w:t>CORPORATE</w:t>
      </w:r>
    </w:p>
    <w:tbl>
      <w:tblPr>
        <w:tblW w:w="5000" w:type="pct"/>
        <w:tblCellMar>
          <w:top w:w="15" w:type="dxa"/>
          <w:left w:w="15" w:type="dxa"/>
          <w:bottom w:w="15" w:type="dxa"/>
          <w:right w:w="15" w:type="dxa"/>
        </w:tblCellMar>
        <w:tblLook w:val="04A0" w:firstRow="1" w:lastRow="0" w:firstColumn="1" w:lastColumn="0" w:noHBand="0" w:noVBand="1"/>
      </w:tblPr>
      <w:tblGrid>
        <w:gridCol w:w="38"/>
        <w:gridCol w:w="4905"/>
        <w:gridCol w:w="37"/>
        <w:gridCol w:w="130"/>
        <w:gridCol w:w="863"/>
        <w:gridCol w:w="41"/>
        <w:gridCol w:w="130"/>
        <w:gridCol w:w="863"/>
        <w:gridCol w:w="41"/>
        <w:gridCol w:w="52"/>
        <w:gridCol w:w="833"/>
        <w:gridCol w:w="187"/>
        <w:gridCol w:w="36"/>
        <w:gridCol w:w="36"/>
        <w:gridCol w:w="36"/>
        <w:gridCol w:w="36"/>
        <w:gridCol w:w="36"/>
        <w:gridCol w:w="36"/>
      </w:tblGrid>
      <w:tr w:rsidR="004421F6" w14:paraId="1D02712F" w14:textId="77777777">
        <w:trPr>
          <w:gridAfter w:val="6"/>
        </w:trPr>
        <w:tc>
          <w:tcPr>
            <w:tcW w:w="50" w:type="pct"/>
            <w:shd w:val="clear" w:color="auto" w:fill="auto"/>
          </w:tcPr>
          <w:p w14:paraId="1D027123" w14:textId="77777777" w:rsidR="004421F6" w:rsidRDefault="004421F6">
            <w:pPr>
              <w:rPr>
                <w:rFonts w:ascii="宋体"/>
              </w:rPr>
            </w:pPr>
          </w:p>
        </w:tc>
        <w:tc>
          <w:tcPr>
            <w:tcW w:w="3070" w:type="pct"/>
            <w:shd w:val="clear" w:color="auto" w:fill="auto"/>
          </w:tcPr>
          <w:p w14:paraId="1D027124" w14:textId="77777777" w:rsidR="004421F6" w:rsidRDefault="004421F6">
            <w:pPr>
              <w:rPr>
                <w:rFonts w:ascii="宋体"/>
              </w:rPr>
            </w:pPr>
          </w:p>
        </w:tc>
        <w:tc>
          <w:tcPr>
            <w:tcW w:w="5" w:type="pct"/>
            <w:shd w:val="clear" w:color="auto" w:fill="auto"/>
          </w:tcPr>
          <w:p w14:paraId="1D027125" w14:textId="77777777" w:rsidR="004421F6" w:rsidRDefault="004421F6">
            <w:pPr>
              <w:rPr>
                <w:rFonts w:ascii="宋体"/>
              </w:rPr>
            </w:pPr>
          </w:p>
        </w:tc>
        <w:tc>
          <w:tcPr>
            <w:tcW w:w="50" w:type="pct"/>
            <w:shd w:val="clear" w:color="auto" w:fill="auto"/>
          </w:tcPr>
          <w:p w14:paraId="1D027126" w14:textId="77777777" w:rsidR="004421F6" w:rsidRDefault="004421F6">
            <w:pPr>
              <w:rPr>
                <w:rFonts w:ascii="宋体"/>
              </w:rPr>
            </w:pPr>
          </w:p>
        </w:tc>
        <w:tc>
          <w:tcPr>
            <w:tcW w:w="570" w:type="pct"/>
            <w:shd w:val="clear" w:color="auto" w:fill="auto"/>
          </w:tcPr>
          <w:p w14:paraId="1D027127" w14:textId="77777777" w:rsidR="004421F6" w:rsidRDefault="004421F6">
            <w:pPr>
              <w:rPr>
                <w:rFonts w:ascii="宋体"/>
              </w:rPr>
            </w:pPr>
          </w:p>
        </w:tc>
        <w:tc>
          <w:tcPr>
            <w:tcW w:w="5" w:type="pct"/>
            <w:shd w:val="clear" w:color="auto" w:fill="auto"/>
          </w:tcPr>
          <w:p w14:paraId="1D027128" w14:textId="77777777" w:rsidR="004421F6" w:rsidRDefault="004421F6">
            <w:pPr>
              <w:rPr>
                <w:rFonts w:ascii="宋体"/>
              </w:rPr>
            </w:pPr>
          </w:p>
        </w:tc>
        <w:tc>
          <w:tcPr>
            <w:tcW w:w="50" w:type="pct"/>
            <w:shd w:val="clear" w:color="auto" w:fill="auto"/>
          </w:tcPr>
          <w:p w14:paraId="1D027129" w14:textId="77777777" w:rsidR="004421F6" w:rsidRDefault="004421F6">
            <w:pPr>
              <w:rPr>
                <w:rFonts w:ascii="宋体"/>
              </w:rPr>
            </w:pPr>
          </w:p>
        </w:tc>
        <w:tc>
          <w:tcPr>
            <w:tcW w:w="570" w:type="pct"/>
            <w:shd w:val="clear" w:color="auto" w:fill="auto"/>
          </w:tcPr>
          <w:p w14:paraId="1D02712A" w14:textId="77777777" w:rsidR="004421F6" w:rsidRDefault="004421F6">
            <w:pPr>
              <w:rPr>
                <w:rFonts w:ascii="宋体"/>
              </w:rPr>
            </w:pPr>
          </w:p>
        </w:tc>
        <w:tc>
          <w:tcPr>
            <w:tcW w:w="5" w:type="pct"/>
            <w:shd w:val="clear" w:color="auto" w:fill="auto"/>
          </w:tcPr>
          <w:p w14:paraId="1D02712B" w14:textId="77777777" w:rsidR="004421F6" w:rsidRDefault="004421F6">
            <w:pPr>
              <w:rPr>
                <w:rFonts w:ascii="宋体"/>
              </w:rPr>
            </w:pPr>
          </w:p>
        </w:tc>
        <w:tc>
          <w:tcPr>
            <w:tcW w:w="50" w:type="pct"/>
            <w:shd w:val="clear" w:color="auto" w:fill="auto"/>
          </w:tcPr>
          <w:p w14:paraId="1D02712C" w14:textId="77777777" w:rsidR="004421F6" w:rsidRDefault="004421F6">
            <w:pPr>
              <w:rPr>
                <w:rFonts w:ascii="宋体"/>
              </w:rPr>
            </w:pPr>
          </w:p>
        </w:tc>
        <w:tc>
          <w:tcPr>
            <w:tcW w:w="570" w:type="pct"/>
            <w:shd w:val="clear" w:color="auto" w:fill="auto"/>
          </w:tcPr>
          <w:p w14:paraId="1D02712D" w14:textId="77777777" w:rsidR="004421F6" w:rsidRDefault="004421F6">
            <w:pPr>
              <w:rPr>
                <w:rFonts w:ascii="宋体"/>
              </w:rPr>
            </w:pPr>
          </w:p>
        </w:tc>
        <w:tc>
          <w:tcPr>
            <w:tcW w:w="5" w:type="pct"/>
            <w:shd w:val="clear" w:color="auto" w:fill="auto"/>
          </w:tcPr>
          <w:p w14:paraId="1D02712E" w14:textId="77777777" w:rsidR="004421F6" w:rsidRDefault="004421F6">
            <w:pPr>
              <w:rPr>
                <w:rFonts w:ascii="宋体"/>
              </w:rPr>
            </w:pPr>
          </w:p>
        </w:tc>
      </w:tr>
      <w:tr w:rsidR="004421F6" w14:paraId="1D027134" w14:textId="77777777">
        <w:tc>
          <w:tcPr>
            <w:tcW w:w="0" w:type="auto"/>
            <w:gridSpan w:val="3"/>
            <w:shd w:val="clear" w:color="auto" w:fill="auto"/>
            <w:tcMar>
              <w:left w:w="20" w:type="dxa"/>
              <w:right w:w="20" w:type="dxa"/>
            </w:tcMar>
            <w:vAlign w:val="bottom"/>
          </w:tcPr>
          <w:p w14:paraId="1D027130" w14:textId="77777777" w:rsidR="004421F6" w:rsidRDefault="004421F6">
            <w:pPr>
              <w:rPr>
                <w:rFonts w:ascii="宋体"/>
              </w:rPr>
            </w:pPr>
          </w:p>
        </w:tc>
        <w:tc>
          <w:tcPr>
            <w:tcW w:w="0" w:type="auto"/>
            <w:gridSpan w:val="9"/>
            <w:shd w:val="clear" w:color="auto" w:fill="auto"/>
            <w:tcMar>
              <w:top w:w="40" w:type="dxa"/>
              <w:left w:w="20" w:type="dxa"/>
              <w:bottom w:w="40" w:type="dxa"/>
              <w:right w:w="20" w:type="dxa"/>
            </w:tcMar>
            <w:vAlign w:val="bottom"/>
          </w:tcPr>
          <w:p w14:paraId="1D027131" w14:textId="77777777" w:rsidR="004421F6" w:rsidRDefault="00F15622">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Pr>
          <w:p w14:paraId="1D027132" w14:textId="77777777" w:rsidR="004421F6" w:rsidRDefault="004421F6">
            <w:pPr>
              <w:rPr>
                <w:rFonts w:ascii="宋体"/>
                <w:vanish/>
              </w:rPr>
            </w:pPr>
          </w:p>
        </w:tc>
        <w:tc>
          <w:tcPr>
            <w:tcW w:w="0" w:type="auto"/>
            <w:gridSpan w:val="3"/>
            <w:shd w:val="clear" w:color="auto" w:fill="auto"/>
          </w:tcPr>
          <w:p w14:paraId="1D027133" w14:textId="77777777" w:rsidR="004421F6" w:rsidRDefault="004421F6">
            <w:pPr>
              <w:rPr>
                <w:rFonts w:ascii="宋体"/>
                <w:vanish/>
              </w:rPr>
            </w:pPr>
          </w:p>
        </w:tc>
      </w:tr>
      <w:tr w:rsidR="004421F6" w14:paraId="1D02713F" w14:textId="77777777">
        <w:tc>
          <w:tcPr>
            <w:tcW w:w="0" w:type="auto"/>
            <w:gridSpan w:val="3"/>
            <w:shd w:val="clear" w:color="auto" w:fill="auto"/>
            <w:tcMar>
              <w:top w:w="40" w:type="dxa"/>
              <w:left w:w="20" w:type="dxa"/>
              <w:bottom w:w="40" w:type="dxa"/>
              <w:right w:w="20" w:type="dxa"/>
            </w:tcMar>
            <w:vAlign w:val="bottom"/>
          </w:tcPr>
          <w:p w14:paraId="1D027135" w14:textId="77777777" w:rsidR="004421F6" w:rsidRDefault="00F15622">
            <w:pPr>
              <w:spacing w:before="120" w:after="120"/>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7136" w14:textId="77777777" w:rsidR="004421F6" w:rsidRDefault="00F1562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7137" w14:textId="77777777" w:rsidR="004421F6" w:rsidRDefault="00F1562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7138" w14:textId="77777777" w:rsidR="004421F6" w:rsidRDefault="00F15622">
            <w:pPr>
              <w:jc w:val="right"/>
              <w:textAlignment w:val="bottom"/>
            </w:pPr>
            <w:r>
              <w:rPr>
                <w:rFonts w:ascii="sans-serif" w:eastAsia="sans-serif" w:hAnsi="sans-serif" w:cs="sans-serif"/>
                <w:b/>
                <w:bCs/>
                <w:color w:val="000000"/>
                <w:sz w:val="17"/>
                <w:szCs w:val="17"/>
              </w:rPr>
              <w:t>% CHANGE</w:t>
            </w:r>
          </w:p>
        </w:tc>
        <w:tc>
          <w:tcPr>
            <w:tcW w:w="0" w:type="auto"/>
            <w:shd w:val="clear" w:color="auto" w:fill="auto"/>
          </w:tcPr>
          <w:p w14:paraId="1D027139" w14:textId="77777777" w:rsidR="004421F6" w:rsidRDefault="004421F6">
            <w:pPr>
              <w:rPr>
                <w:rFonts w:ascii="宋体"/>
              </w:rPr>
            </w:pPr>
          </w:p>
        </w:tc>
        <w:tc>
          <w:tcPr>
            <w:tcW w:w="0" w:type="auto"/>
            <w:shd w:val="clear" w:color="auto" w:fill="auto"/>
          </w:tcPr>
          <w:p w14:paraId="1D02713A" w14:textId="77777777" w:rsidR="004421F6" w:rsidRDefault="004421F6">
            <w:pPr>
              <w:rPr>
                <w:rFonts w:ascii="宋体"/>
              </w:rPr>
            </w:pPr>
          </w:p>
        </w:tc>
        <w:tc>
          <w:tcPr>
            <w:tcW w:w="0" w:type="auto"/>
            <w:shd w:val="clear" w:color="auto" w:fill="auto"/>
          </w:tcPr>
          <w:p w14:paraId="1D02713B" w14:textId="77777777" w:rsidR="004421F6" w:rsidRDefault="004421F6">
            <w:pPr>
              <w:rPr>
                <w:rFonts w:ascii="宋体"/>
              </w:rPr>
            </w:pPr>
          </w:p>
        </w:tc>
        <w:tc>
          <w:tcPr>
            <w:tcW w:w="0" w:type="auto"/>
            <w:shd w:val="clear" w:color="auto" w:fill="auto"/>
          </w:tcPr>
          <w:p w14:paraId="1D02713C" w14:textId="77777777" w:rsidR="004421F6" w:rsidRDefault="004421F6">
            <w:pPr>
              <w:rPr>
                <w:rFonts w:ascii="宋体"/>
              </w:rPr>
            </w:pPr>
          </w:p>
        </w:tc>
        <w:tc>
          <w:tcPr>
            <w:tcW w:w="0" w:type="auto"/>
            <w:shd w:val="clear" w:color="auto" w:fill="auto"/>
          </w:tcPr>
          <w:p w14:paraId="1D02713D" w14:textId="77777777" w:rsidR="004421F6" w:rsidRDefault="004421F6">
            <w:pPr>
              <w:rPr>
                <w:rFonts w:ascii="宋体"/>
              </w:rPr>
            </w:pPr>
          </w:p>
        </w:tc>
        <w:tc>
          <w:tcPr>
            <w:tcW w:w="0" w:type="auto"/>
            <w:shd w:val="clear" w:color="auto" w:fill="auto"/>
          </w:tcPr>
          <w:p w14:paraId="1D02713E" w14:textId="77777777" w:rsidR="004421F6" w:rsidRDefault="004421F6">
            <w:pPr>
              <w:rPr>
                <w:rFonts w:ascii="宋体"/>
              </w:rPr>
            </w:pPr>
          </w:p>
        </w:tc>
      </w:tr>
      <w:tr w:rsidR="004421F6" w14:paraId="1D02714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7140" w14:textId="77777777" w:rsidR="004421F6" w:rsidRDefault="00F15622">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tcMar>
            <w:vAlign w:val="bottom"/>
          </w:tcPr>
          <w:p w14:paraId="1D027141"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bottom w:w="40" w:type="dxa"/>
              <w:right w:w="0" w:type="dxa"/>
            </w:tcMar>
            <w:vAlign w:val="bottom"/>
          </w:tcPr>
          <w:p w14:paraId="1D027142" w14:textId="77777777" w:rsidR="004421F6" w:rsidRDefault="00F15622">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FFF1E7"/>
            <w:tcMar>
              <w:top w:w="40" w:type="dxa"/>
              <w:bottom w:w="40" w:type="dxa"/>
              <w:right w:w="20" w:type="dxa"/>
            </w:tcMar>
            <w:vAlign w:val="bottom"/>
          </w:tcPr>
          <w:p w14:paraId="1D027143" w14:textId="77777777" w:rsidR="004421F6" w:rsidRDefault="004421F6">
            <w:pPr>
              <w:jc w:val="right"/>
              <w:rPr>
                <w:rFonts w:ascii="宋体"/>
              </w:rPr>
            </w:pPr>
          </w:p>
        </w:tc>
        <w:tc>
          <w:tcPr>
            <w:tcW w:w="0" w:type="auto"/>
            <w:tcBorders>
              <w:top w:val="single" w:sz="8" w:space="0" w:color="E87722"/>
            </w:tcBorders>
            <w:shd w:val="clear" w:color="auto" w:fill="auto"/>
            <w:tcMar>
              <w:top w:w="40" w:type="dxa"/>
              <w:left w:w="20" w:type="dxa"/>
              <w:bottom w:w="40" w:type="dxa"/>
            </w:tcMar>
            <w:vAlign w:val="bottom"/>
          </w:tcPr>
          <w:p w14:paraId="1D027144"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bottom w:w="40" w:type="dxa"/>
              <w:right w:w="0" w:type="dxa"/>
            </w:tcMar>
            <w:vAlign w:val="bottom"/>
          </w:tcPr>
          <w:p w14:paraId="1D027145" w14:textId="77777777" w:rsidR="004421F6" w:rsidRDefault="00F15622">
            <w:pPr>
              <w:jc w:val="right"/>
              <w:textAlignment w:val="bottom"/>
            </w:pPr>
            <w:r>
              <w:rPr>
                <w:rFonts w:ascii="Arial" w:eastAsia="宋体" w:hAnsi="Arial" w:cs="Arial"/>
                <w:color w:val="000000"/>
                <w:sz w:val="17"/>
                <w:szCs w:val="17"/>
              </w:rPr>
              <w:t>9 </w:t>
            </w:r>
          </w:p>
        </w:tc>
        <w:tc>
          <w:tcPr>
            <w:tcW w:w="0" w:type="auto"/>
            <w:tcBorders>
              <w:top w:val="single" w:sz="8" w:space="0" w:color="E87722"/>
            </w:tcBorders>
            <w:shd w:val="clear" w:color="auto" w:fill="auto"/>
            <w:tcMar>
              <w:top w:w="40" w:type="dxa"/>
              <w:bottom w:w="40" w:type="dxa"/>
              <w:right w:w="20" w:type="dxa"/>
            </w:tcMar>
            <w:vAlign w:val="bottom"/>
          </w:tcPr>
          <w:p w14:paraId="1D027146" w14:textId="77777777" w:rsidR="004421F6" w:rsidRDefault="004421F6">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D027147" w14:textId="77777777" w:rsidR="004421F6" w:rsidRDefault="00F1562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bottom w:w="40" w:type="dxa"/>
              <w:right w:w="20" w:type="dxa"/>
            </w:tcMar>
            <w:vAlign w:val="bottom"/>
          </w:tcPr>
          <w:p w14:paraId="1D027148" w14:textId="77777777" w:rsidR="004421F6" w:rsidRDefault="004421F6">
            <w:pPr>
              <w:jc w:val="right"/>
              <w:rPr>
                <w:rFonts w:ascii="宋体"/>
              </w:rPr>
            </w:pPr>
          </w:p>
        </w:tc>
        <w:tc>
          <w:tcPr>
            <w:tcW w:w="0" w:type="auto"/>
            <w:shd w:val="clear" w:color="auto" w:fill="auto"/>
          </w:tcPr>
          <w:p w14:paraId="1D027149" w14:textId="77777777" w:rsidR="004421F6" w:rsidRDefault="004421F6">
            <w:pPr>
              <w:rPr>
                <w:rFonts w:ascii="宋体"/>
              </w:rPr>
            </w:pPr>
          </w:p>
        </w:tc>
        <w:tc>
          <w:tcPr>
            <w:tcW w:w="0" w:type="auto"/>
            <w:shd w:val="clear" w:color="auto" w:fill="auto"/>
          </w:tcPr>
          <w:p w14:paraId="1D02714A" w14:textId="77777777" w:rsidR="004421F6" w:rsidRDefault="004421F6">
            <w:pPr>
              <w:rPr>
                <w:rFonts w:ascii="宋体"/>
              </w:rPr>
            </w:pPr>
          </w:p>
        </w:tc>
        <w:tc>
          <w:tcPr>
            <w:tcW w:w="0" w:type="auto"/>
            <w:shd w:val="clear" w:color="auto" w:fill="auto"/>
          </w:tcPr>
          <w:p w14:paraId="1D02714B" w14:textId="77777777" w:rsidR="004421F6" w:rsidRDefault="004421F6">
            <w:pPr>
              <w:rPr>
                <w:rFonts w:ascii="宋体"/>
              </w:rPr>
            </w:pPr>
          </w:p>
        </w:tc>
        <w:tc>
          <w:tcPr>
            <w:tcW w:w="0" w:type="auto"/>
            <w:shd w:val="clear" w:color="auto" w:fill="auto"/>
          </w:tcPr>
          <w:p w14:paraId="1D02714C" w14:textId="77777777" w:rsidR="004421F6" w:rsidRDefault="004421F6">
            <w:pPr>
              <w:rPr>
                <w:rFonts w:ascii="宋体"/>
              </w:rPr>
            </w:pPr>
          </w:p>
        </w:tc>
        <w:tc>
          <w:tcPr>
            <w:tcW w:w="0" w:type="auto"/>
            <w:shd w:val="clear" w:color="auto" w:fill="auto"/>
          </w:tcPr>
          <w:p w14:paraId="1D02714D" w14:textId="77777777" w:rsidR="004421F6" w:rsidRDefault="004421F6">
            <w:pPr>
              <w:rPr>
                <w:rFonts w:ascii="宋体"/>
              </w:rPr>
            </w:pPr>
          </w:p>
        </w:tc>
        <w:tc>
          <w:tcPr>
            <w:tcW w:w="0" w:type="auto"/>
            <w:shd w:val="clear" w:color="auto" w:fill="auto"/>
          </w:tcPr>
          <w:p w14:paraId="1D02714E" w14:textId="77777777" w:rsidR="004421F6" w:rsidRDefault="004421F6">
            <w:pPr>
              <w:rPr>
                <w:rFonts w:ascii="宋体"/>
              </w:rPr>
            </w:pPr>
          </w:p>
        </w:tc>
      </w:tr>
      <w:tr w:rsidR="004421F6" w14:paraId="1D02715F"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1D027150" w14:textId="77777777" w:rsidR="004421F6" w:rsidRDefault="00F15622">
            <w:pPr>
              <w:textAlignment w:val="bottom"/>
            </w:pPr>
            <w:r>
              <w:rPr>
                <w:rFonts w:ascii="Arial" w:eastAsia="宋体" w:hAnsi="Arial" w:cs="Arial"/>
                <w:color w:val="000000"/>
                <w:sz w:val="17"/>
                <w:szCs w:val="17"/>
              </w:rPr>
              <w:t>Earnings (Loss) Before Interest and Taxes</w:t>
            </w:r>
          </w:p>
        </w:tc>
        <w:tc>
          <w:tcPr>
            <w:tcW w:w="0" w:type="auto"/>
            <w:tcBorders>
              <w:top w:val="single" w:sz="8" w:space="0" w:color="808080"/>
              <w:bottom w:val="single" w:sz="8" w:space="0" w:color="E87722"/>
            </w:tcBorders>
            <w:shd w:val="clear" w:color="auto" w:fill="FFF1E7"/>
            <w:tcMar>
              <w:top w:w="40" w:type="dxa"/>
              <w:left w:w="20" w:type="dxa"/>
              <w:bottom w:w="40" w:type="dxa"/>
            </w:tcMar>
            <w:vAlign w:val="bottom"/>
          </w:tcPr>
          <w:p w14:paraId="1D027151"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FFF1E7"/>
            <w:tcMar>
              <w:top w:w="40" w:type="dxa"/>
              <w:bottom w:w="40" w:type="dxa"/>
              <w:right w:w="0" w:type="dxa"/>
            </w:tcMar>
            <w:vAlign w:val="bottom"/>
          </w:tcPr>
          <w:p w14:paraId="1D027152" w14:textId="77777777" w:rsidR="004421F6" w:rsidRDefault="00F15622">
            <w:pPr>
              <w:jc w:val="right"/>
              <w:textAlignment w:val="bottom"/>
            </w:pPr>
            <w:r>
              <w:rPr>
                <w:rFonts w:ascii="Arial" w:eastAsia="宋体" w:hAnsi="Arial" w:cs="Arial"/>
                <w:color w:val="000000"/>
                <w:sz w:val="17"/>
                <w:szCs w:val="17"/>
              </w:rPr>
              <w:t>(497)</w:t>
            </w:r>
          </w:p>
        </w:tc>
        <w:tc>
          <w:tcPr>
            <w:tcW w:w="0" w:type="auto"/>
            <w:tcBorders>
              <w:top w:val="single" w:sz="8" w:space="0" w:color="808080"/>
              <w:bottom w:val="single" w:sz="8" w:space="0" w:color="E87722"/>
            </w:tcBorders>
            <w:shd w:val="clear" w:color="auto" w:fill="FFF1E7"/>
            <w:tcMar>
              <w:top w:w="40" w:type="dxa"/>
              <w:bottom w:w="40" w:type="dxa"/>
              <w:right w:w="20" w:type="dxa"/>
            </w:tcMar>
            <w:vAlign w:val="bottom"/>
          </w:tcPr>
          <w:p w14:paraId="1D027153" w14:textId="77777777" w:rsidR="004421F6" w:rsidRDefault="004421F6">
            <w:pPr>
              <w:jc w:val="right"/>
              <w:rPr>
                <w:rFonts w:ascii="宋体"/>
              </w:rPr>
            </w:pPr>
          </w:p>
        </w:tc>
        <w:tc>
          <w:tcPr>
            <w:tcW w:w="0" w:type="auto"/>
            <w:tcBorders>
              <w:top w:val="single" w:sz="8" w:space="0" w:color="808080"/>
              <w:bottom w:val="single" w:sz="8" w:space="0" w:color="E87722"/>
            </w:tcBorders>
            <w:shd w:val="clear" w:color="auto" w:fill="auto"/>
            <w:tcMar>
              <w:top w:w="40" w:type="dxa"/>
              <w:left w:w="20" w:type="dxa"/>
              <w:bottom w:w="40" w:type="dxa"/>
            </w:tcMar>
            <w:vAlign w:val="bottom"/>
          </w:tcPr>
          <w:p w14:paraId="1D027154" w14:textId="77777777" w:rsidR="004421F6" w:rsidRDefault="00F1562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auto"/>
            <w:tcMar>
              <w:top w:w="40" w:type="dxa"/>
              <w:bottom w:w="40" w:type="dxa"/>
              <w:right w:w="0" w:type="dxa"/>
            </w:tcMar>
            <w:vAlign w:val="bottom"/>
          </w:tcPr>
          <w:p w14:paraId="1D027155" w14:textId="77777777" w:rsidR="004421F6" w:rsidRDefault="00F15622">
            <w:pPr>
              <w:jc w:val="right"/>
              <w:textAlignment w:val="bottom"/>
            </w:pPr>
            <w:r>
              <w:rPr>
                <w:rFonts w:ascii="Arial" w:eastAsia="宋体" w:hAnsi="Arial" w:cs="Arial"/>
                <w:color w:val="000000"/>
                <w:sz w:val="17"/>
                <w:szCs w:val="17"/>
              </w:rPr>
              <w:t>(424)</w:t>
            </w:r>
          </w:p>
        </w:tc>
        <w:tc>
          <w:tcPr>
            <w:tcW w:w="0" w:type="auto"/>
            <w:tcBorders>
              <w:top w:val="single" w:sz="8" w:space="0" w:color="808080"/>
              <w:bottom w:val="single" w:sz="8" w:space="0" w:color="E87722"/>
            </w:tcBorders>
            <w:shd w:val="clear" w:color="auto" w:fill="auto"/>
            <w:tcMar>
              <w:top w:w="40" w:type="dxa"/>
              <w:bottom w:w="40" w:type="dxa"/>
              <w:right w:w="20" w:type="dxa"/>
            </w:tcMar>
            <w:vAlign w:val="bottom"/>
          </w:tcPr>
          <w:p w14:paraId="1D027156" w14:textId="77777777" w:rsidR="004421F6" w:rsidRDefault="004421F6">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1D027157" w14:textId="77777777" w:rsidR="004421F6" w:rsidRDefault="00F15622">
            <w:pPr>
              <w:jc w:val="right"/>
              <w:textAlignment w:val="bottom"/>
            </w:pPr>
            <w:r>
              <w:rPr>
                <w:rFonts w:ascii="Arial" w:eastAsia="宋体" w:hAnsi="Arial" w:cs="Arial"/>
                <w:color w:val="000000"/>
                <w:sz w:val="17"/>
                <w:szCs w:val="17"/>
              </w:rPr>
              <w:t>-17 </w:t>
            </w:r>
          </w:p>
        </w:tc>
        <w:tc>
          <w:tcPr>
            <w:tcW w:w="0" w:type="auto"/>
            <w:tcBorders>
              <w:top w:val="single" w:sz="8" w:space="0" w:color="808080"/>
              <w:bottom w:val="single" w:sz="8" w:space="0" w:color="E87722"/>
            </w:tcBorders>
            <w:shd w:val="clear" w:color="auto" w:fill="auto"/>
            <w:tcMar>
              <w:top w:w="40" w:type="dxa"/>
              <w:bottom w:w="40" w:type="dxa"/>
              <w:right w:w="20" w:type="dxa"/>
            </w:tcMar>
            <w:vAlign w:val="bottom"/>
          </w:tcPr>
          <w:p w14:paraId="1D027158" w14:textId="77777777" w:rsidR="004421F6" w:rsidRDefault="00F15622">
            <w:pPr>
              <w:jc w:val="right"/>
              <w:textAlignment w:val="bottom"/>
            </w:pPr>
            <w:r>
              <w:rPr>
                <w:rFonts w:ascii="Arial" w:eastAsia="宋体" w:hAnsi="Arial" w:cs="Arial"/>
                <w:color w:val="000000"/>
                <w:sz w:val="17"/>
                <w:szCs w:val="17"/>
              </w:rPr>
              <w:t>%</w:t>
            </w:r>
          </w:p>
        </w:tc>
        <w:tc>
          <w:tcPr>
            <w:tcW w:w="0" w:type="auto"/>
            <w:shd w:val="clear" w:color="auto" w:fill="auto"/>
          </w:tcPr>
          <w:p w14:paraId="1D027159" w14:textId="77777777" w:rsidR="004421F6" w:rsidRDefault="004421F6">
            <w:pPr>
              <w:rPr>
                <w:rFonts w:ascii="宋体"/>
              </w:rPr>
            </w:pPr>
          </w:p>
        </w:tc>
        <w:tc>
          <w:tcPr>
            <w:tcW w:w="0" w:type="auto"/>
            <w:shd w:val="clear" w:color="auto" w:fill="auto"/>
          </w:tcPr>
          <w:p w14:paraId="1D02715A" w14:textId="77777777" w:rsidR="004421F6" w:rsidRDefault="004421F6">
            <w:pPr>
              <w:rPr>
                <w:rFonts w:ascii="宋体"/>
              </w:rPr>
            </w:pPr>
          </w:p>
        </w:tc>
        <w:tc>
          <w:tcPr>
            <w:tcW w:w="0" w:type="auto"/>
            <w:shd w:val="clear" w:color="auto" w:fill="auto"/>
          </w:tcPr>
          <w:p w14:paraId="1D02715B" w14:textId="77777777" w:rsidR="004421F6" w:rsidRDefault="004421F6">
            <w:pPr>
              <w:rPr>
                <w:rFonts w:ascii="宋体"/>
              </w:rPr>
            </w:pPr>
          </w:p>
        </w:tc>
        <w:tc>
          <w:tcPr>
            <w:tcW w:w="0" w:type="auto"/>
            <w:shd w:val="clear" w:color="auto" w:fill="auto"/>
          </w:tcPr>
          <w:p w14:paraId="1D02715C" w14:textId="77777777" w:rsidR="004421F6" w:rsidRDefault="004421F6">
            <w:pPr>
              <w:rPr>
                <w:rFonts w:ascii="宋体"/>
              </w:rPr>
            </w:pPr>
          </w:p>
        </w:tc>
        <w:tc>
          <w:tcPr>
            <w:tcW w:w="0" w:type="auto"/>
            <w:shd w:val="clear" w:color="auto" w:fill="auto"/>
          </w:tcPr>
          <w:p w14:paraId="1D02715D" w14:textId="77777777" w:rsidR="004421F6" w:rsidRDefault="004421F6">
            <w:pPr>
              <w:rPr>
                <w:rFonts w:ascii="宋体"/>
              </w:rPr>
            </w:pPr>
          </w:p>
        </w:tc>
        <w:tc>
          <w:tcPr>
            <w:tcW w:w="0" w:type="auto"/>
            <w:shd w:val="clear" w:color="auto" w:fill="auto"/>
          </w:tcPr>
          <w:p w14:paraId="1D02715E" w14:textId="77777777" w:rsidR="004421F6" w:rsidRDefault="004421F6">
            <w:pPr>
              <w:rPr>
                <w:rFonts w:ascii="宋体"/>
              </w:rPr>
            </w:pPr>
          </w:p>
        </w:tc>
      </w:tr>
    </w:tbl>
    <w:p w14:paraId="1D027160" w14:textId="77777777" w:rsidR="004421F6" w:rsidRDefault="00F15622">
      <w:pPr>
        <w:spacing w:before="120" w:after="120"/>
      </w:pPr>
      <w:r>
        <w:rPr>
          <w:rFonts w:ascii="Arial" w:eastAsia="宋体" w:hAnsi="Arial" w:cs="Arial"/>
          <w:color w:val="000000"/>
          <w:sz w:val="17"/>
          <w:szCs w:val="17"/>
        </w:rPr>
        <w:t xml:space="preserve">Corporate revenues primarily consist of foreign currency </w:t>
      </w:r>
      <w:r>
        <w:rPr>
          <w:rFonts w:ascii="Arial" w:eastAsia="宋体" w:hAnsi="Arial" w:cs="Arial"/>
          <w:color w:val="000000"/>
          <w:sz w:val="17"/>
          <w:szCs w:val="17"/>
        </w:rPr>
        <w:t>hedge gains and losses related to revenues generated by entities within the NIKE Brand geographic operating segments and Converse, but managed through our central foreign exchange risk management program.</w:t>
      </w:r>
    </w:p>
    <w:p w14:paraId="1D027161" w14:textId="77777777" w:rsidR="004421F6" w:rsidRDefault="00F15622">
      <w:pPr>
        <w:spacing w:before="120" w:after="120"/>
      </w:pPr>
      <w:r>
        <w:rPr>
          <w:rFonts w:ascii="Arial" w:eastAsia="宋体" w:hAnsi="Arial" w:cs="Arial"/>
          <w:color w:val="000000"/>
          <w:sz w:val="17"/>
          <w:szCs w:val="17"/>
        </w:rPr>
        <w:t>The Corporate loss before interest and taxes primar</w:t>
      </w:r>
      <w:r>
        <w:rPr>
          <w:rFonts w:ascii="Arial" w:eastAsia="宋体" w:hAnsi="Arial" w:cs="Arial"/>
          <w:color w:val="000000"/>
          <w:sz w:val="17"/>
          <w:szCs w:val="17"/>
        </w:rPr>
        <w:t>ily consists of unallocated general and administrative expenses, including expenses associated with centrally managed departments; depreciation and amortization related to our corporate headquarters; unallocated insurance, benefit and compensation programs</w:t>
      </w:r>
      <w:r>
        <w:rPr>
          <w:rFonts w:ascii="Arial" w:eastAsia="宋体" w:hAnsi="Arial" w:cs="Arial"/>
          <w:color w:val="000000"/>
          <w:sz w:val="17"/>
          <w:szCs w:val="17"/>
        </w:rPr>
        <w:t xml:space="preserve">, including stock-based compensation; and certain foreign currency gains and losses. </w:t>
      </w:r>
    </w:p>
    <w:p w14:paraId="1D027162" w14:textId="77777777" w:rsidR="004421F6" w:rsidRDefault="00F15622">
      <w:pPr>
        <w:spacing w:before="120" w:after="120"/>
      </w:pPr>
      <w:r>
        <w:rPr>
          <w:rFonts w:ascii="Arial" w:eastAsia="宋体" w:hAnsi="Arial" w:cs="Arial"/>
          <w:color w:val="000000"/>
          <w:sz w:val="17"/>
          <w:szCs w:val="17"/>
        </w:rPr>
        <w:t>In addition to the foreign currency gains and losses recognized in Corporate revenues, foreign currency results in Corporate include gains and losses resulting from the d</w:t>
      </w:r>
      <w:r>
        <w:rPr>
          <w:rFonts w:ascii="Arial" w:eastAsia="宋体" w:hAnsi="Arial" w:cs="Arial"/>
          <w:color w:val="000000"/>
          <w:sz w:val="17"/>
          <w:szCs w:val="17"/>
        </w:rPr>
        <w:t>ifference between actual foreign currency exchange rates and standard rates used to record non-functional currency denominated product purchases within the NIKE Brand geographic operating segments and Converse; related foreign currency hedge results; conve</w:t>
      </w:r>
      <w:r>
        <w:rPr>
          <w:rFonts w:ascii="Arial" w:eastAsia="宋体" w:hAnsi="Arial" w:cs="Arial"/>
          <w:color w:val="000000"/>
          <w:sz w:val="17"/>
          <w:szCs w:val="17"/>
        </w:rPr>
        <w:t>rsion gains and losses arising from re-measurement of monetary assets and liabilities in non-functional currencies; and certain other foreign currency derivative instruments.</w:t>
      </w:r>
    </w:p>
    <w:p w14:paraId="1D027163" w14:textId="77777777" w:rsidR="004421F6" w:rsidRDefault="00F15622">
      <w:pPr>
        <w:spacing w:before="120"/>
      </w:pPr>
      <w:r>
        <w:rPr>
          <w:rFonts w:ascii="sans-serif" w:eastAsia="sans-serif" w:hAnsi="sans-serif" w:cs="sans-serif"/>
          <w:b/>
          <w:bCs/>
          <w:color w:val="808080"/>
          <w:sz w:val="22"/>
          <w:szCs w:val="22"/>
        </w:rPr>
        <w:t>FIRST QUARTER OF FISCAL 2021 COMPARED TO FIRST QUARTER OF FISCAL 2020</w:t>
      </w:r>
    </w:p>
    <w:p w14:paraId="1D027164" w14:textId="77777777" w:rsidR="004421F6" w:rsidRDefault="00F15622">
      <w:pPr>
        <w:spacing w:after="120"/>
      </w:pPr>
      <w:r>
        <w:rPr>
          <w:rFonts w:ascii="Arial" w:eastAsia="宋体" w:hAnsi="Arial" w:cs="Arial"/>
          <w:color w:val="000000"/>
          <w:sz w:val="17"/>
          <w:szCs w:val="17"/>
        </w:rPr>
        <w:t>Corporate's</w:t>
      </w:r>
      <w:r>
        <w:rPr>
          <w:rFonts w:ascii="Arial" w:eastAsia="宋体" w:hAnsi="Arial" w:cs="Arial"/>
          <w:color w:val="000000"/>
          <w:sz w:val="17"/>
          <w:szCs w:val="17"/>
        </w:rPr>
        <w:t xml:space="preserve"> loss before interest and taxes increased $73 million for the first quarter of fiscal 2021, primarily due to the following:</w:t>
      </w:r>
    </w:p>
    <w:p w14:paraId="1D027165" w14:textId="77777777" w:rsidR="004421F6" w:rsidRDefault="00F1562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an unfavorable change of $140 million in part due to </w:t>
      </w:r>
      <w:r>
        <w:rPr>
          <w:rFonts w:ascii="Arial" w:eastAsia="宋体" w:hAnsi="Arial" w:cs="Arial"/>
          <w:color w:val="000000"/>
          <w:sz w:val="17"/>
          <w:szCs w:val="17"/>
          <w:shd w:val="clear" w:color="auto" w:fill="FFFFFF"/>
        </w:rPr>
        <w:t xml:space="preserve">restructuring costs associated with changes to our organization model announced in July 2020, as well as an incremental </w:t>
      </w:r>
      <w:r>
        <w:rPr>
          <w:rFonts w:ascii="Arial" w:eastAsia="宋体" w:hAnsi="Arial" w:cs="Arial"/>
          <w:color w:val="000000"/>
          <w:sz w:val="17"/>
          <w:szCs w:val="17"/>
        </w:rPr>
        <w:t>charge related to our planned, strategic distributor partnership transition within APLA. For more information see Note 13 — Acquisitions</w:t>
      </w:r>
      <w:r>
        <w:rPr>
          <w:rFonts w:ascii="Arial" w:eastAsia="宋体" w:hAnsi="Arial" w:cs="Arial"/>
          <w:color w:val="000000"/>
          <w:sz w:val="17"/>
          <w:szCs w:val="17"/>
        </w:rPr>
        <w:t xml:space="preserve"> and Divestitures within the accompanying Notes to the Unaudited Condensed Consolidated Financial Statements; </w:t>
      </w:r>
    </w:p>
    <w:p w14:paraId="1D027166" w14:textId="77777777" w:rsidR="004421F6" w:rsidRDefault="00F1562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a favorable change of $76 million related to the difference between actual foreign currency exchange rates and standard foreign currency exchang</w:t>
      </w:r>
      <w:r>
        <w:rPr>
          <w:rFonts w:ascii="Arial" w:eastAsia="宋体" w:hAnsi="Arial" w:cs="Arial"/>
          <w:color w:val="000000"/>
          <w:sz w:val="17"/>
          <w:szCs w:val="17"/>
        </w:rPr>
        <w:t>e rates assigned to the NIKE Brand geographic operating segments and Converse, net of hedge gains and losses; these results are reported as a component of consolidated gross margin; and</w:t>
      </w:r>
    </w:p>
    <w:p w14:paraId="1D027167" w14:textId="77777777" w:rsidR="004421F6" w:rsidRDefault="00F1562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an unfavorable change in net foreign currency gains and losses of $9 </w:t>
      </w:r>
      <w:r>
        <w:rPr>
          <w:rFonts w:ascii="Arial" w:eastAsia="宋体" w:hAnsi="Arial" w:cs="Arial"/>
          <w:color w:val="000000"/>
          <w:sz w:val="17"/>
          <w:szCs w:val="17"/>
        </w:rPr>
        <w:t>million related to the re-measurement of monetary assets and liabilities denominated in non-functional currencies and the impact of certain foreign currency derivative instruments, reported as a component of consolidated Other (income) expense, net</w:t>
      </w:r>
      <w:r>
        <w:rPr>
          <w:rFonts w:ascii="Arial" w:eastAsia="宋体" w:hAnsi="Arial" w:cs="Arial"/>
          <w:i/>
          <w:iCs/>
          <w:color w:val="000000"/>
          <w:sz w:val="17"/>
          <w:szCs w:val="17"/>
        </w:rPr>
        <w:t>.</w:t>
      </w:r>
    </w:p>
    <w:p w14:paraId="1D027168" w14:textId="77777777" w:rsidR="004421F6" w:rsidRDefault="00F15622">
      <w:pPr>
        <w:spacing w:before="300" w:after="120"/>
      </w:pPr>
      <w:r>
        <w:rPr>
          <w:rFonts w:ascii="sans-serif" w:eastAsia="sans-serif" w:hAnsi="sans-serif" w:cs="sans-serif"/>
          <w:b/>
          <w:bCs/>
          <w:color w:val="E87722"/>
          <w:sz w:val="36"/>
          <w:szCs w:val="36"/>
        </w:rPr>
        <w:t>FOREIG</w:t>
      </w:r>
      <w:r>
        <w:rPr>
          <w:rFonts w:ascii="sans-serif" w:eastAsia="sans-serif" w:hAnsi="sans-serif" w:cs="sans-serif"/>
          <w:b/>
          <w:bCs/>
          <w:color w:val="E87722"/>
          <w:sz w:val="36"/>
          <w:szCs w:val="36"/>
        </w:rPr>
        <w:t>N CURRENCY EXPOSURES AND HEDGING PRACTICES</w:t>
      </w:r>
    </w:p>
    <w:p w14:paraId="1D027169" w14:textId="77777777" w:rsidR="004421F6" w:rsidRDefault="00F15622">
      <w:pPr>
        <w:spacing w:before="240" w:after="120"/>
      </w:pPr>
      <w:r>
        <w:rPr>
          <w:rFonts w:ascii="sans-serif" w:eastAsia="sans-serif" w:hAnsi="sans-serif" w:cs="sans-serif"/>
          <w:b/>
          <w:bCs/>
          <w:color w:val="000000"/>
          <w:sz w:val="28"/>
          <w:szCs w:val="28"/>
        </w:rPr>
        <w:t>OVERVIEW</w:t>
      </w:r>
    </w:p>
    <w:p w14:paraId="1D02716A" w14:textId="77777777" w:rsidR="004421F6" w:rsidRDefault="00F15622">
      <w:pPr>
        <w:spacing w:before="120" w:after="120"/>
      </w:pPr>
      <w:r>
        <w:rPr>
          <w:rFonts w:ascii="Arial" w:eastAsia="宋体" w:hAnsi="Arial" w:cs="Arial"/>
          <w:color w:val="000000"/>
          <w:sz w:val="17"/>
          <w:szCs w:val="17"/>
        </w:rPr>
        <w:t>As a global company with significant operations outside the United States, in the normal course of business we are exposed to risk arising from changes in currency exchange rates. Our primary foreign curr</w:t>
      </w:r>
      <w:r>
        <w:rPr>
          <w:rFonts w:ascii="Arial" w:eastAsia="宋体" w:hAnsi="Arial" w:cs="Arial"/>
          <w:color w:val="000000"/>
          <w:sz w:val="17"/>
          <w:szCs w:val="17"/>
        </w:rPr>
        <w:t>ency exposures arise from the recording of transactions denominated in non-functional currencies and the translation of foreign currency denominated results of operations, financial position and cash flows into U.S. Dollars.</w:t>
      </w:r>
    </w:p>
    <w:p w14:paraId="1D02716B" w14:textId="77777777" w:rsidR="004421F6" w:rsidRDefault="00F15622">
      <w:pPr>
        <w:spacing w:before="120" w:after="120"/>
      </w:pPr>
      <w:r>
        <w:rPr>
          <w:rFonts w:ascii="Arial" w:eastAsia="宋体" w:hAnsi="Arial" w:cs="Arial"/>
          <w:color w:val="000000"/>
          <w:sz w:val="17"/>
          <w:szCs w:val="17"/>
        </w:rPr>
        <w:t>Our foreign exchange risk manag</w:t>
      </w:r>
      <w:r>
        <w:rPr>
          <w:rFonts w:ascii="Arial" w:eastAsia="宋体" w:hAnsi="Arial" w:cs="Arial"/>
          <w:color w:val="000000"/>
          <w:sz w:val="17"/>
          <w:szCs w:val="17"/>
        </w:rPr>
        <w:t>ement program is intended to lessen both the positive and negative effects of currency fluctuations on our consolidated results of operations, financial position and cash flows. We manage global foreign exchange risk centrally on a portfolio basis to addre</w:t>
      </w:r>
      <w:r>
        <w:rPr>
          <w:rFonts w:ascii="Arial" w:eastAsia="宋体" w:hAnsi="Arial" w:cs="Arial"/>
          <w:color w:val="000000"/>
          <w:sz w:val="17"/>
          <w:szCs w:val="17"/>
        </w:rPr>
        <w:t>ss those risks material to NIKE, Inc. Our hedging policy is designed to partially or entirely offset the impact of exchange rate changes on the underlying net exposures being hedged. Where exposures are hedged, our program has the effect of delaying the im</w:t>
      </w:r>
      <w:r>
        <w:rPr>
          <w:rFonts w:ascii="Arial" w:eastAsia="宋体" w:hAnsi="Arial" w:cs="Arial"/>
          <w:color w:val="000000"/>
          <w:sz w:val="17"/>
          <w:szCs w:val="17"/>
        </w:rPr>
        <w:t>pact of exchange rate movements on our Unaudited Condensed Consolidated Financial Statements; the length of the delay is dependent upon hedge horizons. We do not hold or issue derivative instruments for trading or speculative purposes. As of and for the th</w:t>
      </w:r>
      <w:r>
        <w:rPr>
          <w:rFonts w:ascii="Arial" w:eastAsia="宋体" w:hAnsi="Arial" w:cs="Arial"/>
          <w:color w:val="000000"/>
          <w:sz w:val="17"/>
          <w:szCs w:val="17"/>
        </w:rPr>
        <w:t xml:space="preserve">ree months ended August 31, 2020, there have been no material changes to the Company's hedging program or strategy from what was disclosed within the Annual Report on Form 10-K. </w:t>
      </w:r>
    </w:p>
    <w:p w14:paraId="1D02716C" w14:textId="77777777" w:rsidR="004421F6" w:rsidRDefault="00F15622">
      <w:pPr>
        <w:spacing w:before="120" w:after="120"/>
      </w:pPr>
      <w:r>
        <w:rPr>
          <w:rFonts w:ascii="Arial" w:eastAsia="宋体" w:hAnsi="Arial" w:cs="Arial"/>
          <w:color w:val="000000"/>
          <w:sz w:val="17"/>
          <w:szCs w:val="17"/>
        </w:rPr>
        <w:t>Refer to Note 4 — Fair Value Measurements and Note 9 — Risk Management and De</w:t>
      </w:r>
      <w:r>
        <w:rPr>
          <w:rFonts w:ascii="Arial" w:eastAsia="宋体" w:hAnsi="Arial" w:cs="Arial"/>
          <w:color w:val="000000"/>
          <w:sz w:val="17"/>
          <w:szCs w:val="17"/>
        </w:rPr>
        <w:t xml:space="preserve">rivatives in the accompanying Notes to the Unaudited Condensed Consolidated Financial Statements for additional description of outstanding derivatives at each reported period end. For additional information about our Foreign Currency Exposures and Hedging </w:t>
      </w:r>
      <w:r>
        <w:rPr>
          <w:rFonts w:ascii="Arial" w:eastAsia="宋体" w:hAnsi="Arial" w:cs="Arial"/>
          <w:color w:val="000000"/>
          <w:sz w:val="17"/>
          <w:szCs w:val="17"/>
        </w:rPr>
        <w:t>Practices refer to Part II, Item 7. Management's Discussion and Analysis of Financial Condition and Results of Operations of our Annual Report on Form 10-K for the fiscal year ended May 31, 2020.</w:t>
      </w:r>
    </w:p>
    <w:p w14:paraId="1D02716D" w14:textId="77777777" w:rsidR="004421F6" w:rsidRDefault="00F15622">
      <w:pPr>
        <w:spacing w:before="120" w:after="120"/>
        <w:jc w:val="right"/>
      </w:pPr>
      <w:r>
        <w:rPr>
          <w:rFonts w:ascii="Arial" w:eastAsia="宋体" w:hAnsi="Arial" w:cs="Arial"/>
          <w:color w:val="E87722"/>
          <w:sz w:val="17"/>
          <w:szCs w:val="17"/>
        </w:rPr>
        <w:t>33</w:t>
      </w:r>
    </w:p>
    <w:p w14:paraId="1D02716E" w14:textId="77777777" w:rsidR="004421F6" w:rsidRDefault="00F15622">
      <w:r>
        <w:pict w14:anchorId="1D02729C">
          <v:rect id="_x0000_i1059" style="width:415.3pt;height:1.5pt" o:hralign="center" o:hrstd="t" o:hr="t" fillcolor="#a0a0a0" stroked="f"/>
        </w:pict>
      </w:r>
    </w:p>
    <w:p w14:paraId="1D02716F" w14:textId="77777777" w:rsidR="004421F6" w:rsidRDefault="004421F6"/>
    <w:p w14:paraId="1D027170" w14:textId="77777777" w:rsidR="004421F6" w:rsidRDefault="00F15622">
      <w:hyperlink r:id="rId104" w:anchor="i3e524f2e23844e81ba9d33a05ac3917c_7" w:history="1">
        <w:r>
          <w:rPr>
            <w:rStyle w:val="a5"/>
            <w:rFonts w:ascii="sans-serif" w:eastAsia="sans-serif" w:hAnsi="sans-serif" w:cs="sans-serif"/>
            <w:sz w:val="17"/>
            <w:szCs w:val="17"/>
          </w:rPr>
          <w:t>Table of Contents</w:t>
        </w:r>
      </w:hyperlink>
    </w:p>
    <w:p w14:paraId="1D027171" w14:textId="77777777" w:rsidR="004421F6" w:rsidRDefault="004421F6"/>
    <w:p w14:paraId="1D027172" w14:textId="77777777" w:rsidR="004421F6" w:rsidRDefault="00F15622">
      <w:pPr>
        <w:spacing w:before="240" w:after="120"/>
      </w:pPr>
      <w:r>
        <w:rPr>
          <w:rFonts w:ascii="sans-serif" w:eastAsia="sans-serif" w:hAnsi="sans-serif" w:cs="sans-serif"/>
          <w:b/>
          <w:bCs/>
          <w:color w:val="000000"/>
          <w:sz w:val="28"/>
          <w:szCs w:val="28"/>
        </w:rPr>
        <w:t>TRANSACTIONAL EXPOSURES</w:t>
      </w:r>
    </w:p>
    <w:p w14:paraId="1D027173" w14:textId="77777777" w:rsidR="004421F6" w:rsidRDefault="00F15622">
      <w:pPr>
        <w:spacing w:before="120" w:after="120"/>
      </w:pPr>
      <w:r>
        <w:rPr>
          <w:rFonts w:ascii="Arial" w:eastAsia="宋体" w:hAnsi="Arial" w:cs="Arial"/>
          <w:color w:val="000000"/>
          <w:sz w:val="17"/>
          <w:szCs w:val="17"/>
        </w:rPr>
        <w:t xml:space="preserve">We conduct business in various currencies and have transactions which subject us to foreign currency risk. Our </w:t>
      </w:r>
      <w:r>
        <w:rPr>
          <w:rFonts w:ascii="Arial" w:eastAsia="宋体" w:hAnsi="Arial" w:cs="Arial"/>
          <w:color w:val="000000"/>
          <w:sz w:val="17"/>
          <w:szCs w:val="17"/>
        </w:rPr>
        <w:t>most significant transactional foreign currency exposures are:</w:t>
      </w:r>
    </w:p>
    <w:p w14:paraId="1D027174" w14:textId="77777777" w:rsidR="004421F6" w:rsidRDefault="00F15622">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Product Costs — Product purchases denominated in currencies other than the functional currency of the transacting entity and factory input costs from the foreign currency adjustments program w</w:t>
      </w:r>
      <w:r>
        <w:rPr>
          <w:rFonts w:ascii="Arial" w:eastAsia="宋体" w:hAnsi="Arial" w:cs="Arial"/>
          <w:color w:val="000000"/>
          <w:sz w:val="17"/>
          <w:szCs w:val="17"/>
        </w:rPr>
        <w:t>ith certain factories.</w:t>
      </w:r>
    </w:p>
    <w:p w14:paraId="1D027175" w14:textId="77777777" w:rsidR="004421F6" w:rsidRDefault="00F15622">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 xml:space="preserve">Non-Functional Currency Denominated External Sales — A portion of our NIKE Brand and Converse revenues associated with European operations are earned in currencies other than the Euro (e.g., the British Pound) but are recognized at </w:t>
      </w:r>
      <w:r>
        <w:rPr>
          <w:rFonts w:ascii="Arial" w:eastAsia="宋体" w:hAnsi="Arial" w:cs="Arial"/>
          <w:color w:val="000000"/>
          <w:sz w:val="17"/>
          <w:szCs w:val="17"/>
        </w:rPr>
        <w:t>a subsidiary that uses the Euro as its functional currency. These sales generate a foreign currency exposure.</w:t>
      </w:r>
    </w:p>
    <w:p w14:paraId="1D027176" w14:textId="77777777" w:rsidR="004421F6" w:rsidRDefault="00F15622">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Other Costs — Non-functional currency denominated costs, such as endorsement contracts, also generate foreign currency risk, though to a lesser e</w:t>
      </w:r>
      <w:r>
        <w:rPr>
          <w:rFonts w:ascii="Arial" w:eastAsia="宋体" w:hAnsi="Arial" w:cs="Arial"/>
          <w:color w:val="000000"/>
          <w:sz w:val="17"/>
          <w:szCs w:val="17"/>
        </w:rPr>
        <w:t xml:space="preserve">xtent. </w:t>
      </w:r>
    </w:p>
    <w:p w14:paraId="1D027177" w14:textId="77777777" w:rsidR="004421F6" w:rsidRDefault="00F15622">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 xml:space="preserve">Non-Functional Currency Denominated Monetary Assets and Liabilities — Our global subsidiaries have various assets and liabilities, primarily receivables and payables, including intercompany receivables and payables, denominated in </w:t>
      </w:r>
      <w:r>
        <w:rPr>
          <w:rFonts w:ascii="Arial" w:eastAsia="宋体" w:hAnsi="Arial" w:cs="Arial"/>
          <w:color w:val="000000"/>
          <w:sz w:val="17"/>
          <w:szCs w:val="17"/>
        </w:rPr>
        <w:t>currencies other than their functional currencies. These balance sheet items are subject to re-measurement which may create fluctuations in Other (income) expense, net within our consolidated results of operations.</w:t>
      </w:r>
    </w:p>
    <w:p w14:paraId="1D027178" w14:textId="77777777" w:rsidR="004421F6" w:rsidRDefault="00F15622">
      <w:pPr>
        <w:spacing w:before="120"/>
      </w:pPr>
      <w:r>
        <w:rPr>
          <w:rFonts w:ascii="sans-serif" w:eastAsia="sans-serif" w:hAnsi="sans-serif" w:cs="sans-serif"/>
          <w:b/>
          <w:bCs/>
          <w:color w:val="808080"/>
          <w:sz w:val="22"/>
          <w:szCs w:val="22"/>
        </w:rPr>
        <w:t>MANAGING TRANSACTIONAL EXPOSURES</w:t>
      </w:r>
    </w:p>
    <w:p w14:paraId="1D027179" w14:textId="77777777" w:rsidR="004421F6" w:rsidRDefault="00F15622">
      <w:pPr>
        <w:spacing w:after="120"/>
      </w:pPr>
      <w:r>
        <w:rPr>
          <w:rFonts w:ascii="Arial" w:eastAsia="宋体" w:hAnsi="Arial" w:cs="Arial"/>
          <w:color w:val="000000"/>
          <w:sz w:val="17"/>
          <w:szCs w:val="17"/>
        </w:rPr>
        <w:t>Transact</w:t>
      </w:r>
      <w:r>
        <w:rPr>
          <w:rFonts w:ascii="Arial" w:eastAsia="宋体" w:hAnsi="Arial" w:cs="Arial"/>
          <w:color w:val="000000"/>
          <w:sz w:val="17"/>
          <w:szCs w:val="17"/>
        </w:rPr>
        <w:t>ional exposures are managed on a portfolio basis within our foreign currency risk management program. We manage these exposures by taking advantage of natural offsets and currency correlations that exist within the portfolio and may also elect to use curre</w:t>
      </w:r>
      <w:r>
        <w:rPr>
          <w:rFonts w:ascii="Arial" w:eastAsia="宋体" w:hAnsi="Arial" w:cs="Arial"/>
          <w:color w:val="000000"/>
          <w:sz w:val="17"/>
          <w:szCs w:val="17"/>
        </w:rPr>
        <w:t>ncy forward and option contracts to hedge the remaining effect of exchange rate fluctuations on probable forecasted future cash flows, including certain product cost exposures, non-functional currency denominated external sales and other costs described ab</w:t>
      </w:r>
      <w:r>
        <w:rPr>
          <w:rFonts w:ascii="Arial" w:eastAsia="宋体" w:hAnsi="Arial" w:cs="Arial"/>
          <w:color w:val="000000"/>
          <w:sz w:val="17"/>
          <w:szCs w:val="17"/>
        </w:rPr>
        <w:t xml:space="preserve">ove. </w:t>
      </w:r>
    </w:p>
    <w:p w14:paraId="1D02717A" w14:textId="77777777" w:rsidR="004421F6" w:rsidRDefault="00F15622">
      <w:pPr>
        <w:spacing w:after="120"/>
      </w:pPr>
      <w:r>
        <w:rPr>
          <w:rFonts w:ascii="Arial" w:eastAsia="宋体" w:hAnsi="Arial" w:cs="Arial"/>
          <w:color w:val="000000"/>
          <w:sz w:val="17"/>
          <w:szCs w:val="17"/>
        </w:rPr>
        <w:t xml:space="preserve">Certain currency forward contracts used to manage the foreign exchange exposure of non-functional currency denominated monetary assets and liabilities subject to re-measurement and embedded derivative contracts are not formally designated as hedging </w:t>
      </w:r>
      <w:r>
        <w:rPr>
          <w:rFonts w:ascii="Arial" w:eastAsia="宋体" w:hAnsi="Arial" w:cs="Arial"/>
          <w:color w:val="000000"/>
          <w:sz w:val="17"/>
          <w:szCs w:val="17"/>
        </w:rPr>
        <w:t xml:space="preserve">instruments and are recognized in Other (income) expense, net. </w:t>
      </w:r>
    </w:p>
    <w:p w14:paraId="1D02717B" w14:textId="77777777" w:rsidR="004421F6" w:rsidRDefault="00F15622">
      <w:pPr>
        <w:spacing w:before="240" w:after="120"/>
      </w:pPr>
      <w:r>
        <w:rPr>
          <w:rFonts w:ascii="sans-serif" w:eastAsia="sans-serif" w:hAnsi="sans-serif" w:cs="sans-serif"/>
          <w:b/>
          <w:bCs/>
          <w:color w:val="000000"/>
          <w:sz w:val="28"/>
          <w:szCs w:val="28"/>
        </w:rPr>
        <w:t>TRANSLATIONAL EXPOSURES</w:t>
      </w:r>
    </w:p>
    <w:p w14:paraId="1D02717C" w14:textId="77777777" w:rsidR="004421F6" w:rsidRDefault="00F15622">
      <w:pPr>
        <w:spacing w:before="120" w:after="120"/>
      </w:pPr>
      <w:r>
        <w:rPr>
          <w:rFonts w:ascii="Arial" w:eastAsia="宋体" w:hAnsi="Arial" w:cs="Arial"/>
          <w:color w:val="000000"/>
          <w:sz w:val="17"/>
          <w:szCs w:val="17"/>
        </w:rPr>
        <w:t xml:space="preserve">Many of our foreign subsidiaries operate in functional currencies other than the U.S. Dollar. Fluctuations in currency exchange rates create volatility in our reported </w:t>
      </w:r>
      <w:r>
        <w:rPr>
          <w:rFonts w:ascii="Arial" w:eastAsia="宋体" w:hAnsi="Arial" w:cs="Arial"/>
          <w:color w:val="000000"/>
          <w:sz w:val="17"/>
          <w:szCs w:val="17"/>
        </w:rPr>
        <w:t>results as we are required to translate the balance sheets, operational results and cash flows of these subsidiaries into U.S. Dollars for consolidated reporting. The translation of foreign subsidiaries' non-U.S. Dollar denominated balance sheets into U.S.</w:t>
      </w:r>
      <w:r>
        <w:rPr>
          <w:rFonts w:ascii="Arial" w:eastAsia="宋体" w:hAnsi="Arial" w:cs="Arial"/>
          <w:color w:val="000000"/>
          <w:sz w:val="17"/>
          <w:szCs w:val="17"/>
        </w:rPr>
        <w:t xml:space="preserve"> Dollars for consolidated reporting results in a cumulative translation adjustment to Accumulated other comprehensive income (loss) within Shareholders' equity. The impact of foreign exchange rate fluctuations on the translation of our consolidated Revenue</w:t>
      </w:r>
      <w:r>
        <w:rPr>
          <w:rFonts w:ascii="Arial" w:eastAsia="宋体" w:hAnsi="Arial" w:cs="Arial"/>
          <w:color w:val="000000"/>
          <w:sz w:val="17"/>
          <w:szCs w:val="17"/>
        </w:rPr>
        <w:t>s was a detriment of approximately $111 million and $313 million for the three months ended August 31, 2020 and 2019, respectively. The impact of foreign exchange rate fluctuations on the translation of our</w:t>
      </w:r>
      <w:r>
        <w:rPr>
          <w:rFonts w:ascii="Arial" w:eastAsia="宋体" w:hAnsi="Arial" w:cs="Arial"/>
          <w:i/>
          <w:iCs/>
          <w:color w:val="000000"/>
          <w:sz w:val="17"/>
          <w:szCs w:val="17"/>
        </w:rPr>
        <w:t xml:space="preserve"> </w:t>
      </w:r>
      <w:r>
        <w:rPr>
          <w:rFonts w:ascii="Arial" w:eastAsia="宋体" w:hAnsi="Arial" w:cs="Arial"/>
          <w:color w:val="000000"/>
          <w:sz w:val="17"/>
          <w:szCs w:val="17"/>
        </w:rPr>
        <w:t>Income before income taxes was a detriment of app</w:t>
      </w:r>
      <w:r>
        <w:rPr>
          <w:rFonts w:ascii="Arial" w:eastAsia="宋体" w:hAnsi="Arial" w:cs="Arial"/>
          <w:color w:val="000000"/>
          <w:sz w:val="17"/>
          <w:szCs w:val="17"/>
        </w:rPr>
        <w:t>roximately $29 million and $86 million for the three months ended August 31, 2020 and 2019, respectively.</w:t>
      </w:r>
    </w:p>
    <w:p w14:paraId="1D02717D" w14:textId="77777777" w:rsidR="004421F6" w:rsidRDefault="00F15622">
      <w:pPr>
        <w:spacing w:before="120" w:after="120"/>
      </w:pPr>
      <w:r>
        <w:rPr>
          <w:rFonts w:ascii="Arial" w:eastAsia="宋体" w:hAnsi="Arial" w:cs="Arial"/>
          <w:color w:val="000000"/>
          <w:sz w:val="17"/>
          <w:szCs w:val="17"/>
        </w:rPr>
        <w:t>Management generally identifies hyper-inflationary markets as those markets whose cumulative inflation rate over a three-year period exceeds 100%. Man</w:t>
      </w:r>
      <w:r>
        <w:rPr>
          <w:rFonts w:ascii="Arial" w:eastAsia="宋体" w:hAnsi="Arial" w:cs="Arial"/>
          <w:color w:val="000000"/>
          <w:sz w:val="17"/>
          <w:szCs w:val="17"/>
        </w:rPr>
        <w:t xml:space="preserve">agement has concluded our Argentina subsidiary within our APLA operating segment is operating in a hyper-inflationary market. As a result, beginning in the second quarter of fiscal 2019, the functional currency of our Argentina subsidiary changed from the </w:t>
      </w:r>
      <w:r>
        <w:rPr>
          <w:rFonts w:ascii="Arial" w:eastAsia="宋体" w:hAnsi="Arial" w:cs="Arial"/>
          <w:color w:val="000000"/>
          <w:sz w:val="17"/>
          <w:szCs w:val="17"/>
        </w:rPr>
        <w:t>local currency to the U.S. Dollar. As of and for the three months ended August 31, 2020, this change did not have a material impact on our results of operations or financial condition and we do not anticipate it will have a material impact in future period</w:t>
      </w:r>
      <w:r>
        <w:rPr>
          <w:rFonts w:ascii="Arial" w:eastAsia="宋体" w:hAnsi="Arial" w:cs="Arial"/>
          <w:color w:val="000000"/>
          <w:sz w:val="17"/>
          <w:szCs w:val="17"/>
        </w:rPr>
        <w:t>s based on current rates.</w:t>
      </w:r>
    </w:p>
    <w:p w14:paraId="1D02717E" w14:textId="77777777" w:rsidR="004421F6" w:rsidRDefault="00F15622">
      <w:pPr>
        <w:spacing w:before="120"/>
      </w:pPr>
      <w:r>
        <w:rPr>
          <w:rFonts w:ascii="sans-serif" w:eastAsia="sans-serif" w:hAnsi="sans-serif" w:cs="sans-serif"/>
          <w:b/>
          <w:bCs/>
          <w:color w:val="808080"/>
          <w:sz w:val="22"/>
          <w:szCs w:val="22"/>
        </w:rPr>
        <w:t>MANAGING TRANSLATIONAL EXPOSURES</w:t>
      </w:r>
    </w:p>
    <w:p w14:paraId="1D02717F" w14:textId="77777777" w:rsidR="004421F6" w:rsidRDefault="00F15622">
      <w:pPr>
        <w:spacing w:after="120"/>
      </w:pPr>
      <w:r>
        <w:rPr>
          <w:rFonts w:ascii="Arial" w:eastAsia="宋体" w:hAnsi="Arial" w:cs="Arial"/>
          <w:color w:val="000000"/>
          <w:sz w:val="17"/>
          <w:szCs w:val="17"/>
        </w:rPr>
        <w:t>To minimize the impact of translating foreign currency denominated revenues and expenses into U.S. Dollars for consolidated reporting, certain foreign subsidiaries use excess cash to purchase U.S. </w:t>
      </w:r>
      <w:r>
        <w:rPr>
          <w:rFonts w:ascii="Arial" w:eastAsia="宋体" w:hAnsi="Arial" w:cs="Arial"/>
          <w:color w:val="000000"/>
          <w:sz w:val="17"/>
          <w:szCs w:val="17"/>
        </w:rPr>
        <w:t>Dollar denominated available-for-sale investments. The variable future cash flows associated with the purchase and subsequent sale of these U.S. Dollar denominated investments at non-U.S. Dollar functional currency subsidiaries creates a foreign currency e</w:t>
      </w:r>
      <w:r>
        <w:rPr>
          <w:rFonts w:ascii="Arial" w:eastAsia="宋体" w:hAnsi="Arial" w:cs="Arial"/>
          <w:color w:val="000000"/>
          <w:sz w:val="17"/>
          <w:szCs w:val="17"/>
        </w:rPr>
        <w:t xml:space="preserve">xposure that qualifies for hedge accounting under U.S. GAAP. We utilize forward contracts and/or options to mitigate the variability of the forecasted future purchases and sales of these U.S. Dollar investments. The combination of the purchase and sale of </w:t>
      </w:r>
      <w:r>
        <w:rPr>
          <w:rFonts w:ascii="Arial" w:eastAsia="宋体" w:hAnsi="Arial" w:cs="Arial"/>
          <w:color w:val="000000"/>
          <w:sz w:val="17"/>
          <w:szCs w:val="17"/>
        </w:rPr>
        <w:t>the U.S. Dollar investment and the hedging instrument has the effect of partially offsetting the year-over-year foreign currency translation impact on net earnings in the period the investments are sold. Hedges of the purchase of U.S. Dollar denominated av</w:t>
      </w:r>
      <w:r>
        <w:rPr>
          <w:rFonts w:ascii="Arial" w:eastAsia="宋体" w:hAnsi="Arial" w:cs="Arial"/>
          <w:color w:val="000000"/>
          <w:sz w:val="17"/>
          <w:szCs w:val="17"/>
        </w:rPr>
        <w:t xml:space="preserve">ailable-for-sale investments are accounted for as cash flow hedges. </w:t>
      </w:r>
    </w:p>
    <w:p w14:paraId="1D027180" w14:textId="77777777" w:rsidR="004421F6" w:rsidRDefault="00F15622">
      <w:pPr>
        <w:spacing w:after="120"/>
      </w:pPr>
      <w:r>
        <w:rPr>
          <w:rFonts w:ascii="Arial" w:eastAsia="宋体" w:hAnsi="Arial" w:cs="Arial"/>
          <w:color w:val="000000"/>
          <w:sz w:val="17"/>
          <w:szCs w:val="17"/>
        </w:rPr>
        <w:t>We estimate the combination of translation of foreign currency-denominated profits from our international businesses and the year-over-year change in foreign currency related gains and lo</w:t>
      </w:r>
      <w:r>
        <w:rPr>
          <w:rFonts w:ascii="Arial" w:eastAsia="宋体" w:hAnsi="Arial" w:cs="Arial"/>
          <w:color w:val="000000"/>
          <w:sz w:val="17"/>
          <w:szCs w:val="17"/>
        </w:rPr>
        <w:t>sses included in Other (income) expense, net had an unfavorable impact of approximately $38 million on our Income before income taxes for the three months ended August 31, 2020.</w:t>
      </w:r>
    </w:p>
    <w:p w14:paraId="1D027181" w14:textId="77777777" w:rsidR="004421F6" w:rsidRDefault="00F15622">
      <w:pPr>
        <w:spacing w:before="120" w:after="120"/>
      </w:pPr>
      <w:r>
        <w:rPr>
          <w:rFonts w:ascii="Arial" w:eastAsia="宋体" w:hAnsi="Arial" w:cs="Arial"/>
          <w:color w:val="E87722"/>
          <w:sz w:val="17"/>
          <w:szCs w:val="17"/>
        </w:rPr>
        <w:t>34</w:t>
      </w:r>
      <w:r>
        <w:rPr>
          <w:rFonts w:ascii="sans-serif" w:eastAsia="sans-serif" w:hAnsi="sans-serif" w:cs="sans-serif"/>
          <w:color w:val="000000"/>
          <w:sz w:val="17"/>
          <w:szCs w:val="17"/>
        </w:rPr>
        <w:t xml:space="preserve"> </w:t>
      </w:r>
    </w:p>
    <w:p w14:paraId="1D027182" w14:textId="77777777" w:rsidR="004421F6" w:rsidRDefault="00F15622">
      <w:r>
        <w:pict w14:anchorId="1D02729D">
          <v:rect id="_x0000_i1060" style="width:415.3pt;height:1.5pt" o:hralign="center" o:hrstd="t" o:hr="t" fillcolor="#a0a0a0" stroked="f"/>
        </w:pict>
      </w:r>
    </w:p>
    <w:p w14:paraId="1D027183" w14:textId="77777777" w:rsidR="004421F6" w:rsidRDefault="004421F6"/>
    <w:p w14:paraId="1D027184" w14:textId="77777777" w:rsidR="004421F6" w:rsidRDefault="00F15622">
      <w:hyperlink r:id="rId105" w:anchor="i3e524f2e23844e81ba9d33a05ac3917c_7" w:history="1">
        <w:r>
          <w:rPr>
            <w:rStyle w:val="a5"/>
            <w:rFonts w:ascii="sans-serif" w:eastAsia="sans-serif" w:hAnsi="sans-serif" w:cs="sans-serif"/>
            <w:sz w:val="17"/>
            <w:szCs w:val="17"/>
          </w:rPr>
          <w:t>Table of Contents</w:t>
        </w:r>
      </w:hyperlink>
    </w:p>
    <w:p w14:paraId="1D027185" w14:textId="77777777" w:rsidR="004421F6" w:rsidRDefault="004421F6"/>
    <w:p w14:paraId="1D027186" w14:textId="77777777" w:rsidR="004421F6" w:rsidRDefault="00F15622">
      <w:pPr>
        <w:spacing w:before="300" w:after="120"/>
      </w:pPr>
      <w:r>
        <w:rPr>
          <w:rFonts w:ascii="sans-serif" w:eastAsia="sans-serif" w:hAnsi="sans-serif" w:cs="sans-serif"/>
          <w:b/>
          <w:bCs/>
          <w:color w:val="E87722"/>
          <w:sz w:val="36"/>
          <w:szCs w:val="36"/>
        </w:rPr>
        <w:t>LIQUIDITY AND CAPITAL RESOURCES</w:t>
      </w:r>
    </w:p>
    <w:p w14:paraId="1D027187" w14:textId="77777777" w:rsidR="004421F6" w:rsidRDefault="00F15622">
      <w:pPr>
        <w:spacing w:before="240" w:after="120"/>
      </w:pPr>
      <w:r>
        <w:rPr>
          <w:rFonts w:ascii="sans-serif" w:eastAsia="sans-serif" w:hAnsi="sans-serif" w:cs="sans-serif"/>
          <w:b/>
          <w:bCs/>
          <w:color w:val="000000"/>
          <w:sz w:val="28"/>
          <w:szCs w:val="28"/>
        </w:rPr>
        <w:t>CASH FLOW ACTIVITY</w:t>
      </w:r>
    </w:p>
    <w:p w14:paraId="1D027188" w14:textId="77777777" w:rsidR="004421F6" w:rsidRDefault="00F15622">
      <w:pPr>
        <w:spacing w:before="120" w:after="120"/>
      </w:pPr>
      <w:r>
        <w:rPr>
          <w:rFonts w:ascii="Arial" w:eastAsia="宋体" w:hAnsi="Arial" w:cs="Arial"/>
          <w:color w:val="000000"/>
          <w:sz w:val="17"/>
          <w:szCs w:val="17"/>
        </w:rPr>
        <w:t>Cash provided (used) by operations</w:t>
      </w:r>
      <w:r>
        <w:rPr>
          <w:rFonts w:ascii="Arial" w:eastAsia="宋体" w:hAnsi="Arial" w:cs="Arial"/>
          <w:color w:val="000000"/>
          <w:sz w:val="17"/>
          <w:szCs w:val="17"/>
        </w:rPr>
        <w:t xml:space="preserve"> was an inflow of $882 million for the first three months of fiscal 2021, compared to $394 million for the first three months of fiscal 2020. Net income, adjusted for non-cash items, generated $1,606 million of operating cash inflow for the first three mon</w:t>
      </w:r>
      <w:r>
        <w:rPr>
          <w:rFonts w:ascii="Arial" w:eastAsia="宋体" w:hAnsi="Arial" w:cs="Arial"/>
          <w:color w:val="000000"/>
          <w:sz w:val="17"/>
          <w:szCs w:val="17"/>
        </w:rPr>
        <w:t>ths of fiscal 2021, compared to $1,629 million for the first three months of fiscal 2020. The net change in working capital and other assets and liabilities resulted in a decrease to Cash provided (used) by operations</w:t>
      </w:r>
      <w:r>
        <w:rPr>
          <w:rFonts w:ascii="Arial" w:eastAsia="宋体" w:hAnsi="Arial" w:cs="Arial"/>
          <w:i/>
          <w:iCs/>
          <w:color w:val="000000"/>
          <w:sz w:val="17"/>
          <w:szCs w:val="17"/>
        </w:rPr>
        <w:t xml:space="preserve"> </w:t>
      </w:r>
      <w:r>
        <w:rPr>
          <w:rFonts w:ascii="Arial" w:eastAsia="宋体" w:hAnsi="Arial" w:cs="Arial"/>
          <w:color w:val="000000"/>
          <w:sz w:val="17"/>
          <w:szCs w:val="17"/>
        </w:rPr>
        <w:t>of $724 million for the first three mo</w:t>
      </w:r>
      <w:r>
        <w:rPr>
          <w:rFonts w:ascii="Arial" w:eastAsia="宋体" w:hAnsi="Arial" w:cs="Arial"/>
          <w:color w:val="000000"/>
          <w:sz w:val="17"/>
          <w:szCs w:val="17"/>
        </w:rPr>
        <w:t>nths of fiscal 2021 compared to a decrease of $1,235 million for the first three months of fiscal 2020. This favorable impact on Cash provided (used) by operations was largely the result of a $959 million decrease in inventories, partially offset by a $534</w:t>
      </w:r>
      <w:r>
        <w:rPr>
          <w:rFonts w:ascii="Arial" w:eastAsia="宋体" w:hAnsi="Arial" w:cs="Arial"/>
          <w:color w:val="000000"/>
          <w:sz w:val="17"/>
          <w:szCs w:val="17"/>
        </w:rPr>
        <w:t xml:space="preserve"> million increase in Accounts receivables, both of which reflect impacts of COVID-19 in the fourth quarter of fiscal 2020, as well as the reopening of NIKE Direct stores and resumption of wholesale shipments in the first three months of fiscal 2021.</w:t>
      </w:r>
    </w:p>
    <w:p w14:paraId="1D027189" w14:textId="77777777" w:rsidR="004421F6" w:rsidRDefault="00F15622">
      <w:pPr>
        <w:spacing w:before="120" w:after="120"/>
      </w:pPr>
      <w:r>
        <w:rPr>
          <w:rFonts w:ascii="Arial" w:eastAsia="宋体" w:hAnsi="Arial" w:cs="Arial"/>
          <w:color w:val="000000"/>
          <w:sz w:val="17"/>
          <w:szCs w:val="17"/>
        </w:rPr>
        <w:t>Cash p</w:t>
      </w:r>
      <w:r>
        <w:rPr>
          <w:rFonts w:ascii="Arial" w:eastAsia="宋体" w:hAnsi="Arial" w:cs="Arial"/>
          <w:color w:val="000000"/>
          <w:sz w:val="17"/>
          <w:szCs w:val="17"/>
        </w:rPr>
        <w:t>rovided (used) by investing activities was an outflow of $889 million for the first three months of fiscal 2021, compared to $348 million for the first three months of fiscal 2020, driven by the net change in short-term investments. For the first three mon</w:t>
      </w:r>
      <w:r>
        <w:rPr>
          <w:rFonts w:ascii="Arial" w:eastAsia="宋体" w:hAnsi="Arial" w:cs="Arial"/>
          <w:color w:val="000000"/>
          <w:sz w:val="17"/>
          <w:szCs w:val="17"/>
        </w:rPr>
        <w:t>ths of fiscal 2021, the net change in short-term investments (including sales, maturities and purchases) resulted in a cash outflow of $715 million compared to an inflow of $45 million for the first three months of fiscal 2020.</w:t>
      </w:r>
    </w:p>
    <w:p w14:paraId="1D02718A" w14:textId="77777777" w:rsidR="004421F6" w:rsidRDefault="00F15622">
      <w:pPr>
        <w:spacing w:before="120" w:after="120"/>
      </w:pPr>
      <w:r>
        <w:rPr>
          <w:rFonts w:ascii="Arial" w:eastAsia="宋体" w:hAnsi="Arial" w:cs="Arial"/>
          <w:color w:val="000000"/>
          <w:sz w:val="17"/>
          <w:szCs w:val="17"/>
        </w:rPr>
        <w:t>Cash provided (used) by fina</w:t>
      </w:r>
      <w:r>
        <w:rPr>
          <w:rFonts w:ascii="Arial" w:eastAsia="宋体" w:hAnsi="Arial" w:cs="Arial"/>
          <w:color w:val="000000"/>
          <w:sz w:val="17"/>
          <w:szCs w:val="17"/>
        </w:rPr>
        <w:t>ncing activities was an outflow of $248 million for the first three months of fiscal 2021 compared to $1,010 million for the first three months of fiscal 2020, with the decrease from the prior period driven by our election to temporarily suspend share repu</w:t>
      </w:r>
      <w:r>
        <w:rPr>
          <w:rFonts w:ascii="Arial" w:eastAsia="宋体" w:hAnsi="Arial" w:cs="Arial"/>
          <w:color w:val="000000"/>
          <w:sz w:val="17"/>
          <w:szCs w:val="17"/>
        </w:rPr>
        <w:t>rchases, resulting in no share repurchases for the first three months of fiscal 2021 compared to $999 million in the first three months of fiscal 2020.</w:t>
      </w:r>
    </w:p>
    <w:p w14:paraId="1D02718B" w14:textId="77777777" w:rsidR="004421F6" w:rsidRDefault="00F15622">
      <w:r>
        <w:rPr>
          <w:rFonts w:ascii="Arial" w:eastAsia="宋体" w:hAnsi="Arial" w:cs="Arial"/>
          <w:color w:val="000000"/>
          <w:sz w:val="17"/>
          <w:szCs w:val="17"/>
        </w:rPr>
        <w:t>As of August 31, 2020, we had repurchased 45.2 million shares at a cost of approximately $4.0 billion (a</w:t>
      </w:r>
      <w:r>
        <w:rPr>
          <w:rFonts w:ascii="Arial" w:eastAsia="宋体" w:hAnsi="Arial" w:cs="Arial"/>
          <w:color w:val="000000"/>
          <w:sz w:val="17"/>
          <w:szCs w:val="17"/>
        </w:rPr>
        <w:t xml:space="preserve">n average price of $89.00 per share) under the four-year, $15 billion share repurchase program approved by the Board of Directors in June 2018. To enhance our liquidity position in response to COVID-19, during the fourth quarter of fiscal 2020, we elected </w:t>
      </w:r>
      <w:r>
        <w:rPr>
          <w:rFonts w:ascii="Arial" w:eastAsia="宋体" w:hAnsi="Arial" w:cs="Arial"/>
          <w:color w:val="000000"/>
          <w:sz w:val="17"/>
          <w:szCs w:val="17"/>
        </w:rPr>
        <w:t>to temporarily suspend share repurchases under our existing share repurchase program. As such, there were no share repurchases made during the quarter ended August 31, 2020. The existing program remains authorized by the Board of Directors and we may resum</w:t>
      </w:r>
      <w:r>
        <w:rPr>
          <w:rFonts w:ascii="Arial" w:eastAsia="宋体" w:hAnsi="Arial" w:cs="Arial"/>
          <w:color w:val="000000"/>
          <w:sz w:val="17"/>
          <w:szCs w:val="17"/>
        </w:rPr>
        <w:t xml:space="preserve">e share repurchases in the future at any time, depending upon market conditions, our capital needs and other factors. We continue to expect funding of share repurchases will come from operating cash flows, excess cash and/or proceeds from debt. </w:t>
      </w:r>
    </w:p>
    <w:p w14:paraId="1D02718C" w14:textId="77777777" w:rsidR="004421F6" w:rsidRDefault="00F15622">
      <w:pPr>
        <w:spacing w:before="240" w:after="120"/>
      </w:pPr>
      <w:r>
        <w:rPr>
          <w:rFonts w:ascii="sans-serif" w:eastAsia="sans-serif" w:hAnsi="sans-serif" w:cs="sans-serif"/>
          <w:b/>
          <w:bCs/>
          <w:color w:val="000000"/>
          <w:sz w:val="28"/>
          <w:szCs w:val="28"/>
        </w:rPr>
        <w:t>CAPITAL RE</w:t>
      </w:r>
      <w:r>
        <w:rPr>
          <w:rFonts w:ascii="sans-serif" w:eastAsia="sans-serif" w:hAnsi="sans-serif" w:cs="sans-serif"/>
          <w:b/>
          <w:bCs/>
          <w:color w:val="000000"/>
          <w:sz w:val="28"/>
          <w:szCs w:val="28"/>
        </w:rPr>
        <w:t>SOURCES</w:t>
      </w:r>
    </w:p>
    <w:p w14:paraId="1D02718D" w14:textId="77777777" w:rsidR="004421F6" w:rsidRDefault="00F15622">
      <w:pPr>
        <w:spacing w:before="120" w:after="120"/>
      </w:pPr>
      <w:r>
        <w:rPr>
          <w:rFonts w:ascii="Arial" w:eastAsia="宋体" w:hAnsi="Arial" w:cs="Arial"/>
          <w:color w:val="000000"/>
          <w:sz w:val="17"/>
          <w:szCs w:val="17"/>
        </w:rPr>
        <w:t>On July 23, 2019, we filed a shelf registration statement (the “Shelf”) with the U.S. Securities and Exchange Commission (SEC) which permits us to issue an unlimited amount of debt securities from time to time. The Shelf expires on July 23, 2022.</w:t>
      </w:r>
    </w:p>
    <w:p w14:paraId="1D02718E" w14:textId="77777777" w:rsidR="004421F6" w:rsidRDefault="00F15622">
      <w:pPr>
        <w:spacing w:before="120" w:after="120"/>
      </w:pPr>
      <w:r>
        <w:rPr>
          <w:rFonts w:ascii="Arial" w:eastAsia="宋体" w:hAnsi="Arial" w:cs="Arial"/>
          <w:color w:val="000000"/>
          <w:sz w:val="17"/>
          <w:szCs w:val="17"/>
        </w:rPr>
        <w:t>O</w:t>
      </w:r>
      <w:r>
        <w:rPr>
          <w:rFonts w:ascii="Arial" w:eastAsia="宋体" w:hAnsi="Arial" w:cs="Arial"/>
          <w:color w:val="000000"/>
          <w:sz w:val="17"/>
          <w:szCs w:val="17"/>
        </w:rPr>
        <w:t>ur committed credit facilities remain unchanged from the information previously reported on Form 10-K for the fiscal year ended May 31, 2020. As of August 31, 2020 and May 31, 2020, no amounts were outstanding under our committed credit facilities. We curr</w:t>
      </w:r>
      <w:r>
        <w:rPr>
          <w:rFonts w:ascii="Arial" w:eastAsia="宋体" w:hAnsi="Arial" w:cs="Arial"/>
          <w:color w:val="000000"/>
          <w:sz w:val="17"/>
          <w:szCs w:val="17"/>
        </w:rPr>
        <w:t xml:space="preserve">ently have long-term debt ratings of AA- and A1 from Standard and Poor's Corporation and Moody's Investor Services, respectively. Any changes to these ratings could result in interest rate and facility fee changes as outlined in the most recent Form 10-K. </w:t>
      </w:r>
      <w:r>
        <w:rPr>
          <w:rFonts w:ascii="Arial" w:eastAsia="宋体" w:hAnsi="Arial" w:cs="Arial"/>
          <w:color w:val="000000"/>
          <w:sz w:val="17"/>
          <w:szCs w:val="17"/>
        </w:rPr>
        <w:t>As of August 31, 2020, we were in full compliance of the covenants under our committed credit facilities and believe it is unlikely we will fail to meet any of the covenants in the foreseeable future.</w:t>
      </w:r>
    </w:p>
    <w:p w14:paraId="1D02718F" w14:textId="77777777" w:rsidR="004421F6" w:rsidRDefault="00F15622">
      <w:pPr>
        <w:spacing w:before="120" w:after="120"/>
      </w:pPr>
      <w:r>
        <w:rPr>
          <w:rFonts w:ascii="Arial" w:eastAsia="宋体" w:hAnsi="Arial" w:cs="Arial"/>
          <w:color w:val="000000"/>
          <w:sz w:val="17"/>
          <w:szCs w:val="17"/>
        </w:rPr>
        <w:t>Liquidity is also provided by our $4 billion commercial</w:t>
      </w:r>
      <w:r>
        <w:rPr>
          <w:rFonts w:ascii="Arial" w:eastAsia="宋体" w:hAnsi="Arial" w:cs="Arial"/>
          <w:color w:val="000000"/>
          <w:sz w:val="17"/>
          <w:szCs w:val="17"/>
        </w:rPr>
        <w:t xml:space="preserve"> paper program. During the three months ended August 31, 2020, the maximum amount of commercial paper borrowings outstanding at any point was $248 million. As of August 31, 2020 and May 31, 2020, the Company had $112 million and $248 million of borrowings </w:t>
      </w:r>
      <w:r>
        <w:rPr>
          <w:rFonts w:ascii="Arial" w:eastAsia="宋体" w:hAnsi="Arial" w:cs="Arial"/>
          <w:color w:val="000000"/>
          <w:sz w:val="17"/>
          <w:szCs w:val="17"/>
        </w:rPr>
        <w:t>outstanding at a weighted average interest rate of 1.72% and 1.65%, respectively. We may continue to issue commercial paper or other debt securities depending on general corporate needs. We currently have short-term debt ratings of A1+ and P1 from Standard</w:t>
      </w:r>
      <w:r>
        <w:rPr>
          <w:rFonts w:ascii="Arial" w:eastAsia="宋体" w:hAnsi="Arial" w:cs="Arial"/>
          <w:color w:val="000000"/>
          <w:sz w:val="17"/>
          <w:szCs w:val="17"/>
        </w:rPr>
        <w:t xml:space="preserve"> and Poor's Corporation and Moody's Investor Services, respectively.</w:t>
      </w:r>
    </w:p>
    <w:p w14:paraId="1D027190" w14:textId="77777777" w:rsidR="004421F6" w:rsidRDefault="00F15622">
      <w:pPr>
        <w:spacing w:before="120" w:after="120"/>
      </w:pPr>
      <w:r>
        <w:rPr>
          <w:rFonts w:ascii="Arial" w:eastAsia="宋体" w:hAnsi="Arial" w:cs="Arial"/>
          <w:color w:val="000000"/>
          <w:sz w:val="17"/>
          <w:szCs w:val="17"/>
        </w:rPr>
        <w:t xml:space="preserve">To date, in fiscal 2021, we have not experienced difficulty accessing the credit markets; however, future volatility in the capital markets may increase costs associated with </w:t>
      </w:r>
      <w:r>
        <w:rPr>
          <w:rFonts w:ascii="Arial" w:eastAsia="宋体" w:hAnsi="Arial" w:cs="Arial"/>
          <w:color w:val="000000"/>
          <w:sz w:val="17"/>
          <w:szCs w:val="17"/>
        </w:rPr>
        <w:t>issuing commercial paper or other debt instruments or affect our ability to access those markets.</w:t>
      </w:r>
    </w:p>
    <w:p w14:paraId="1D027191" w14:textId="77777777" w:rsidR="004421F6" w:rsidRDefault="00F15622">
      <w:pPr>
        <w:spacing w:before="120" w:after="120"/>
      </w:pPr>
      <w:r>
        <w:rPr>
          <w:rFonts w:ascii="Arial" w:eastAsia="宋体" w:hAnsi="Arial" w:cs="Arial"/>
          <w:color w:val="000000"/>
          <w:sz w:val="17"/>
          <w:szCs w:val="17"/>
        </w:rPr>
        <w:t>As of August 31, 2020, we had cash, cash equivalents and short-term investments totaling $9.5 billion, primarily consisting of commercial paper, corporate not</w:t>
      </w:r>
      <w:r>
        <w:rPr>
          <w:rFonts w:ascii="Arial" w:eastAsia="宋体" w:hAnsi="Arial" w:cs="Arial"/>
          <w:color w:val="000000"/>
          <w:sz w:val="17"/>
          <w:szCs w:val="17"/>
        </w:rPr>
        <w:t xml:space="preserve">es, deposits held at major banks, money market funds, U.S. government sponsored enterprise obligations, U.S. Treasury obligations and other investment grade fixed-income securities. Our fixed-income investments are exposed to both credit and interest rate </w:t>
      </w:r>
      <w:r>
        <w:rPr>
          <w:rFonts w:ascii="Arial" w:eastAsia="宋体" w:hAnsi="Arial" w:cs="Arial"/>
          <w:color w:val="000000"/>
          <w:sz w:val="17"/>
          <w:szCs w:val="17"/>
        </w:rPr>
        <w:t>risk. All of our investments are investment grade to minimize our credit risk. While individual securities have varying durations, as of August 31, 2020, the weighted-average days to maturity of our cash equivalents and short-term investments portfolio was</w:t>
      </w:r>
      <w:r>
        <w:rPr>
          <w:rFonts w:ascii="Arial" w:eastAsia="宋体" w:hAnsi="Arial" w:cs="Arial"/>
          <w:color w:val="000000"/>
          <w:sz w:val="17"/>
          <w:szCs w:val="17"/>
        </w:rPr>
        <w:t xml:space="preserve"> 20 days.</w:t>
      </w:r>
    </w:p>
    <w:p w14:paraId="1D027192" w14:textId="77777777" w:rsidR="004421F6" w:rsidRDefault="00F15622">
      <w:pPr>
        <w:spacing w:before="120" w:after="120"/>
        <w:jc w:val="right"/>
      </w:pPr>
      <w:r>
        <w:rPr>
          <w:rFonts w:ascii="Arial" w:eastAsia="宋体" w:hAnsi="Arial" w:cs="Arial"/>
          <w:color w:val="E87722"/>
          <w:sz w:val="17"/>
          <w:szCs w:val="17"/>
        </w:rPr>
        <w:t>35</w:t>
      </w:r>
    </w:p>
    <w:p w14:paraId="1D027193" w14:textId="77777777" w:rsidR="004421F6" w:rsidRDefault="00F15622">
      <w:r>
        <w:pict w14:anchorId="1D02729E">
          <v:rect id="_x0000_i1061" style="width:415.3pt;height:1.5pt" o:hralign="center" o:hrstd="t" o:hr="t" fillcolor="#a0a0a0" stroked="f"/>
        </w:pict>
      </w:r>
    </w:p>
    <w:p w14:paraId="1D027194" w14:textId="77777777" w:rsidR="004421F6" w:rsidRDefault="004421F6"/>
    <w:p w14:paraId="1D027195" w14:textId="77777777" w:rsidR="004421F6" w:rsidRDefault="00F15622">
      <w:hyperlink r:id="rId106" w:anchor="i3e524f2e23844e81ba9d33a05ac3917c_7" w:history="1">
        <w:r>
          <w:rPr>
            <w:rStyle w:val="a5"/>
            <w:rFonts w:ascii="sans-serif" w:eastAsia="sans-serif" w:hAnsi="sans-serif" w:cs="sans-serif"/>
            <w:sz w:val="17"/>
            <w:szCs w:val="17"/>
          </w:rPr>
          <w:t>Table of Contents</w:t>
        </w:r>
      </w:hyperlink>
    </w:p>
    <w:p w14:paraId="1D027196" w14:textId="77777777" w:rsidR="004421F6" w:rsidRDefault="004421F6"/>
    <w:p w14:paraId="1D027197" w14:textId="77777777" w:rsidR="004421F6" w:rsidRDefault="00F15622">
      <w:pPr>
        <w:spacing w:before="120" w:after="120"/>
      </w:pPr>
      <w:r>
        <w:rPr>
          <w:rFonts w:ascii="Arial" w:eastAsia="宋体" w:hAnsi="Arial" w:cs="Arial"/>
          <w:color w:val="000000"/>
          <w:sz w:val="17"/>
          <w:szCs w:val="17"/>
        </w:rPr>
        <w:t>We believe that existing cash, cash equivalents, short-term investmen</w:t>
      </w:r>
      <w:r>
        <w:rPr>
          <w:rFonts w:ascii="Arial" w:eastAsia="宋体" w:hAnsi="Arial" w:cs="Arial"/>
          <w:color w:val="000000"/>
          <w:sz w:val="17"/>
          <w:szCs w:val="17"/>
        </w:rPr>
        <w:t>ts and cash generated by operations, together with access to external sources of funds as described above, will be sufficient to meet our domestic and foreign capital needs in the foreseeable future.</w:t>
      </w:r>
    </w:p>
    <w:p w14:paraId="1D027198" w14:textId="77777777" w:rsidR="004421F6" w:rsidRDefault="00F15622">
      <w:pPr>
        <w:spacing w:before="120" w:after="120"/>
      </w:pPr>
      <w:r>
        <w:rPr>
          <w:rFonts w:ascii="Arial" w:eastAsia="宋体" w:hAnsi="Arial" w:cs="Arial"/>
          <w:color w:val="000000"/>
          <w:sz w:val="17"/>
          <w:szCs w:val="17"/>
        </w:rPr>
        <w:t>We utilize a variety of tax planning and financing strat</w:t>
      </w:r>
      <w:r>
        <w:rPr>
          <w:rFonts w:ascii="Arial" w:eastAsia="宋体" w:hAnsi="Arial" w:cs="Arial"/>
          <w:color w:val="000000"/>
          <w:sz w:val="17"/>
          <w:szCs w:val="17"/>
        </w:rPr>
        <w:t xml:space="preserve">egies to manage our worldwide cash and deploy funds to locations where they are needed. We indefinitely reinvest a significant portion of our foreign earnings, and our current plans do not demonstrate a need to repatriate these earnings. Should we require </w:t>
      </w:r>
      <w:r>
        <w:rPr>
          <w:rFonts w:ascii="Arial" w:eastAsia="宋体" w:hAnsi="Arial" w:cs="Arial"/>
          <w:color w:val="000000"/>
          <w:sz w:val="17"/>
          <w:szCs w:val="17"/>
        </w:rPr>
        <w:t>additional capital in the United States, we may determine to repatriate indefinitely reinvested foreign funds or raise capital in the United States through debt. Given our existing structure, if we were to repatriate indefinitely reinvested foreign earning</w:t>
      </w:r>
      <w:r>
        <w:rPr>
          <w:rFonts w:ascii="Arial" w:eastAsia="宋体" w:hAnsi="Arial" w:cs="Arial"/>
          <w:color w:val="000000"/>
          <w:sz w:val="17"/>
          <w:szCs w:val="17"/>
        </w:rPr>
        <w:t>s, we would be required to accrue and pay withholding taxes in certain foreign jurisdictions.</w:t>
      </w:r>
    </w:p>
    <w:p w14:paraId="1D027199" w14:textId="77777777" w:rsidR="004421F6" w:rsidRDefault="00F15622">
      <w:pPr>
        <w:spacing w:before="240" w:after="120"/>
      </w:pPr>
      <w:r>
        <w:rPr>
          <w:rFonts w:ascii="sans-serif" w:eastAsia="sans-serif" w:hAnsi="sans-serif" w:cs="sans-serif"/>
          <w:b/>
          <w:bCs/>
          <w:color w:val="000000"/>
          <w:sz w:val="28"/>
          <w:szCs w:val="28"/>
        </w:rPr>
        <w:t>OFF-BALANCE SHEET ARRANGEMENTS</w:t>
      </w:r>
    </w:p>
    <w:p w14:paraId="1D02719A" w14:textId="77777777" w:rsidR="004421F6" w:rsidRDefault="00F15622">
      <w:pPr>
        <w:spacing w:before="120" w:after="120"/>
      </w:pPr>
      <w:r>
        <w:rPr>
          <w:rFonts w:ascii="Arial" w:eastAsia="宋体" w:hAnsi="Arial" w:cs="Arial"/>
          <w:color w:val="000000"/>
          <w:sz w:val="17"/>
          <w:szCs w:val="17"/>
        </w:rPr>
        <w:t>As of August 31, 2020, we did not have any off-balance sheet arrangements that have, or are reasonably likely to have, a material c</w:t>
      </w:r>
      <w:r>
        <w:rPr>
          <w:rFonts w:ascii="Arial" w:eastAsia="宋体" w:hAnsi="Arial" w:cs="Arial"/>
          <w:color w:val="000000"/>
          <w:sz w:val="17"/>
          <w:szCs w:val="17"/>
        </w:rPr>
        <w:t>urrent or future effect on our financial condition, results of operations, liquidity, capital expenditures or capital resources.</w:t>
      </w:r>
    </w:p>
    <w:p w14:paraId="1D02719B" w14:textId="77777777" w:rsidR="004421F6" w:rsidRDefault="00F15622">
      <w:pPr>
        <w:spacing w:before="240" w:after="120"/>
      </w:pPr>
      <w:r>
        <w:rPr>
          <w:rFonts w:ascii="sans-serif" w:eastAsia="sans-serif" w:hAnsi="sans-serif" w:cs="sans-serif"/>
          <w:b/>
          <w:bCs/>
          <w:color w:val="000000"/>
          <w:sz w:val="28"/>
          <w:szCs w:val="28"/>
        </w:rPr>
        <w:t>CONTRACTUAL OBLIGATIONS</w:t>
      </w:r>
    </w:p>
    <w:p w14:paraId="1D02719C" w14:textId="77777777" w:rsidR="004421F6" w:rsidRDefault="00F15622">
      <w:pPr>
        <w:spacing w:before="120" w:after="120"/>
      </w:pPr>
      <w:r>
        <w:rPr>
          <w:rFonts w:ascii="Arial" w:eastAsia="宋体" w:hAnsi="Arial" w:cs="Arial"/>
          <w:color w:val="000000"/>
          <w:sz w:val="17"/>
          <w:szCs w:val="17"/>
        </w:rPr>
        <w:t xml:space="preserve">There have been no significant changes to the contractual obligations reported in our Annual Report on </w:t>
      </w:r>
      <w:r>
        <w:rPr>
          <w:rFonts w:ascii="Arial" w:eastAsia="宋体" w:hAnsi="Arial" w:cs="Arial"/>
          <w:color w:val="000000"/>
          <w:sz w:val="17"/>
          <w:szCs w:val="17"/>
        </w:rPr>
        <w:t>Form 10-K for the fiscal year ended May 31, 2020.</w:t>
      </w:r>
    </w:p>
    <w:p w14:paraId="1D02719D" w14:textId="77777777" w:rsidR="004421F6" w:rsidRDefault="00F15622">
      <w:pPr>
        <w:spacing w:before="300" w:after="120"/>
      </w:pPr>
      <w:r>
        <w:rPr>
          <w:rFonts w:ascii="sans-serif" w:eastAsia="sans-serif" w:hAnsi="sans-serif" w:cs="sans-serif"/>
          <w:b/>
          <w:bCs/>
          <w:color w:val="E87722"/>
          <w:sz w:val="36"/>
          <w:szCs w:val="36"/>
        </w:rPr>
        <w:t>NEW ACCOUNTING PRONOUNCEMENTS</w:t>
      </w:r>
    </w:p>
    <w:p w14:paraId="1D02719E" w14:textId="77777777" w:rsidR="004421F6" w:rsidRDefault="00F15622">
      <w:pPr>
        <w:spacing w:before="120" w:after="120"/>
      </w:pPr>
      <w:r>
        <w:rPr>
          <w:rFonts w:ascii="Arial" w:eastAsia="宋体" w:hAnsi="Arial" w:cs="Arial"/>
          <w:color w:val="000000"/>
          <w:sz w:val="17"/>
          <w:szCs w:val="17"/>
        </w:rPr>
        <w:t xml:space="preserve">There have been no material changes in recently issued or adopted accounting standards from those disclosed in our Annual Report on Form 10-K for the fiscal year ended May 31, </w:t>
      </w:r>
      <w:r>
        <w:rPr>
          <w:rFonts w:ascii="Arial" w:eastAsia="宋体" w:hAnsi="Arial" w:cs="Arial"/>
          <w:color w:val="000000"/>
          <w:sz w:val="17"/>
          <w:szCs w:val="17"/>
        </w:rPr>
        <w:t>2020.</w:t>
      </w:r>
    </w:p>
    <w:p w14:paraId="1D02719F" w14:textId="77777777" w:rsidR="004421F6" w:rsidRDefault="00F15622">
      <w:pPr>
        <w:spacing w:before="300" w:after="120"/>
      </w:pPr>
      <w:r>
        <w:rPr>
          <w:rFonts w:ascii="sans-serif" w:eastAsia="sans-serif" w:hAnsi="sans-serif" w:cs="sans-serif"/>
          <w:b/>
          <w:bCs/>
          <w:color w:val="E87722"/>
          <w:sz w:val="36"/>
          <w:szCs w:val="36"/>
        </w:rPr>
        <w:t>CRITICAL ACCOUNTING POLICIES</w:t>
      </w:r>
    </w:p>
    <w:p w14:paraId="1D0271A0" w14:textId="77777777" w:rsidR="004421F6" w:rsidRDefault="00F15622">
      <w:pPr>
        <w:spacing w:before="120" w:after="120"/>
      </w:pPr>
      <w:r>
        <w:rPr>
          <w:rFonts w:ascii="Arial" w:eastAsia="宋体" w:hAnsi="Arial" w:cs="Arial"/>
          <w:color w:val="000000"/>
          <w:sz w:val="17"/>
          <w:szCs w:val="17"/>
        </w:rPr>
        <w:t xml:space="preserve">Our discussion and analysis of our financial condition and results of operations are based upon our Unaudited Condensed Consolidated Financial Statements, which have been prepared in accordance with accounting principles </w:t>
      </w:r>
      <w:r>
        <w:rPr>
          <w:rFonts w:ascii="Arial" w:eastAsia="宋体" w:hAnsi="Arial" w:cs="Arial"/>
          <w:color w:val="000000"/>
          <w:sz w:val="17"/>
          <w:szCs w:val="17"/>
        </w:rPr>
        <w:t>generally accepted in the United States of America. The preparation of these financial statements requires us to make estimates and judgments that affect the reported amounts of assets, liabilities, revenues and expenses and related disclosure of contingen</w:t>
      </w:r>
      <w:r>
        <w:rPr>
          <w:rFonts w:ascii="Arial" w:eastAsia="宋体" w:hAnsi="Arial" w:cs="Arial"/>
          <w:color w:val="000000"/>
          <w:sz w:val="17"/>
          <w:szCs w:val="17"/>
        </w:rPr>
        <w:t xml:space="preserve">t assets and liabilities. </w:t>
      </w:r>
    </w:p>
    <w:p w14:paraId="1D0271A1" w14:textId="77777777" w:rsidR="004421F6" w:rsidRDefault="00F15622">
      <w:pPr>
        <w:spacing w:before="120" w:after="120"/>
      </w:pPr>
      <w:r>
        <w:rPr>
          <w:rFonts w:ascii="Arial" w:eastAsia="宋体" w:hAnsi="Arial" w:cs="Arial"/>
          <w:color w:val="000000"/>
          <w:sz w:val="17"/>
          <w:szCs w:val="17"/>
        </w:rPr>
        <w:t>We believe that the estimates, assumptions and judgments involved in the accounting policies described in the “Management's Discussion and Analysis of Financial Condition and Results of Operations” section of our most recent Annu</w:t>
      </w:r>
      <w:r>
        <w:rPr>
          <w:rFonts w:ascii="Arial" w:eastAsia="宋体" w:hAnsi="Arial" w:cs="Arial"/>
          <w:color w:val="000000"/>
          <w:sz w:val="17"/>
          <w:szCs w:val="17"/>
        </w:rPr>
        <w:t>al Report on Form 10-K have the greatest potential impact on our financial statements, so we consider these to be our critical accounting policies. Actual results could differ from the estimates we use in applying our critical accounting policies. We are n</w:t>
      </w:r>
      <w:r>
        <w:rPr>
          <w:rFonts w:ascii="Arial" w:eastAsia="宋体" w:hAnsi="Arial" w:cs="Arial"/>
          <w:color w:val="000000"/>
          <w:sz w:val="17"/>
          <w:szCs w:val="17"/>
        </w:rPr>
        <w:t>ot currently aware of any reasonably likely events or circumstances that would result in materially different amounts being reported.</w:t>
      </w:r>
    </w:p>
    <w:p w14:paraId="1D0271A2" w14:textId="77777777" w:rsidR="004421F6" w:rsidRDefault="00F15622">
      <w:pPr>
        <w:spacing w:before="120" w:after="120"/>
      </w:pPr>
      <w:r>
        <w:rPr>
          <w:rFonts w:ascii="Arial" w:eastAsia="宋体" w:hAnsi="Arial" w:cs="Arial"/>
          <w:color w:val="E87722"/>
          <w:sz w:val="17"/>
          <w:szCs w:val="17"/>
        </w:rPr>
        <w:t>36</w:t>
      </w:r>
      <w:r>
        <w:rPr>
          <w:rFonts w:ascii="sans-serif" w:eastAsia="sans-serif" w:hAnsi="sans-serif" w:cs="sans-serif"/>
          <w:color w:val="000000"/>
          <w:sz w:val="17"/>
          <w:szCs w:val="17"/>
        </w:rPr>
        <w:t xml:space="preserve"> </w:t>
      </w:r>
    </w:p>
    <w:p w14:paraId="1D0271A3" w14:textId="77777777" w:rsidR="004421F6" w:rsidRDefault="00F15622">
      <w:r>
        <w:pict w14:anchorId="1D02729F">
          <v:rect id="_x0000_i1062" style="width:415.3pt;height:1.5pt" o:hralign="center" o:hrstd="t" o:hr="t" fillcolor="#a0a0a0" stroked="f"/>
        </w:pict>
      </w:r>
    </w:p>
    <w:p w14:paraId="1D0271A4" w14:textId="77777777" w:rsidR="004421F6" w:rsidRDefault="004421F6"/>
    <w:p w14:paraId="1D0271A5" w14:textId="77777777" w:rsidR="004421F6" w:rsidRDefault="00F15622">
      <w:hyperlink r:id="rId107" w:anchor="i3e524f2e23844e81ba9d33a05ac3917c_7" w:history="1">
        <w:r>
          <w:rPr>
            <w:rStyle w:val="a5"/>
            <w:rFonts w:ascii="sans-serif" w:eastAsia="sans-serif" w:hAnsi="sans-serif" w:cs="sans-serif"/>
            <w:sz w:val="17"/>
            <w:szCs w:val="17"/>
          </w:rPr>
          <w:t>Table of Contents</w:t>
        </w:r>
      </w:hyperlink>
    </w:p>
    <w:p w14:paraId="1D0271A6" w14:textId="77777777" w:rsidR="004421F6" w:rsidRDefault="004421F6"/>
    <w:p w14:paraId="1D0271A7" w14:textId="77777777" w:rsidR="004421F6" w:rsidRDefault="00F15622">
      <w:pPr>
        <w:spacing w:before="360" w:after="180"/>
      </w:pPr>
      <w:r>
        <w:rPr>
          <w:rFonts w:ascii="sans-serif" w:eastAsia="sans-serif" w:hAnsi="sans-serif" w:cs="sans-serif"/>
          <w:color w:val="000000"/>
          <w:sz w:val="44"/>
          <w:szCs w:val="44"/>
        </w:rPr>
        <w:t>ITEM 3. QUANTITATIVE AND QUALITATIVE DISCLOSURES ABOUT MARKET RISK</w:t>
      </w:r>
    </w:p>
    <w:p w14:paraId="1D0271A8" w14:textId="77777777" w:rsidR="004421F6" w:rsidRDefault="00F15622">
      <w:r>
        <w:rPr>
          <w:rFonts w:ascii="Arial" w:eastAsia="宋体" w:hAnsi="Arial" w:cs="Arial"/>
          <w:color w:val="000000"/>
          <w:sz w:val="17"/>
          <w:szCs w:val="17"/>
        </w:rPr>
        <w:t>There have been no</w:t>
      </w:r>
      <w:r>
        <w:rPr>
          <w:rFonts w:ascii="Arial" w:eastAsia="宋体" w:hAnsi="Arial" w:cs="Arial"/>
          <w:color w:val="000000"/>
          <w:sz w:val="17"/>
          <w:szCs w:val="17"/>
        </w:rPr>
        <w:t xml:space="preserve"> material changes from the information previously reported under Part II, Item 7A of our Annual Report on Form 10-K for the fiscal year ended May 31, 2020.</w:t>
      </w:r>
    </w:p>
    <w:p w14:paraId="1D0271A9" w14:textId="77777777" w:rsidR="004421F6" w:rsidRDefault="00F15622">
      <w:pPr>
        <w:spacing w:before="360" w:after="180"/>
      </w:pPr>
      <w:r>
        <w:rPr>
          <w:rFonts w:ascii="sans-serif" w:eastAsia="sans-serif" w:hAnsi="sans-serif" w:cs="sans-serif"/>
          <w:color w:val="000000"/>
          <w:sz w:val="44"/>
          <w:szCs w:val="44"/>
        </w:rPr>
        <w:t>ITEM 4. CONTROLS AND PROCEDURES</w:t>
      </w:r>
    </w:p>
    <w:p w14:paraId="1D0271AA" w14:textId="77777777" w:rsidR="004421F6" w:rsidRDefault="00F15622">
      <w:pPr>
        <w:spacing w:before="120" w:after="120"/>
      </w:pPr>
      <w:r>
        <w:rPr>
          <w:rFonts w:ascii="Arial" w:eastAsia="宋体" w:hAnsi="Arial" w:cs="Arial"/>
          <w:color w:val="000000"/>
          <w:sz w:val="17"/>
          <w:szCs w:val="17"/>
        </w:rPr>
        <w:t xml:space="preserve">We maintain disclosure controls and procedures that are </w:t>
      </w:r>
      <w:r>
        <w:rPr>
          <w:rFonts w:ascii="Arial" w:eastAsia="宋体" w:hAnsi="Arial" w:cs="Arial"/>
          <w:color w:val="000000"/>
          <w:sz w:val="17"/>
          <w:szCs w:val="17"/>
        </w:rPr>
        <w:t>designed to provide reasonable assurance that information required to be disclosed in our Securities Exchange Act of 1934, as amended ("the Exchange Act") reports is recorded, processed, summarized and reported within the time periods specified in the Secu</w:t>
      </w:r>
      <w:r>
        <w:rPr>
          <w:rFonts w:ascii="Arial" w:eastAsia="宋体" w:hAnsi="Arial" w:cs="Arial"/>
          <w:color w:val="000000"/>
          <w:sz w:val="17"/>
          <w:szCs w:val="17"/>
        </w:rPr>
        <w:t>rities and Exchange Commission's rules and forms and that such information is accumulated and communicated to our management, including our Chief Executive Officer and Chief Financial Officer, as appropriate, to allow for timely decisions regarding require</w:t>
      </w:r>
      <w:r>
        <w:rPr>
          <w:rFonts w:ascii="Arial" w:eastAsia="宋体" w:hAnsi="Arial" w:cs="Arial"/>
          <w:color w:val="000000"/>
          <w:sz w:val="17"/>
          <w:szCs w:val="17"/>
        </w:rPr>
        <w:t>d disclosure. In designing and evaluating the disclosure controls and procedures, management recognizes that any controls and procedures, no matter how well designed and operated, can provide only reasonable assurance of achieving the desired control objec</w:t>
      </w:r>
      <w:r>
        <w:rPr>
          <w:rFonts w:ascii="Arial" w:eastAsia="宋体" w:hAnsi="Arial" w:cs="Arial"/>
          <w:color w:val="000000"/>
          <w:sz w:val="17"/>
          <w:szCs w:val="17"/>
        </w:rPr>
        <w:t>tives, and management is required to apply its judgment in evaluating the cost-benefit relationship of possible controls and procedures.</w:t>
      </w:r>
    </w:p>
    <w:p w14:paraId="1D0271AB" w14:textId="77777777" w:rsidR="004421F6" w:rsidRDefault="00F15622">
      <w:pPr>
        <w:spacing w:before="120" w:after="120"/>
      </w:pPr>
      <w:r>
        <w:rPr>
          <w:rFonts w:ascii="Arial" w:eastAsia="宋体" w:hAnsi="Arial" w:cs="Arial"/>
          <w:color w:val="000000"/>
          <w:sz w:val="17"/>
          <w:szCs w:val="17"/>
        </w:rPr>
        <w:t>We carry out a variety of ongoing procedures, under the supervision and with the participation of our management, inclu</w:t>
      </w:r>
      <w:r>
        <w:rPr>
          <w:rFonts w:ascii="Arial" w:eastAsia="宋体" w:hAnsi="Arial" w:cs="Arial"/>
          <w:color w:val="000000"/>
          <w:sz w:val="17"/>
          <w:szCs w:val="17"/>
        </w:rPr>
        <w:t>ding our Chief Executive Officer and Chief Financial Officer, to evaluate the effectiveness of the design and operation of our disclosure controls and procedures. Based on the foregoing, our Chief Executive Officer and Chief Financial Officer concluded tha</w:t>
      </w:r>
      <w:r>
        <w:rPr>
          <w:rFonts w:ascii="Arial" w:eastAsia="宋体" w:hAnsi="Arial" w:cs="Arial"/>
          <w:color w:val="000000"/>
          <w:sz w:val="17"/>
          <w:szCs w:val="17"/>
        </w:rPr>
        <w:t>t our disclosure controls and procedures were effective at the reasonable assurance level as of August 31, 2020.</w:t>
      </w:r>
    </w:p>
    <w:p w14:paraId="1D0271AC" w14:textId="77777777" w:rsidR="004421F6" w:rsidRDefault="00F15622">
      <w:pPr>
        <w:spacing w:before="120" w:after="120"/>
      </w:pPr>
      <w:r>
        <w:rPr>
          <w:rFonts w:ascii="Arial" w:eastAsia="宋体" w:hAnsi="Arial" w:cs="Arial"/>
          <w:color w:val="000000"/>
          <w:sz w:val="17"/>
          <w:szCs w:val="17"/>
        </w:rPr>
        <w:t>We are continuing several transformation initiatives to centralize and simplify our business processes and systems. These are long-term initiat</w:t>
      </w:r>
      <w:r>
        <w:rPr>
          <w:rFonts w:ascii="Arial" w:eastAsia="宋体" w:hAnsi="Arial" w:cs="Arial"/>
          <w:color w:val="000000"/>
          <w:sz w:val="17"/>
          <w:szCs w:val="17"/>
        </w:rPr>
        <w:t>ives, which we believe will enhance our internal control over financial reporting due to increased automation and further integration of related processes. We will continue to monitor our internal control over financial reporting for effectiveness througho</w:t>
      </w:r>
      <w:r>
        <w:rPr>
          <w:rFonts w:ascii="Arial" w:eastAsia="宋体" w:hAnsi="Arial" w:cs="Arial"/>
          <w:color w:val="000000"/>
          <w:sz w:val="17"/>
          <w:szCs w:val="17"/>
        </w:rPr>
        <w:t>ut these transformation initiatives.</w:t>
      </w:r>
    </w:p>
    <w:p w14:paraId="1D0271AD" w14:textId="77777777" w:rsidR="004421F6" w:rsidRDefault="00F15622">
      <w:pPr>
        <w:spacing w:before="120" w:after="120"/>
      </w:pPr>
      <w:r>
        <w:rPr>
          <w:rFonts w:ascii="Arial" w:eastAsia="宋体" w:hAnsi="Arial" w:cs="Arial"/>
          <w:color w:val="000000"/>
          <w:sz w:val="17"/>
          <w:szCs w:val="17"/>
        </w:rPr>
        <w:t>There have not been any changes in our internal control over financial reporting during our most recent fiscal quarter that have materially affected, or are reasonably likely to materially affect, our internal control o</w:t>
      </w:r>
      <w:r>
        <w:rPr>
          <w:rFonts w:ascii="Arial" w:eastAsia="宋体" w:hAnsi="Arial" w:cs="Arial"/>
          <w:color w:val="000000"/>
          <w:sz w:val="17"/>
          <w:szCs w:val="17"/>
        </w:rPr>
        <w:t>ver financial reporting.</w:t>
      </w:r>
    </w:p>
    <w:p w14:paraId="1D0271AE" w14:textId="77777777" w:rsidR="004421F6" w:rsidRDefault="00F15622">
      <w:pPr>
        <w:spacing w:before="120" w:after="120"/>
        <w:jc w:val="right"/>
      </w:pPr>
      <w:r>
        <w:rPr>
          <w:rFonts w:ascii="Arial" w:eastAsia="宋体" w:hAnsi="Arial" w:cs="Arial"/>
          <w:color w:val="E87722"/>
          <w:sz w:val="17"/>
          <w:szCs w:val="17"/>
        </w:rPr>
        <w:t>37</w:t>
      </w:r>
    </w:p>
    <w:p w14:paraId="1D0271AF" w14:textId="77777777" w:rsidR="004421F6" w:rsidRDefault="00F15622">
      <w:r>
        <w:pict w14:anchorId="1D0272A0">
          <v:rect id="_x0000_i1063" style="width:415.3pt;height:1.5pt" o:hralign="center" o:hrstd="t" o:hr="t" fillcolor="#a0a0a0" stroked="f"/>
        </w:pict>
      </w:r>
    </w:p>
    <w:p w14:paraId="1D0271B0" w14:textId="77777777" w:rsidR="004421F6" w:rsidRDefault="004421F6"/>
    <w:p w14:paraId="1D0271B1" w14:textId="77777777" w:rsidR="004421F6" w:rsidRDefault="00F15622">
      <w:hyperlink r:id="rId108" w:anchor="i3e524f2e23844e81ba9d33a05ac3917c_7" w:history="1">
        <w:r>
          <w:rPr>
            <w:rStyle w:val="a5"/>
            <w:rFonts w:ascii="sans-serif" w:eastAsia="sans-serif" w:hAnsi="sans-serif" w:cs="sans-serif"/>
            <w:sz w:val="17"/>
            <w:szCs w:val="17"/>
          </w:rPr>
          <w:t>Table of Contents</w:t>
        </w:r>
      </w:hyperlink>
    </w:p>
    <w:p w14:paraId="1D0271B2" w14:textId="77777777" w:rsidR="004421F6" w:rsidRDefault="004421F6"/>
    <w:p w14:paraId="1D0271B3" w14:textId="77777777" w:rsidR="004421F6" w:rsidRDefault="00F15622">
      <w:pPr>
        <w:spacing w:before="360" w:after="180"/>
      </w:pPr>
      <w:r>
        <w:rPr>
          <w:rFonts w:ascii="sans-serif" w:eastAsia="sans-serif" w:hAnsi="sans-serif" w:cs="sans-serif"/>
          <w:color w:val="000000"/>
          <w:sz w:val="44"/>
          <w:szCs w:val="44"/>
        </w:rPr>
        <w:t xml:space="preserve">SPECIAL NOTE REGARDING FORWARD-LOOKING STATEMENTS AND </w:t>
      </w:r>
      <w:r>
        <w:rPr>
          <w:rFonts w:ascii="sans-serif" w:eastAsia="sans-serif" w:hAnsi="sans-serif" w:cs="sans-serif"/>
          <w:color w:val="000000"/>
          <w:sz w:val="44"/>
          <w:szCs w:val="44"/>
        </w:rPr>
        <w:t>ANALYST REPORTS</w:t>
      </w:r>
    </w:p>
    <w:p w14:paraId="1D0271B4" w14:textId="77777777" w:rsidR="004421F6" w:rsidRDefault="00F15622">
      <w:pPr>
        <w:spacing w:before="120" w:after="120"/>
      </w:pPr>
      <w:r>
        <w:rPr>
          <w:rFonts w:ascii="Arial" w:eastAsia="宋体" w:hAnsi="Arial" w:cs="Arial"/>
          <w:color w:val="000000"/>
          <w:sz w:val="17"/>
          <w:szCs w:val="17"/>
        </w:rPr>
        <w:t>Certain written and oral statements, other than purely historic information, including estimates, projections, statements relating to NIKE’s business plans, objectives and expected operating results and the assumptions upon which those stat</w:t>
      </w:r>
      <w:r>
        <w:rPr>
          <w:rFonts w:ascii="Arial" w:eastAsia="宋体" w:hAnsi="Arial" w:cs="Arial"/>
          <w:color w:val="000000"/>
          <w:sz w:val="17"/>
          <w:szCs w:val="17"/>
        </w:rPr>
        <w:t>ements are based, made or incorporated by reference from time to time by NIKE or its representatives in this report, other reports, filings with the SEC, press releases, conferences or otherwise, are “forward-looking statements” within the meaning of the P</w:t>
      </w:r>
      <w:r>
        <w:rPr>
          <w:rFonts w:ascii="Arial" w:eastAsia="宋体" w:hAnsi="Arial" w:cs="Arial"/>
          <w:color w:val="000000"/>
          <w:sz w:val="17"/>
          <w:szCs w:val="17"/>
        </w:rPr>
        <w:t>rivate Securities Litigation Reform Act of 1995 and Section 21E of the Securities Exchange Act of 1934, as amended. Forward-looking statements include, without limitation, any statement that may predict, forecast, indicate or imply future results, performa</w:t>
      </w:r>
      <w:r>
        <w:rPr>
          <w:rFonts w:ascii="Arial" w:eastAsia="宋体" w:hAnsi="Arial" w:cs="Arial"/>
          <w:color w:val="000000"/>
          <w:sz w:val="17"/>
          <w:szCs w:val="17"/>
        </w:rPr>
        <w:t>nce or achievements, and may contain the words “believe,” “anticipate,” “expect,” “estimate,” “project,” “will be,” “will continue,” “will likely result” or words or phrases of similar meaning. Forward-looking statements involve risks and uncertainties whi</w:t>
      </w:r>
      <w:r>
        <w:rPr>
          <w:rFonts w:ascii="Arial" w:eastAsia="宋体" w:hAnsi="Arial" w:cs="Arial"/>
          <w:color w:val="000000"/>
          <w:sz w:val="17"/>
          <w:szCs w:val="17"/>
        </w:rPr>
        <w:t xml:space="preserve">ch may cause actual results to differ materially from the forward-looking statements. The risks and uncertainties are detailed from time to time in reports filed by NIKE with the SEC, including reports filed on Forms 8-K, 10-Q and 10-K, and include, among </w:t>
      </w:r>
      <w:r>
        <w:rPr>
          <w:rFonts w:ascii="Arial" w:eastAsia="宋体" w:hAnsi="Arial" w:cs="Arial"/>
          <w:color w:val="000000"/>
          <w:sz w:val="17"/>
          <w:szCs w:val="17"/>
        </w:rPr>
        <w:t>others, the following: health epidemics, pandemics and similar outbreaks, including the COVID-19 pandemic; international, national and local political, civil, economic and market conditions; the size and growth of the overall athletic footwear, apparel and</w:t>
      </w:r>
      <w:r>
        <w:rPr>
          <w:rFonts w:ascii="Arial" w:eastAsia="宋体" w:hAnsi="Arial" w:cs="Arial"/>
          <w:color w:val="000000"/>
          <w:sz w:val="17"/>
          <w:szCs w:val="17"/>
        </w:rPr>
        <w:t xml:space="preserve"> equipment markets; intense competition among designers, marketers, distributors and sellers of athletic footwear, apparel and equipment for consumers and endorsers; demographic changes; changes in consumer preferences; popularity of particular designs, ca</w:t>
      </w:r>
      <w:r>
        <w:rPr>
          <w:rFonts w:ascii="Arial" w:eastAsia="宋体" w:hAnsi="Arial" w:cs="Arial"/>
          <w:color w:val="000000"/>
          <w:sz w:val="17"/>
          <w:szCs w:val="17"/>
        </w:rPr>
        <w:t>tegories of products and sports; seasonal and geographic demand for NIKE products; difficulties in anticipating or forecasting changes in consumer preferences, consumer demand for NIKE products and the various market factors described above; difficulties i</w:t>
      </w:r>
      <w:r>
        <w:rPr>
          <w:rFonts w:ascii="Arial" w:eastAsia="宋体" w:hAnsi="Arial" w:cs="Arial"/>
          <w:color w:val="000000"/>
          <w:sz w:val="17"/>
          <w:szCs w:val="17"/>
        </w:rPr>
        <w:t>n implementing, operating and maintaining NIKE’s increasingly complex information technology systems and controls, including, without limitation, the systems related to demand and supply planning and inventory control; interruptions in data and information</w:t>
      </w:r>
      <w:r>
        <w:rPr>
          <w:rFonts w:ascii="Arial" w:eastAsia="宋体" w:hAnsi="Arial" w:cs="Arial"/>
          <w:color w:val="000000"/>
          <w:sz w:val="17"/>
          <w:szCs w:val="17"/>
        </w:rPr>
        <w:t xml:space="preserve"> technology systems; consumer data security; fluctuations and difficulty in forecasting operating results, including, without limitation, the fact that advance orders may not be indicative of future revenues due to changes in shipment timing, the changing </w:t>
      </w:r>
      <w:r>
        <w:rPr>
          <w:rFonts w:ascii="Arial" w:eastAsia="宋体" w:hAnsi="Arial" w:cs="Arial"/>
          <w:color w:val="000000"/>
          <w:sz w:val="17"/>
          <w:szCs w:val="17"/>
        </w:rPr>
        <w:t>mix of orders with shorter lead times, and discounts, order cancellations and returns; the ability of NIKE to sustain, manage or forecast its growth and inventories; the size, timing and mix of purchases of NIKE’s products; increases in the cost of materia</w:t>
      </w:r>
      <w:r>
        <w:rPr>
          <w:rFonts w:ascii="Arial" w:eastAsia="宋体" w:hAnsi="Arial" w:cs="Arial"/>
          <w:color w:val="000000"/>
          <w:sz w:val="17"/>
          <w:szCs w:val="17"/>
        </w:rPr>
        <w:t>ls, labor and energy used to manufacture products; new product development and introduction; the ability to secure and protect trademarks, patents and other intellectual property; product performance and quality; customer service; adverse publicity, includ</w:t>
      </w:r>
      <w:r>
        <w:rPr>
          <w:rFonts w:ascii="Arial" w:eastAsia="宋体" w:hAnsi="Arial" w:cs="Arial"/>
          <w:color w:val="000000"/>
          <w:sz w:val="17"/>
          <w:szCs w:val="17"/>
        </w:rPr>
        <w:t xml:space="preserve">ing without limitation, through social media or in connection with brand damaging events; the loss of significant customers or suppliers; dependence on distributors and licensees; business disruptions; increased costs of freight and transportation to meet </w:t>
      </w:r>
      <w:r>
        <w:rPr>
          <w:rFonts w:ascii="Arial" w:eastAsia="宋体" w:hAnsi="Arial" w:cs="Arial"/>
          <w:color w:val="000000"/>
          <w:sz w:val="17"/>
          <w:szCs w:val="17"/>
        </w:rPr>
        <w:t>delivery deadlines; increases in borrowing costs due to any decline in NIKE’s debt ratings; changes in business strategy or development plans; general risks associated with doing business outside of the United States, including, without limitation, exchang</w:t>
      </w:r>
      <w:r>
        <w:rPr>
          <w:rFonts w:ascii="Arial" w:eastAsia="宋体" w:hAnsi="Arial" w:cs="Arial"/>
          <w:color w:val="000000"/>
          <w:sz w:val="17"/>
          <w:szCs w:val="17"/>
        </w:rPr>
        <w:t>e rate fluctuations, inflation, import duties, tariffs, quotas, political and economic instability and terrorism; the potential impact of new laws, regulations or policy, including, without limitation, tariffs, import/export, trade and immigration regulati</w:t>
      </w:r>
      <w:r>
        <w:rPr>
          <w:rFonts w:ascii="Arial" w:eastAsia="宋体" w:hAnsi="Arial" w:cs="Arial"/>
          <w:color w:val="000000"/>
          <w:sz w:val="17"/>
          <w:szCs w:val="17"/>
        </w:rPr>
        <w:t>ons or policies; changes in government regulations; the impact of, including business and legal developments relating to, climate change and natural disasters; litigation, regulatory proceedings, sanctions or any other claims asserted against NIKE; the abi</w:t>
      </w:r>
      <w:r>
        <w:rPr>
          <w:rFonts w:ascii="Arial" w:eastAsia="宋体" w:hAnsi="Arial" w:cs="Arial"/>
          <w:color w:val="000000"/>
          <w:sz w:val="17"/>
          <w:szCs w:val="17"/>
        </w:rPr>
        <w:t>lity to attract and retain qualified employees, and any negative public perception with respect to key personnel or our corporate culture, values or purpose; the effects of NIKE’s decision to invest in or divest of businesses and other factors referenced o</w:t>
      </w:r>
      <w:r>
        <w:rPr>
          <w:rFonts w:ascii="Arial" w:eastAsia="宋体" w:hAnsi="Arial" w:cs="Arial"/>
          <w:color w:val="000000"/>
          <w:sz w:val="17"/>
          <w:szCs w:val="17"/>
        </w:rPr>
        <w:t>r incorporated by reference in this report and other reports.</w:t>
      </w:r>
    </w:p>
    <w:p w14:paraId="1D0271B5" w14:textId="77777777" w:rsidR="004421F6" w:rsidRDefault="00F15622">
      <w:pPr>
        <w:spacing w:before="120" w:after="120"/>
      </w:pPr>
      <w:r>
        <w:rPr>
          <w:rFonts w:ascii="Arial" w:eastAsia="宋体" w:hAnsi="Arial" w:cs="Arial"/>
          <w:color w:val="E87722"/>
          <w:sz w:val="17"/>
          <w:szCs w:val="17"/>
        </w:rPr>
        <w:t>38</w:t>
      </w:r>
      <w:r>
        <w:rPr>
          <w:rFonts w:ascii="sans-serif" w:eastAsia="sans-serif" w:hAnsi="sans-serif" w:cs="sans-serif"/>
          <w:color w:val="000000"/>
          <w:sz w:val="17"/>
          <w:szCs w:val="17"/>
        </w:rPr>
        <w:t xml:space="preserve"> </w:t>
      </w:r>
    </w:p>
    <w:p w14:paraId="1D0271B6" w14:textId="77777777" w:rsidR="004421F6" w:rsidRDefault="00F15622">
      <w:r>
        <w:pict w14:anchorId="1D0272A1">
          <v:rect id="_x0000_i1064" style="width:415.3pt;height:1.5pt" o:hralign="center" o:hrstd="t" o:hr="t" fillcolor="#a0a0a0" stroked="f"/>
        </w:pict>
      </w:r>
    </w:p>
    <w:p w14:paraId="1D0271B7" w14:textId="77777777" w:rsidR="004421F6" w:rsidRDefault="004421F6"/>
    <w:p w14:paraId="1D0271B8" w14:textId="77777777" w:rsidR="004421F6" w:rsidRDefault="00F15622">
      <w:hyperlink r:id="rId109" w:anchor="i3e524f2e23844e81ba9d33a05ac3917c_7" w:history="1">
        <w:r>
          <w:rPr>
            <w:rStyle w:val="a5"/>
            <w:rFonts w:ascii="sans-serif" w:eastAsia="sans-serif" w:hAnsi="sans-serif" w:cs="sans-serif"/>
            <w:sz w:val="17"/>
            <w:szCs w:val="17"/>
          </w:rPr>
          <w:t>Table of Contents</w:t>
        </w:r>
      </w:hyperlink>
    </w:p>
    <w:p w14:paraId="1D0271B9" w14:textId="77777777" w:rsidR="004421F6" w:rsidRDefault="004421F6"/>
    <w:p w14:paraId="1D0271BA" w14:textId="77777777" w:rsidR="004421F6" w:rsidRDefault="00F15622">
      <w:pPr>
        <w:spacing w:after="420"/>
      </w:pPr>
      <w:r>
        <w:rPr>
          <w:rFonts w:ascii="sans-serif" w:eastAsia="sans-serif" w:hAnsi="sans-serif" w:cs="sans-serif"/>
          <w:color w:val="E87722"/>
          <w:sz w:val="68"/>
          <w:szCs w:val="68"/>
        </w:rPr>
        <w:t xml:space="preserve">PART II - </w:t>
      </w:r>
      <w:r>
        <w:rPr>
          <w:rFonts w:ascii="sans-serif" w:eastAsia="sans-serif" w:hAnsi="sans-serif" w:cs="sans-serif"/>
          <w:color w:val="E87722"/>
          <w:sz w:val="68"/>
          <w:szCs w:val="68"/>
        </w:rPr>
        <w:t>OTHER INFORMATION</w:t>
      </w:r>
    </w:p>
    <w:p w14:paraId="1D0271BB" w14:textId="77777777" w:rsidR="004421F6" w:rsidRDefault="00F15622">
      <w:pPr>
        <w:spacing w:before="360" w:after="180"/>
      </w:pPr>
      <w:r>
        <w:rPr>
          <w:rFonts w:ascii="sans-serif" w:eastAsia="sans-serif" w:hAnsi="sans-serif" w:cs="sans-serif"/>
          <w:color w:val="000000"/>
          <w:sz w:val="44"/>
          <w:szCs w:val="44"/>
        </w:rPr>
        <w:t>ITEM 1. LEGAL PROCEEDINGS</w:t>
      </w:r>
    </w:p>
    <w:p w14:paraId="1D0271BC" w14:textId="77777777" w:rsidR="004421F6" w:rsidRDefault="00F15622">
      <w:pPr>
        <w:spacing w:before="120" w:after="120"/>
      </w:pPr>
      <w:r>
        <w:rPr>
          <w:rFonts w:ascii="Arial" w:eastAsia="宋体" w:hAnsi="Arial" w:cs="Arial"/>
          <w:color w:val="000000"/>
          <w:sz w:val="17"/>
          <w:szCs w:val="17"/>
        </w:rPr>
        <w:t>There have been no material developments with respect to the information previously reported under Part I, Item 3 of our Annual Report on Form 10-K for the fiscal year ended May 31, 2020.</w:t>
      </w:r>
    </w:p>
    <w:p w14:paraId="1D0271BD" w14:textId="77777777" w:rsidR="004421F6" w:rsidRDefault="00F15622">
      <w:pPr>
        <w:spacing w:before="360" w:after="180"/>
      </w:pPr>
      <w:r>
        <w:rPr>
          <w:rFonts w:ascii="sans-serif" w:eastAsia="sans-serif" w:hAnsi="sans-serif" w:cs="sans-serif"/>
          <w:color w:val="000000"/>
          <w:sz w:val="44"/>
          <w:szCs w:val="44"/>
        </w:rPr>
        <w:t>ITEM 1A. RISK FACTORS</w:t>
      </w:r>
    </w:p>
    <w:p w14:paraId="1D0271BE" w14:textId="77777777" w:rsidR="004421F6" w:rsidRDefault="00F15622">
      <w:pPr>
        <w:spacing w:before="120" w:after="120"/>
      </w:pPr>
      <w:r>
        <w:rPr>
          <w:rFonts w:ascii="Arial" w:eastAsia="宋体" w:hAnsi="Arial" w:cs="Arial"/>
          <w:color w:val="000000"/>
          <w:sz w:val="17"/>
          <w:szCs w:val="17"/>
        </w:rPr>
        <w:t>Th</w:t>
      </w:r>
      <w:r>
        <w:rPr>
          <w:rFonts w:ascii="Arial" w:eastAsia="宋体" w:hAnsi="Arial" w:cs="Arial"/>
          <w:color w:val="000000"/>
          <w:sz w:val="17"/>
          <w:szCs w:val="17"/>
        </w:rPr>
        <w:t>ere have been no material changes in our risk factors from those disclosed in Part I, Item 1A of our Annual Report on Form 10-K for the fiscal year ended May 31, 2020.</w:t>
      </w:r>
    </w:p>
    <w:p w14:paraId="1D0271BF" w14:textId="77777777" w:rsidR="004421F6" w:rsidRDefault="00F15622">
      <w:pPr>
        <w:spacing w:before="120" w:after="120"/>
        <w:jc w:val="right"/>
      </w:pPr>
      <w:r>
        <w:rPr>
          <w:rFonts w:ascii="Arial" w:eastAsia="宋体" w:hAnsi="Arial" w:cs="Arial"/>
          <w:color w:val="E87722"/>
          <w:sz w:val="17"/>
          <w:szCs w:val="17"/>
        </w:rPr>
        <w:t>39</w:t>
      </w:r>
    </w:p>
    <w:p w14:paraId="1D0271C0" w14:textId="77777777" w:rsidR="004421F6" w:rsidRDefault="00F15622">
      <w:r>
        <w:pict w14:anchorId="1D0272A2">
          <v:rect id="_x0000_i1065" style="width:415.3pt;height:1.5pt" o:hralign="center" o:hrstd="t" o:hr="t" fillcolor="#a0a0a0" stroked="f"/>
        </w:pict>
      </w:r>
    </w:p>
    <w:p w14:paraId="1D0271C1" w14:textId="77777777" w:rsidR="004421F6" w:rsidRDefault="004421F6"/>
    <w:p w14:paraId="1D0271C2" w14:textId="77777777" w:rsidR="004421F6" w:rsidRDefault="00F15622">
      <w:hyperlink r:id="rId110" w:anchor="i3e524f2e23844e81ba9d33a05ac3917c_7" w:history="1">
        <w:r>
          <w:rPr>
            <w:rStyle w:val="a5"/>
            <w:rFonts w:ascii="sans-serif" w:eastAsia="sans-serif" w:hAnsi="sans-serif" w:cs="sans-serif"/>
            <w:sz w:val="17"/>
            <w:szCs w:val="17"/>
          </w:rPr>
          <w:t>Table of Contents</w:t>
        </w:r>
      </w:hyperlink>
    </w:p>
    <w:p w14:paraId="1D0271C3" w14:textId="77777777" w:rsidR="004421F6" w:rsidRDefault="004421F6"/>
    <w:p w14:paraId="1D0271C4" w14:textId="77777777" w:rsidR="004421F6" w:rsidRDefault="00F15622">
      <w:pPr>
        <w:spacing w:before="360" w:after="180"/>
      </w:pPr>
      <w:r>
        <w:rPr>
          <w:rFonts w:ascii="sans-serif" w:eastAsia="sans-serif" w:hAnsi="sans-serif" w:cs="sans-serif"/>
          <w:color w:val="000000"/>
          <w:sz w:val="44"/>
          <w:szCs w:val="44"/>
        </w:rPr>
        <w:t>ITEM 2. UNREGISTERED SALES OF EQUITY SECURITIES AND USE OF PROCEEDS</w:t>
      </w:r>
    </w:p>
    <w:p w14:paraId="1D0271C5" w14:textId="77777777" w:rsidR="004421F6" w:rsidRDefault="00F15622">
      <w:r>
        <w:rPr>
          <w:rFonts w:ascii="Arial" w:eastAsia="宋体" w:hAnsi="Arial" w:cs="Arial"/>
          <w:color w:val="000000"/>
          <w:sz w:val="17"/>
          <w:szCs w:val="17"/>
        </w:rPr>
        <w:t xml:space="preserve">In June 2018, the Board of Directors approved a four-year, $15 billion share repurchase </w:t>
      </w:r>
      <w:r>
        <w:rPr>
          <w:rFonts w:ascii="Arial" w:eastAsia="宋体" w:hAnsi="Arial" w:cs="Arial"/>
          <w:color w:val="000000"/>
          <w:sz w:val="17"/>
          <w:szCs w:val="17"/>
        </w:rPr>
        <w:t>program. As of August 31, 2020, the Company had repurchased 45.2 million shares at an average price of $89.00 per share for a total approximate cost of $4.0 billion under this program. To enhance our liquidity position in response to COVID-19, during the f</w:t>
      </w:r>
      <w:r>
        <w:rPr>
          <w:rFonts w:ascii="Arial" w:eastAsia="宋体" w:hAnsi="Arial" w:cs="Arial"/>
          <w:color w:val="000000"/>
          <w:sz w:val="17"/>
          <w:szCs w:val="17"/>
        </w:rPr>
        <w:t>ourth quarter of fiscal 2020, we elected to temporarily suspend share repurchases under our existing share repurchase program. As such, there were no share repurchases made during the quarter ended August 31, 2020. The existing program remains authorized b</w:t>
      </w:r>
      <w:r>
        <w:rPr>
          <w:rFonts w:ascii="Arial" w:eastAsia="宋体" w:hAnsi="Arial" w:cs="Arial"/>
          <w:color w:val="000000"/>
          <w:sz w:val="17"/>
          <w:szCs w:val="17"/>
        </w:rPr>
        <w:t>y the Board of Directors and we may resume share repurchases in the future at any time, depending upon market conditions, our capital needs and other factors.</w:t>
      </w:r>
    </w:p>
    <w:p w14:paraId="1D0271C6" w14:textId="77777777" w:rsidR="004421F6" w:rsidRDefault="00F15622">
      <w:pPr>
        <w:spacing w:before="120" w:after="120"/>
      </w:pPr>
      <w:r>
        <w:rPr>
          <w:rFonts w:ascii="Arial" w:eastAsia="宋体" w:hAnsi="Arial" w:cs="Arial"/>
          <w:color w:val="E87722"/>
          <w:sz w:val="17"/>
          <w:szCs w:val="17"/>
        </w:rPr>
        <w:t>40</w:t>
      </w:r>
      <w:r>
        <w:rPr>
          <w:rFonts w:ascii="sans-serif" w:eastAsia="sans-serif" w:hAnsi="sans-serif" w:cs="sans-serif"/>
          <w:color w:val="000000"/>
          <w:sz w:val="17"/>
          <w:szCs w:val="17"/>
        </w:rPr>
        <w:t xml:space="preserve"> </w:t>
      </w:r>
    </w:p>
    <w:p w14:paraId="1D0271C7" w14:textId="77777777" w:rsidR="004421F6" w:rsidRDefault="00F15622">
      <w:r>
        <w:pict w14:anchorId="1D0272A3">
          <v:rect id="_x0000_i1066" style="width:415.3pt;height:1.5pt" o:hralign="center" o:hrstd="t" o:hr="t" fillcolor="#a0a0a0" stroked="f"/>
        </w:pict>
      </w:r>
    </w:p>
    <w:p w14:paraId="1D0271C8" w14:textId="77777777" w:rsidR="004421F6" w:rsidRDefault="004421F6"/>
    <w:p w14:paraId="1D0271C9" w14:textId="77777777" w:rsidR="004421F6" w:rsidRDefault="00F15622">
      <w:hyperlink r:id="rId111" w:anchor="i3e524f2e23844e81ba9d33a05ac3917c_7" w:history="1">
        <w:r>
          <w:rPr>
            <w:rStyle w:val="a5"/>
            <w:rFonts w:ascii="sans-serif" w:eastAsia="sans-serif" w:hAnsi="sans-serif" w:cs="sans-serif"/>
            <w:sz w:val="17"/>
            <w:szCs w:val="17"/>
          </w:rPr>
          <w:t>Table of Contents</w:t>
        </w:r>
      </w:hyperlink>
    </w:p>
    <w:p w14:paraId="1D0271CA" w14:textId="77777777" w:rsidR="004421F6" w:rsidRDefault="004421F6"/>
    <w:p w14:paraId="1D0271CB" w14:textId="77777777" w:rsidR="004421F6" w:rsidRDefault="00F15622">
      <w:pPr>
        <w:spacing w:before="360" w:after="180"/>
      </w:pPr>
      <w:r>
        <w:rPr>
          <w:rFonts w:ascii="sans-serif" w:eastAsia="sans-serif" w:hAnsi="sans-serif" w:cs="sans-serif"/>
          <w:color w:val="000000"/>
          <w:sz w:val="44"/>
          <w:szCs w:val="44"/>
        </w:rPr>
        <w:t>ITEM 6. EXHIBITS</w:t>
      </w:r>
    </w:p>
    <w:p w14:paraId="1D0271CC" w14:textId="77777777" w:rsidR="004421F6" w:rsidRDefault="00F15622">
      <w:pPr>
        <w:spacing w:before="120" w:after="120"/>
      </w:pPr>
      <w:r>
        <w:rPr>
          <w:rFonts w:ascii="Arial" w:eastAsia="宋体" w:hAnsi="Arial" w:cs="Arial"/>
          <w:color w:val="000000"/>
          <w:sz w:val="17"/>
          <w:szCs w:val="17"/>
        </w:rPr>
        <w:t>(a) EXHIBITS:</w:t>
      </w:r>
    </w:p>
    <w:tbl>
      <w:tblPr>
        <w:tblW w:w="5000" w:type="pct"/>
        <w:tblCellMar>
          <w:top w:w="15" w:type="dxa"/>
          <w:left w:w="15" w:type="dxa"/>
          <w:bottom w:w="15" w:type="dxa"/>
          <w:right w:w="15" w:type="dxa"/>
        </w:tblCellMar>
        <w:tblLook w:val="04A0" w:firstRow="1" w:lastRow="0" w:firstColumn="1" w:lastColumn="0" w:noHBand="0" w:noVBand="1"/>
      </w:tblPr>
      <w:tblGrid>
        <w:gridCol w:w="71"/>
        <w:gridCol w:w="753"/>
        <w:gridCol w:w="36"/>
        <w:gridCol w:w="69"/>
        <w:gridCol w:w="7370"/>
        <w:gridCol w:w="37"/>
      </w:tblGrid>
      <w:tr w:rsidR="004421F6" w14:paraId="1D0271D3" w14:textId="77777777">
        <w:tc>
          <w:tcPr>
            <w:tcW w:w="50" w:type="pct"/>
            <w:shd w:val="clear" w:color="auto" w:fill="auto"/>
          </w:tcPr>
          <w:p w14:paraId="1D0271CD" w14:textId="77777777" w:rsidR="004421F6" w:rsidRDefault="004421F6">
            <w:pPr>
              <w:rPr>
                <w:rFonts w:ascii="宋体"/>
              </w:rPr>
            </w:pPr>
          </w:p>
        </w:tc>
        <w:tc>
          <w:tcPr>
            <w:tcW w:w="461" w:type="pct"/>
            <w:shd w:val="clear" w:color="auto" w:fill="auto"/>
          </w:tcPr>
          <w:p w14:paraId="1D0271CE" w14:textId="77777777" w:rsidR="004421F6" w:rsidRDefault="004421F6">
            <w:pPr>
              <w:rPr>
                <w:rFonts w:ascii="宋体"/>
              </w:rPr>
            </w:pPr>
          </w:p>
        </w:tc>
        <w:tc>
          <w:tcPr>
            <w:tcW w:w="5" w:type="pct"/>
            <w:shd w:val="clear" w:color="auto" w:fill="auto"/>
          </w:tcPr>
          <w:p w14:paraId="1D0271CF" w14:textId="77777777" w:rsidR="004421F6" w:rsidRDefault="004421F6">
            <w:pPr>
              <w:rPr>
                <w:rFonts w:ascii="宋体"/>
              </w:rPr>
            </w:pPr>
          </w:p>
        </w:tc>
        <w:tc>
          <w:tcPr>
            <w:tcW w:w="50" w:type="pct"/>
            <w:shd w:val="clear" w:color="auto" w:fill="auto"/>
          </w:tcPr>
          <w:p w14:paraId="1D0271D0" w14:textId="77777777" w:rsidR="004421F6" w:rsidRDefault="004421F6">
            <w:pPr>
              <w:rPr>
                <w:rFonts w:ascii="宋体"/>
              </w:rPr>
            </w:pPr>
          </w:p>
        </w:tc>
        <w:tc>
          <w:tcPr>
            <w:tcW w:w="4428" w:type="pct"/>
            <w:shd w:val="clear" w:color="auto" w:fill="auto"/>
          </w:tcPr>
          <w:p w14:paraId="1D0271D1" w14:textId="77777777" w:rsidR="004421F6" w:rsidRDefault="004421F6">
            <w:pPr>
              <w:rPr>
                <w:rFonts w:ascii="宋体"/>
              </w:rPr>
            </w:pPr>
          </w:p>
        </w:tc>
        <w:tc>
          <w:tcPr>
            <w:tcW w:w="5" w:type="pct"/>
            <w:shd w:val="clear" w:color="auto" w:fill="auto"/>
          </w:tcPr>
          <w:p w14:paraId="1D0271D2" w14:textId="77777777" w:rsidR="004421F6" w:rsidRDefault="004421F6">
            <w:pPr>
              <w:rPr>
                <w:rFonts w:ascii="宋体"/>
              </w:rPr>
            </w:pPr>
          </w:p>
        </w:tc>
      </w:tr>
      <w:tr w:rsidR="004421F6" w14:paraId="1D0271D6" w14:textId="77777777">
        <w:trPr>
          <w:trHeight w:val="240"/>
        </w:trPr>
        <w:tc>
          <w:tcPr>
            <w:tcW w:w="0" w:type="auto"/>
            <w:gridSpan w:val="3"/>
            <w:shd w:val="clear" w:color="auto" w:fill="auto"/>
            <w:tcMar>
              <w:left w:w="20" w:type="dxa"/>
              <w:right w:w="20" w:type="dxa"/>
            </w:tcMar>
            <w:vAlign w:val="bottom"/>
          </w:tcPr>
          <w:p w14:paraId="1D0271D4" w14:textId="77777777" w:rsidR="004421F6" w:rsidRDefault="004421F6">
            <w:pPr>
              <w:rPr>
                <w:rFonts w:ascii="宋体"/>
              </w:rPr>
            </w:pPr>
          </w:p>
        </w:tc>
        <w:tc>
          <w:tcPr>
            <w:tcW w:w="0" w:type="auto"/>
            <w:gridSpan w:val="3"/>
            <w:shd w:val="clear" w:color="auto" w:fill="auto"/>
            <w:tcMar>
              <w:left w:w="20" w:type="dxa"/>
              <w:right w:w="20" w:type="dxa"/>
            </w:tcMar>
            <w:vAlign w:val="bottom"/>
          </w:tcPr>
          <w:p w14:paraId="1D0271D5" w14:textId="77777777" w:rsidR="004421F6" w:rsidRDefault="004421F6">
            <w:pPr>
              <w:rPr>
                <w:rFonts w:ascii="宋体"/>
              </w:rPr>
            </w:pPr>
          </w:p>
        </w:tc>
      </w:tr>
      <w:tr w:rsidR="004421F6" w14:paraId="1D0271D9" w14:textId="77777777">
        <w:tc>
          <w:tcPr>
            <w:tcW w:w="0" w:type="auto"/>
            <w:gridSpan w:val="3"/>
            <w:tcBorders>
              <w:top w:val="single" w:sz="8" w:space="0" w:color="E87722"/>
            </w:tcBorders>
            <w:shd w:val="clear" w:color="auto" w:fill="auto"/>
            <w:tcMar>
              <w:top w:w="40" w:type="dxa"/>
              <w:left w:w="20" w:type="dxa"/>
              <w:bottom w:w="40" w:type="dxa"/>
              <w:right w:w="20" w:type="dxa"/>
            </w:tcMar>
          </w:tcPr>
          <w:p w14:paraId="1D0271D7" w14:textId="77777777" w:rsidR="004421F6" w:rsidRDefault="00F15622">
            <w:pPr>
              <w:textAlignment w:val="top"/>
            </w:pPr>
            <w:r>
              <w:rPr>
                <w:rFonts w:ascii="Arial" w:eastAsia="宋体" w:hAnsi="Arial" w:cs="Arial"/>
                <w:b/>
                <w:bCs/>
                <w:color w:val="000000"/>
                <w:sz w:val="17"/>
                <w:szCs w:val="17"/>
              </w:rPr>
              <w:t>3.</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71D8" w14:textId="77777777" w:rsidR="004421F6" w:rsidRDefault="00F15622">
            <w:pPr>
              <w:textAlignment w:val="bottom"/>
            </w:pPr>
            <w:r>
              <w:rPr>
                <w:rFonts w:ascii="Arial" w:eastAsia="宋体" w:hAnsi="Arial" w:cs="Arial"/>
                <w:b/>
                <w:bCs/>
                <w:color w:val="000000"/>
                <w:sz w:val="17"/>
                <w:szCs w:val="17"/>
              </w:rPr>
              <w:t>Exhibits:</w:t>
            </w:r>
          </w:p>
        </w:tc>
      </w:tr>
      <w:tr w:rsidR="004421F6" w14:paraId="1D0271DC" w14:textId="77777777">
        <w:tc>
          <w:tcPr>
            <w:tcW w:w="0" w:type="auto"/>
            <w:gridSpan w:val="3"/>
            <w:tcBorders>
              <w:top w:val="single" w:sz="8" w:space="0" w:color="E87722"/>
            </w:tcBorders>
            <w:shd w:val="clear" w:color="auto" w:fill="auto"/>
            <w:tcMar>
              <w:top w:w="40" w:type="dxa"/>
              <w:left w:w="20" w:type="dxa"/>
              <w:bottom w:w="40" w:type="dxa"/>
              <w:right w:w="20" w:type="dxa"/>
            </w:tcMar>
          </w:tcPr>
          <w:p w14:paraId="1D0271DA" w14:textId="77777777" w:rsidR="004421F6" w:rsidRDefault="00F15622">
            <w:pPr>
              <w:textAlignment w:val="top"/>
            </w:pPr>
            <w:r>
              <w:rPr>
                <w:rFonts w:ascii="Arial" w:eastAsia="宋体" w:hAnsi="Arial" w:cs="Arial"/>
                <w:color w:val="000000"/>
                <w:sz w:val="17"/>
                <w:szCs w:val="17"/>
              </w:rPr>
              <w:t>3.1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D0271DB" w14:textId="77777777" w:rsidR="004421F6" w:rsidRDefault="00F15622">
            <w:pPr>
              <w:textAlignment w:val="bottom"/>
            </w:pPr>
            <w:hyperlink r:id="rId112" w:history="1">
              <w:r>
                <w:rPr>
                  <w:rStyle w:val="a5"/>
                  <w:rFonts w:ascii="Arial" w:eastAsia="宋体" w:hAnsi="Arial" w:cs="Arial"/>
                  <w:color w:val="000000"/>
                  <w:sz w:val="17"/>
                  <w:szCs w:val="17"/>
                  <w:u w:val="none"/>
                </w:rPr>
                <w:t xml:space="preserve">Restated Articles of Incorporation, as amended (incorporated by reference to Exhibit 3.1 to the Company's Quarterly Report on Form 10-Q for the fiscal </w:t>
              </w:r>
              <w:r>
                <w:rPr>
                  <w:rStyle w:val="a5"/>
                  <w:rFonts w:ascii="Arial" w:eastAsia="宋体" w:hAnsi="Arial" w:cs="Arial"/>
                  <w:color w:val="000000"/>
                  <w:sz w:val="17"/>
                  <w:szCs w:val="17"/>
                  <w:u w:val="none"/>
                </w:rPr>
                <w:t>quarter ended November 30, 2015).</w:t>
              </w:r>
            </w:hyperlink>
          </w:p>
        </w:tc>
      </w:tr>
      <w:tr w:rsidR="004421F6" w14:paraId="1D0271DF"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71DD" w14:textId="77777777" w:rsidR="004421F6" w:rsidRDefault="00F15622">
            <w:pPr>
              <w:textAlignment w:val="top"/>
            </w:pPr>
            <w:r>
              <w:rPr>
                <w:rFonts w:ascii="Arial" w:eastAsia="宋体" w:hAnsi="Arial" w:cs="Arial"/>
                <w:color w:val="000000"/>
                <w:sz w:val="17"/>
                <w:szCs w:val="17"/>
              </w:rPr>
              <w:t>3.2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71DE" w14:textId="77777777" w:rsidR="004421F6" w:rsidRDefault="00F15622">
            <w:pPr>
              <w:textAlignment w:val="bottom"/>
            </w:pPr>
            <w:hyperlink r:id="rId113" w:history="1">
              <w:r>
                <w:rPr>
                  <w:rStyle w:val="a5"/>
                  <w:rFonts w:ascii="Arial" w:eastAsia="宋体" w:hAnsi="Arial" w:cs="Arial"/>
                  <w:color w:val="000000"/>
                  <w:sz w:val="17"/>
                  <w:szCs w:val="17"/>
                  <w:u w:val="none"/>
                </w:rPr>
                <w:t>Fifth Restated Bylaws, as amended (incorporated by reference to Exhibit 3.</w:t>
              </w:r>
            </w:hyperlink>
            <w:hyperlink r:id="rId114" w:history="1">
              <w:r>
                <w:rPr>
                  <w:rStyle w:val="a5"/>
                  <w:rFonts w:ascii="Arial" w:eastAsia="宋体" w:hAnsi="Arial" w:cs="Arial"/>
                  <w:color w:val="000000"/>
                  <w:sz w:val="17"/>
                  <w:szCs w:val="17"/>
                  <w:u w:val="none"/>
                </w:rPr>
                <w:t>1</w:t>
              </w:r>
            </w:hyperlink>
            <w:hyperlink r:id="rId115" w:history="1">
              <w:r>
                <w:rPr>
                  <w:rStyle w:val="a5"/>
                  <w:rFonts w:ascii="Arial" w:eastAsia="宋体" w:hAnsi="Arial" w:cs="Arial"/>
                  <w:color w:val="000000"/>
                  <w:sz w:val="17"/>
                  <w:szCs w:val="17"/>
                  <w:u w:val="none"/>
                </w:rPr>
                <w:t xml:space="preserve"> to the Company's Current Report on Form 8-K filed </w:t>
              </w:r>
            </w:hyperlink>
            <w:hyperlink r:id="rId116" w:history="1">
              <w:r>
                <w:rPr>
                  <w:rStyle w:val="a5"/>
                  <w:rFonts w:ascii="Arial" w:eastAsia="宋体" w:hAnsi="Arial" w:cs="Arial"/>
                  <w:color w:val="000000"/>
                  <w:sz w:val="17"/>
                  <w:szCs w:val="17"/>
                  <w:u w:val="none"/>
                </w:rPr>
                <w:t>June 19, 2020</w:t>
              </w:r>
            </w:hyperlink>
            <w:hyperlink r:id="rId117" w:history="1">
              <w:r>
                <w:rPr>
                  <w:rStyle w:val="a5"/>
                  <w:rFonts w:ascii="Arial" w:eastAsia="宋体" w:hAnsi="Arial" w:cs="Arial"/>
                  <w:color w:val="000000"/>
                  <w:sz w:val="17"/>
                  <w:szCs w:val="17"/>
                  <w:u w:val="none"/>
                </w:rPr>
                <w:t>).</w:t>
              </w:r>
            </w:hyperlink>
          </w:p>
        </w:tc>
      </w:tr>
      <w:tr w:rsidR="004421F6" w14:paraId="1D0271E2"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71E0" w14:textId="77777777" w:rsidR="004421F6" w:rsidRDefault="00F15622">
            <w:pPr>
              <w:textAlignment w:val="top"/>
            </w:pPr>
            <w:r>
              <w:rPr>
                <w:rFonts w:ascii="Arial" w:eastAsia="宋体" w:hAnsi="Arial" w:cs="Arial"/>
                <w:color w:val="000000"/>
                <w:sz w:val="17"/>
                <w:szCs w:val="17"/>
              </w:rPr>
              <w:t>4.1</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71E1" w14:textId="77777777" w:rsidR="004421F6" w:rsidRDefault="00F15622">
            <w:pPr>
              <w:textAlignment w:val="bottom"/>
            </w:pPr>
            <w:hyperlink r:id="rId118" w:history="1">
              <w:r>
                <w:rPr>
                  <w:rStyle w:val="a5"/>
                  <w:rFonts w:ascii="Arial" w:eastAsia="宋体" w:hAnsi="Arial" w:cs="Arial"/>
                  <w:color w:val="000000"/>
                  <w:sz w:val="17"/>
                  <w:szCs w:val="17"/>
                  <w:u w:val="none"/>
                </w:rPr>
                <w:t>Restated Articles of Incorporation, as amended (see Exhibit 3.1).</w:t>
              </w:r>
            </w:hyperlink>
          </w:p>
        </w:tc>
      </w:tr>
      <w:tr w:rsidR="004421F6" w14:paraId="1D0271E5"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71E3" w14:textId="77777777" w:rsidR="004421F6" w:rsidRDefault="00F15622">
            <w:pPr>
              <w:textAlignment w:val="top"/>
            </w:pPr>
            <w:r>
              <w:rPr>
                <w:rFonts w:ascii="Arial" w:eastAsia="宋体" w:hAnsi="Arial" w:cs="Arial"/>
                <w:color w:val="000000"/>
                <w:sz w:val="17"/>
                <w:szCs w:val="17"/>
              </w:rPr>
              <w:t>4.2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71E4" w14:textId="77777777" w:rsidR="004421F6" w:rsidRDefault="00F15622">
            <w:pPr>
              <w:textAlignment w:val="bottom"/>
            </w:pPr>
            <w:hyperlink r:id="rId119" w:history="1">
              <w:r>
                <w:rPr>
                  <w:rStyle w:val="a5"/>
                  <w:rFonts w:ascii="Arial" w:eastAsia="宋体" w:hAnsi="Arial" w:cs="Arial"/>
                  <w:color w:val="000000"/>
                  <w:sz w:val="17"/>
                  <w:szCs w:val="17"/>
                  <w:u w:val="none"/>
                </w:rPr>
                <w:t>Fifth Restated Bylaws, as amended (see Exhibit 3.2).</w:t>
              </w:r>
            </w:hyperlink>
          </w:p>
        </w:tc>
      </w:tr>
      <w:tr w:rsidR="004421F6" w14:paraId="1D0271E8"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71E6" w14:textId="77777777" w:rsidR="004421F6" w:rsidRDefault="00F15622">
            <w:pPr>
              <w:textAlignment w:val="top"/>
            </w:pPr>
            <w:r>
              <w:rPr>
                <w:rFonts w:ascii="Arial" w:eastAsia="宋体" w:hAnsi="Arial" w:cs="Arial"/>
                <w:color w:val="000000"/>
                <w:sz w:val="17"/>
                <w:szCs w:val="17"/>
              </w:rPr>
              <w:t>31.1†</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71E7" w14:textId="77777777" w:rsidR="004421F6" w:rsidRDefault="00F15622">
            <w:pPr>
              <w:textAlignment w:val="bottom"/>
            </w:pPr>
            <w:hyperlink r:id="rId120" w:history="1">
              <w:r>
                <w:rPr>
                  <w:rStyle w:val="a5"/>
                  <w:rFonts w:ascii="Arial" w:eastAsia="宋体" w:hAnsi="Arial" w:cs="Arial"/>
                  <w:color w:val="000000"/>
                  <w:sz w:val="17"/>
                  <w:szCs w:val="17"/>
                  <w:u w:val="none"/>
                </w:rPr>
                <w:t>Rule 13a-14(a)/15d-14(a) Certification of Chief Executive Officer.</w:t>
              </w:r>
            </w:hyperlink>
          </w:p>
        </w:tc>
      </w:tr>
      <w:tr w:rsidR="004421F6" w14:paraId="1D0271EB"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71E9" w14:textId="77777777" w:rsidR="004421F6" w:rsidRDefault="00F15622">
            <w:pPr>
              <w:textAlignment w:val="top"/>
            </w:pPr>
            <w:r>
              <w:rPr>
                <w:rFonts w:ascii="Arial" w:eastAsia="宋体" w:hAnsi="Arial" w:cs="Arial"/>
                <w:color w:val="000000"/>
                <w:sz w:val="17"/>
                <w:szCs w:val="17"/>
              </w:rPr>
              <w:t>31.2†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71EA" w14:textId="77777777" w:rsidR="004421F6" w:rsidRDefault="00F15622">
            <w:pPr>
              <w:textAlignment w:val="bottom"/>
            </w:pPr>
            <w:hyperlink r:id="rId121" w:history="1">
              <w:r>
                <w:rPr>
                  <w:rStyle w:val="a5"/>
                  <w:rFonts w:ascii="Arial" w:eastAsia="宋体" w:hAnsi="Arial" w:cs="Arial"/>
                  <w:color w:val="000000"/>
                  <w:sz w:val="17"/>
                  <w:szCs w:val="17"/>
                  <w:u w:val="none"/>
                </w:rPr>
                <w:t>Rule 13a-14(a)/15d-14(a) Certification of Chief Financia</w:t>
              </w:r>
              <w:r>
                <w:rPr>
                  <w:rStyle w:val="a5"/>
                  <w:rFonts w:ascii="Arial" w:eastAsia="宋体" w:hAnsi="Arial" w:cs="Arial"/>
                  <w:color w:val="000000"/>
                  <w:sz w:val="17"/>
                  <w:szCs w:val="17"/>
                  <w:u w:val="none"/>
                </w:rPr>
                <w:t>l Officer.</w:t>
              </w:r>
            </w:hyperlink>
          </w:p>
        </w:tc>
      </w:tr>
      <w:tr w:rsidR="004421F6" w14:paraId="1D0271EE"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71EC" w14:textId="77777777" w:rsidR="004421F6" w:rsidRDefault="00F15622">
            <w:pPr>
              <w:textAlignment w:val="top"/>
            </w:pPr>
            <w:r>
              <w:rPr>
                <w:rFonts w:ascii="Arial" w:eastAsia="宋体" w:hAnsi="Arial" w:cs="Arial"/>
                <w:color w:val="000000"/>
                <w:sz w:val="17"/>
                <w:szCs w:val="17"/>
              </w:rPr>
              <w:t>32.1†</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71ED" w14:textId="77777777" w:rsidR="004421F6" w:rsidRDefault="00F15622">
            <w:pPr>
              <w:textAlignment w:val="bottom"/>
            </w:pPr>
            <w:hyperlink r:id="rId122" w:history="1">
              <w:r>
                <w:rPr>
                  <w:rStyle w:val="a5"/>
                  <w:rFonts w:ascii="Arial" w:eastAsia="宋体" w:hAnsi="Arial" w:cs="Arial"/>
                  <w:color w:val="000000"/>
                  <w:sz w:val="17"/>
                  <w:szCs w:val="17"/>
                  <w:u w:val="none"/>
                </w:rPr>
                <w:t>Section 1350 Certificate of Chief Executive Officer.</w:t>
              </w:r>
            </w:hyperlink>
          </w:p>
        </w:tc>
      </w:tr>
      <w:tr w:rsidR="004421F6" w14:paraId="1D0271F1"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71EF" w14:textId="77777777" w:rsidR="004421F6" w:rsidRDefault="00F15622">
            <w:pPr>
              <w:textAlignment w:val="top"/>
            </w:pPr>
            <w:r>
              <w:rPr>
                <w:rFonts w:ascii="Arial" w:eastAsia="宋体" w:hAnsi="Arial" w:cs="Arial"/>
                <w:color w:val="000000"/>
                <w:sz w:val="17"/>
                <w:szCs w:val="17"/>
              </w:rPr>
              <w:t>32.2†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71F0" w14:textId="77777777" w:rsidR="004421F6" w:rsidRDefault="00F15622">
            <w:pPr>
              <w:textAlignment w:val="bottom"/>
            </w:pPr>
            <w:hyperlink r:id="rId123" w:history="1">
              <w:r>
                <w:rPr>
                  <w:rStyle w:val="a5"/>
                  <w:rFonts w:ascii="Arial" w:eastAsia="宋体" w:hAnsi="Arial" w:cs="Arial"/>
                  <w:color w:val="000000"/>
                  <w:sz w:val="17"/>
                  <w:szCs w:val="17"/>
                  <w:u w:val="none"/>
                </w:rPr>
                <w:t>Section 1350 Certificate of Chief Financial Officer.</w:t>
              </w:r>
            </w:hyperlink>
          </w:p>
        </w:tc>
      </w:tr>
      <w:tr w:rsidR="004421F6" w14:paraId="1D0271F4"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71F2" w14:textId="77777777" w:rsidR="004421F6" w:rsidRDefault="00F15622">
            <w:pPr>
              <w:textAlignment w:val="top"/>
            </w:pPr>
            <w:r>
              <w:rPr>
                <w:rFonts w:ascii="Arial" w:eastAsia="宋体" w:hAnsi="Arial" w:cs="Arial"/>
                <w:color w:val="000000"/>
                <w:sz w:val="17"/>
                <w:szCs w:val="17"/>
              </w:rPr>
              <w:t>101.INS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71F3" w14:textId="77777777" w:rsidR="004421F6" w:rsidRDefault="00F15622">
            <w:pPr>
              <w:textAlignment w:val="bottom"/>
            </w:pPr>
            <w:r>
              <w:rPr>
                <w:rFonts w:ascii="Arial" w:eastAsia="宋体" w:hAnsi="Arial" w:cs="Arial"/>
                <w:color w:val="000000"/>
                <w:sz w:val="17"/>
                <w:szCs w:val="17"/>
              </w:rPr>
              <w:t>XBRL Instance Document.</w:t>
            </w:r>
          </w:p>
        </w:tc>
      </w:tr>
      <w:tr w:rsidR="004421F6" w14:paraId="1D0271F7"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71F5" w14:textId="77777777" w:rsidR="004421F6" w:rsidRDefault="00F15622">
            <w:pPr>
              <w:textAlignment w:val="top"/>
            </w:pPr>
            <w:r>
              <w:rPr>
                <w:rFonts w:ascii="Arial" w:eastAsia="宋体" w:hAnsi="Arial" w:cs="Arial"/>
                <w:color w:val="000000"/>
                <w:sz w:val="17"/>
                <w:szCs w:val="17"/>
              </w:rPr>
              <w:t>101.SCH</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71F6" w14:textId="77777777" w:rsidR="004421F6" w:rsidRDefault="00F15622">
            <w:pPr>
              <w:textAlignment w:val="bottom"/>
            </w:pPr>
            <w:r>
              <w:rPr>
                <w:rFonts w:ascii="Arial" w:eastAsia="宋体" w:hAnsi="Arial" w:cs="Arial"/>
                <w:color w:val="000000"/>
                <w:sz w:val="17"/>
                <w:szCs w:val="17"/>
              </w:rPr>
              <w:t>XBRL Taxonomy Extension Schema Document.</w:t>
            </w:r>
          </w:p>
        </w:tc>
      </w:tr>
      <w:tr w:rsidR="004421F6" w14:paraId="1D0271FA"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71F8" w14:textId="77777777" w:rsidR="004421F6" w:rsidRDefault="00F15622">
            <w:pPr>
              <w:textAlignment w:val="top"/>
            </w:pPr>
            <w:r>
              <w:rPr>
                <w:rFonts w:ascii="Arial" w:eastAsia="宋体" w:hAnsi="Arial" w:cs="Arial"/>
                <w:color w:val="000000"/>
                <w:sz w:val="17"/>
                <w:szCs w:val="17"/>
              </w:rPr>
              <w:t>101.CAL</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71F9" w14:textId="77777777" w:rsidR="004421F6" w:rsidRDefault="00F15622">
            <w:pPr>
              <w:textAlignment w:val="bottom"/>
            </w:pPr>
            <w:r>
              <w:rPr>
                <w:rFonts w:ascii="Arial" w:eastAsia="宋体" w:hAnsi="Arial" w:cs="Arial"/>
                <w:color w:val="000000"/>
                <w:sz w:val="17"/>
                <w:szCs w:val="17"/>
              </w:rPr>
              <w:t xml:space="preserve">XBRL Taxonomy Extension Calculation Linkbase </w:t>
            </w:r>
            <w:r>
              <w:rPr>
                <w:rFonts w:ascii="Arial" w:eastAsia="宋体" w:hAnsi="Arial" w:cs="Arial"/>
                <w:color w:val="000000"/>
                <w:sz w:val="17"/>
                <w:szCs w:val="17"/>
              </w:rPr>
              <w:t>Document.</w:t>
            </w:r>
          </w:p>
        </w:tc>
      </w:tr>
      <w:tr w:rsidR="004421F6" w14:paraId="1D0271FD"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71FB" w14:textId="77777777" w:rsidR="004421F6" w:rsidRDefault="00F15622">
            <w:pPr>
              <w:textAlignment w:val="top"/>
            </w:pPr>
            <w:r>
              <w:rPr>
                <w:rFonts w:ascii="Arial" w:eastAsia="宋体" w:hAnsi="Arial" w:cs="Arial"/>
                <w:color w:val="000000"/>
                <w:sz w:val="17"/>
                <w:szCs w:val="17"/>
              </w:rPr>
              <w:t>101.DEF</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71FC" w14:textId="77777777" w:rsidR="004421F6" w:rsidRDefault="00F15622">
            <w:pPr>
              <w:textAlignment w:val="bottom"/>
            </w:pPr>
            <w:r>
              <w:rPr>
                <w:rFonts w:ascii="Arial" w:eastAsia="宋体" w:hAnsi="Arial" w:cs="Arial"/>
                <w:color w:val="000000"/>
                <w:sz w:val="17"/>
                <w:szCs w:val="17"/>
              </w:rPr>
              <w:t>XBRL Taxonomy Extension Definition Document.</w:t>
            </w:r>
          </w:p>
        </w:tc>
      </w:tr>
      <w:tr w:rsidR="004421F6" w14:paraId="1D027200"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71FE" w14:textId="77777777" w:rsidR="004421F6" w:rsidRDefault="00F15622">
            <w:pPr>
              <w:textAlignment w:val="top"/>
            </w:pPr>
            <w:r>
              <w:rPr>
                <w:rFonts w:ascii="Arial" w:eastAsia="宋体" w:hAnsi="Arial" w:cs="Arial"/>
                <w:color w:val="000000"/>
                <w:sz w:val="17"/>
                <w:szCs w:val="17"/>
              </w:rPr>
              <w:t>101.LAB</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71FF" w14:textId="77777777" w:rsidR="004421F6" w:rsidRDefault="00F15622">
            <w:pPr>
              <w:textAlignment w:val="bottom"/>
            </w:pPr>
            <w:r>
              <w:rPr>
                <w:rFonts w:ascii="Arial" w:eastAsia="宋体" w:hAnsi="Arial" w:cs="Arial"/>
                <w:color w:val="000000"/>
                <w:sz w:val="17"/>
                <w:szCs w:val="17"/>
              </w:rPr>
              <w:t>XBRL Taxonomy Extension Label Linkbase Document.</w:t>
            </w:r>
          </w:p>
        </w:tc>
      </w:tr>
      <w:tr w:rsidR="004421F6" w14:paraId="1D027203"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7201" w14:textId="77777777" w:rsidR="004421F6" w:rsidRDefault="00F15622">
            <w:pPr>
              <w:textAlignment w:val="top"/>
            </w:pPr>
            <w:r>
              <w:rPr>
                <w:rFonts w:ascii="Arial" w:eastAsia="宋体" w:hAnsi="Arial" w:cs="Arial"/>
                <w:color w:val="000000"/>
                <w:sz w:val="17"/>
                <w:szCs w:val="17"/>
              </w:rPr>
              <w:t>101.PRE</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7202" w14:textId="77777777" w:rsidR="004421F6" w:rsidRDefault="00F15622">
            <w:pPr>
              <w:textAlignment w:val="bottom"/>
            </w:pPr>
            <w:r>
              <w:rPr>
                <w:rFonts w:ascii="Arial" w:eastAsia="宋体" w:hAnsi="Arial" w:cs="Arial"/>
                <w:color w:val="000000"/>
                <w:sz w:val="17"/>
                <w:szCs w:val="17"/>
              </w:rPr>
              <w:t>XBRL Taxonomy Extension Presentation Linkbase Document.</w:t>
            </w:r>
          </w:p>
        </w:tc>
      </w:tr>
      <w:tr w:rsidR="004421F6" w14:paraId="1D027206"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tcPr>
          <w:p w14:paraId="1D027204" w14:textId="77777777" w:rsidR="004421F6" w:rsidRDefault="00F15622">
            <w:pPr>
              <w:textAlignment w:val="top"/>
            </w:pPr>
            <w:r>
              <w:rPr>
                <w:rFonts w:ascii="Arial" w:eastAsia="宋体" w:hAnsi="Arial" w:cs="Arial"/>
                <w:color w:val="000000"/>
                <w:sz w:val="17"/>
                <w:szCs w:val="17"/>
              </w:rPr>
              <w:t>104</w:t>
            </w: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1D027205" w14:textId="77777777" w:rsidR="004421F6" w:rsidRDefault="00F15622">
            <w:pPr>
              <w:textAlignment w:val="bottom"/>
            </w:pPr>
            <w:r>
              <w:rPr>
                <w:rFonts w:ascii="Arial" w:eastAsia="宋体" w:hAnsi="Arial" w:cs="Arial"/>
                <w:color w:val="000000"/>
                <w:sz w:val="17"/>
                <w:szCs w:val="17"/>
              </w:rPr>
              <w:t xml:space="preserve">Cover Page Interactive Data File (formatted in iXBRL </w:t>
            </w:r>
            <w:r>
              <w:rPr>
                <w:rFonts w:ascii="Arial" w:eastAsia="宋体" w:hAnsi="Arial" w:cs="Arial"/>
                <w:color w:val="000000"/>
                <w:sz w:val="17"/>
                <w:szCs w:val="17"/>
              </w:rPr>
              <w:t>Exhibit 101)</w:t>
            </w:r>
          </w:p>
        </w:tc>
      </w:tr>
    </w:tbl>
    <w:p w14:paraId="1D027207" w14:textId="77777777" w:rsidR="004421F6" w:rsidRDefault="00F15622">
      <w:pPr>
        <w:spacing w:before="120" w:after="120"/>
      </w:pPr>
      <w:r>
        <w:rPr>
          <w:rFonts w:ascii="Arial" w:eastAsia="宋体" w:hAnsi="Arial" w:cs="Arial"/>
          <w:color w:val="000000"/>
          <w:sz w:val="17"/>
          <w:szCs w:val="17"/>
        </w:rPr>
        <w:t>†</w:t>
      </w:r>
      <w:r>
        <w:rPr>
          <w:rFonts w:ascii="Arial" w:eastAsia="宋体" w:hAnsi="Arial" w:cs="Arial"/>
          <w:i/>
          <w:iCs/>
          <w:color w:val="000000"/>
          <w:sz w:val="17"/>
          <w:szCs w:val="17"/>
        </w:rPr>
        <w:t xml:space="preserve"> Furnished herewith</w:t>
      </w:r>
    </w:p>
    <w:p w14:paraId="1D027208" w14:textId="77777777" w:rsidR="004421F6" w:rsidRDefault="00F15622">
      <w:pPr>
        <w:spacing w:before="120" w:after="120"/>
        <w:jc w:val="right"/>
      </w:pPr>
      <w:r>
        <w:rPr>
          <w:rFonts w:ascii="Arial" w:eastAsia="宋体" w:hAnsi="Arial" w:cs="Arial"/>
          <w:color w:val="E87722"/>
          <w:sz w:val="17"/>
          <w:szCs w:val="17"/>
        </w:rPr>
        <w:t>41</w:t>
      </w:r>
    </w:p>
    <w:p w14:paraId="1D027209" w14:textId="77777777" w:rsidR="004421F6" w:rsidRDefault="00F15622">
      <w:r>
        <w:pict w14:anchorId="1D0272A4">
          <v:rect id="_x0000_i1067" style="width:415.3pt;height:1.5pt" o:hralign="center" o:hrstd="t" o:hr="t" fillcolor="#a0a0a0" stroked="f"/>
        </w:pict>
      </w:r>
    </w:p>
    <w:p w14:paraId="1D02720A" w14:textId="77777777" w:rsidR="004421F6" w:rsidRDefault="004421F6"/>
    <w:p w14:paraId="1D02720B" w14:textId="77777777" w:rsidR="004421F6" w:rsidRDefault="00F15622">
      <w:hyperlink r:id="rId124" w:anchor="i3e524f2e23844e81ba9d33a05ac3917c_7" w:history="1">
        <w:r>
          <w:rPr>
            <w:rStyle w:val="a5"/>
            <w:rFonts w:ascii="sans-serif" w:eastAsia="sans-serif" w:hAnsi="sans-serif" w:cs="sans-serif"/>
            <w:sz w:val="17"/>
            <w:szCs w:val="17"/>
          </w:rPr>
          <w:t>Table of Contents</w:t>
        </w:r>
      </w:hyperlink>
    </w:p>
    <w:p w14:paraId="1D02720C" w14:textId="77777777" w:rsidR="004421F6" w:rsidRDefault="004421F6"/>
    <w:p w14:paraId="1D02720D" w14:textId="77777777" w:rsidR="004421F6" w:rsidRDefault="00F15622">
      <w:pPr>
        <w:spacing w:before="360" w:after="180"/>
      </w:pPr>
      <w:r>
        <w:rPr>
          <w:rFonts w:ascii="sans-serif" w:eastAsia="sans-serif" w:hAnsi="sans-serif" w:cs="sans-serif"/>
          <w:color w:val="000000"/>
          <w:sz w:val="44"/>
          <w:szCs w:val="44"/>
        </w:rPr>
        <w:t>SIGNATURES</w:t>
      </w:r>
    </w:p>
    <w:p w14:paraId="1D02720E" w14:textId="77777777" w:rsidR="004421F6" w:rsidRDefault="00F15622">
      <w:pPr>
        <w:spacing w:before="120"/>
      </w:pPr>
      <w:r>
        <w:rPr>
          <w:rFonts w:ascii="Arial" w:eastAsia="宋体" w:hAnsi="Arial" w:cs="Arial"/>
          <w:color w:val="000000"/>
          <w:sz w:val="17"/>
          <w:szCs w:val="17"/>
        </w:rPr>
        <w:t>Pursuant to the requirements of the Securities Exchange Act of 1934, the r</w:t>
      </w:r>
      <w:r>
        <w:rPr>
          <w:rFonts w:ascii="Arial" w:eastAsia="宋体" w:hAnsi="Arial" w:cs="Arial"/>
          <w:color w:val="000000"/>
          <w:sz w:val="17"/>
          <w:szCs w:val="17"/>
        </w:rPr>
        <w:t>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58"/>
        <w:gridCol w:w="36"/>
        <w:gridCol w:w="36"/>
        <w:gridCol w:w="81"/>
        <w:gridCol w:w="36"/>
        <w:gridCol w:w="60"/>
        <w:gridCol w:w="7395"/>
        <w:gridCol w:w="37"/>
        <w:gridCol w:w="36"/>
        <w:gridCol w:w="36"/>
        <w:gridCol w:w="36"/>
        <w:gridCol w:w="36"/>
        <w:gridCol w:w="36"/>
        <w:gridCol w:w="36"/>
      </w:tblGrid>
      <w:tr w:rsidR="004421F6" w14:paraId="1D027218" w14:textId="77777777">
        <w:trPr>
          <w:gridAfter w:val="6"/>
        </w:trPr>
        <w:tc>
          <w:tcPr>
            <w:tcW w:w="50" w:type="pct"/>
            <w:shd w:val="clear" w:color="auto" w:fill="auto"/>
          </w:tcPr>
          <w:p w14:paraId="1D02720F" w14:textId="77777777" w:rsidR="004421F6" w:rsidRDefault="004421F6">
            <w:pPr>
              <w:rPr>
                <w:rFonts w:ascii="宋体"/>
              </w:rPr>
            </w:pPr>
          </w:p>
        </w:tc>
        <w:tc>
          <w:tcPr>
            <w:tcW w:w="222" w:type="pct"/>
            <w:shd w:val="clear" w:color="auto" w:fill="auto"/>
          </w:tcPr>
          <w:p w14:paraId="1D027210" w14:textId="77777777" w:rsidR="004421F6" w:rsidRDefault="004421F6">
            <w:pPr>
              <w:rPr>
                <w:rFonts w:ascii="宋体"/>
              </w:rPr>
            </w:pPr>
          </w:p>
        </w:tc>
        <w:tc>
          <w:tcPr>
            <w:tcW w:w="5" w:type="pct"/>
            <w:shd w:val="clear" w:color="auto" w:fill="auto"/>
          </w:tcPr>
          <w:p w14:paraId="1D027211" w14:textId="77777777" w:rsidR="004421F6" w:rsidRDefault="004421F6">
            <w:pPr>
              <w:rPr>
                <w:rFonts w:ascii="宋体"/>
              </w:rPr>
            </w:pPr>
          </w:p>
        </w:tc>
        <w:tc>
          <w:tcPr>
            <w:tcW w:w="5" w:type="pct"/>
            <w:shd w:val="clear" w:color="auto" w:fill="auto"/>
          </w:tcPr>
          <w:p w14:paraId="1D027212" w14:textId="77777777" w:rsidR="004421F6" w:rsidRDefault="004421F6">
            <w:pPr>
              <w:rPr>
                <w:rFonts w:ascii="宋体"/>
              </w:rPr>
            </w:pPr>
          </w:p>
        </w:tc>
        <w:tc>
          <w:tcPr>
            <w:tcW w:w="90" w:type="pct"/>
            <w:shd w:val="clear" w:color="auto" w:fill="auto"/>
          </w:tcPr>
          <w:p w14:paraId="1D027213" w14:textId="77777777" w:rsidR="004421F6" w:rsidRDefault="004421F6">
            <w:pPr>
              <w:rPr>
                <w:rFonts w:ascii="宋体"/>
              </w:rPr>
            </w:pPr>
          </w:p>
        </w:tc>
        <w:tc>
          <w:tcPr>
            <w:tcW w:w="5" w:type="pct"/>
            <w:shd w:val="clear" w:color="auto" w:fill="auto"/>
          </w:tcPr>
          <w:p w14:paraId="1D027214" w14:textId="77777777" w:rsidR="004421F6" w:rsidRDefault="004421F6">
            <w:pPr>
              <w:rPr>
                <w:rFonts w:ascii="宋体"/>
              </w:rPr>
            </w:pPr>
          </w:p>
        </w:tc>
        <w:tc>
          <w:tcPr>
            <w:tcW w:w="50" w:type="pct"/>
            <w:shd w:val="clear" w:color="auto" w:fill="auto"/>
          </w:tcPr>
          <w:p w14:paraId="1D027215" w14:textId="77777777" w:rsidR="004421F6" w:rsidRDefault="004421F6">
            <w:pPr>
              <w:rPr>
                <w:rFonts w:ascii="宋体"/>
              </w:rPr>
            </w:pPr>
          </w:p>
        </w:tc>
        <w:tc>
          <w:tcPr>
            <w:tcW w:w="4566" w:type="pct"/>
            <w:shd w:val="clear" w:color="auto" w:fill="auto"/>
          </w:tcPr>
          <w:p w14:paraId="1D027216" w14:textId="77777777" w:rsidR="004421F6" w:rsidRDefault="004421F6">
            <w:pPr>
              <w:rPr>
                <w:rFonts w:ascii="宋体"/>
              </w:rPr>
            </w:pPr>
          </w:p>
        </w:tc>
        <w:tc>
          <w:tcPr>
            <w:tcW w:w="5" w:type="pct"/>
            <w:shd w:val="clear" w:color="auto" w:fill="auto"/>
          </w:tcPr>
          <w:p w14:paraId="1D027217" w14:textId="77777777" w:rsidR="004421F6" w:rsidRDefault="004421F6">
            <w:pPr>
              <w:rPr>
                <w:rFonts w:ascii="宋体"/>
              </w:rPr>
            </w:pPr>
          </w:p>
        </w:tc>
      </w:tr>
      <w:tr w:rsidR="004421F6" w14:paraId="1D02721D" w14:textId="77777777">
        <w:tc>
          <w:tcPr>
            <w:tcW w:w="0" w:type="auto"/>
            <w:gridSpan w:val="9"/>
            <w:shd w:val="clear" w:color="auto" w:fill="auto"/>
            <w:tcMar>
              <w:top w:w="40" w:type="dxa"/>
              <w:left w:w="20" w:type="dxa"/>
              <w:bottom w:w="40" w:type="dxa"/>
              <w:right w:w="20" w:type="dxa"/>
            </w:tcMar>
            <w:vAlign w:val="bottom"/>
          </w:tcPr>
          <w:p w14:paraId="1D027219" w14:textId="77777777" w:rsidR="004421F6" w:rsidRDefault="00F15622">
            <w:pPr>
              <w:textAlignment w:val="bottom"/>
            </w:pPr>
            <w:r>
              <w:rPr>
                <w:rFonts w:ascii="Arial" w:eastAsia="宋体" w:hAnsi="Arial" w:cs="Arial"/>
                <w:b/>
                <w:bCs/>
                <w:color w:val="000000"/>
                <w:sz w:val="17"/>
                <w:szCs w:val="17"/>
              </w:rPr>
              <w:t xml:space="preserve">NIKE, INC. </w:t>
            </w:r>
          </w:p>
          <w:p w14:paraId="1D02721A" w14:textId="77777777" w:rsidR="004421F6" w:rsidRDefault="00F15622">
            <w:pPr>
              <w:textAlignment w:val="bottom"/>
            </w:pPr>
            <w:r>
              <w:rPr>
                <w:rFonts w:ascii="Arial" w:eastAsia="宋体" w:hAnsi="Arial" w:cs="Arial"/>
                <w:b/>
                <w:bCs/>
                <w:color w:val="000000"/>
                <w:sz w:val="17"/>
                <w:szCs w:val="17"/>
              </w:rPr>
              <w:t>an Oregon Corporation</w:t>
            </w:r>
          </w:p>
        </w:tc>
        <w:tc>
          <w:tcPr>
            <w:tcW w:w="0" w:type="auto"/>
            <w:gridSpan w:val="3"/>
            <w:shd w:val="clear" w:color="auto" w:fill="auto"/>
          </w:tcPr>
          <w:p w14:paraId="1D02721B" w14:textId="77777777" w:rsidR="004421F6" w:rsidRDefault="004421F6">
            <w:pPr>
              <w:rPr>
                <w:rFonts w:ascii="宋体"/>
                <w:vanish/>
              </w:rPr>
            </w:pPr>
          </w:p>
        </w:tc>
        <w:tc>
          <w:tcPr>
            <w:tcW w:w="0" w:type="auto"/>
            <w:gridSpan w:val="3"/>
            <w:shd w:val="clear" w:color="auto" w:fill="auto"/>
          </w:tcPr>
          <w:p w14:paraId="1D02721C" w14:textId="77777777" w:rsidR="004421F6" w:rsidRDefault="004421F6">
            <w:pPr>
              <w:rPr>
                <w:rFonts w:ascii="宋体"/>
                <w:vanish/>
              </w:rPr>
            </w:pPr>
          </w:p>
        </w:tc>
      </w:tr>
      <w:tr w:rsidR="004421F6" w14:paraId="1D027229" w14:textId="77777777">
        <w:tc>
          <w:tcPr>
            <w:tcW w:w="0" w:type="auto"/>
            <w:gridSpan w:val="3"/>
            <w:tcBorders>
              <w:top w:val="single" w:sz="8" w:space="0" w:color="808080"/>
            </w:tcBorders>
            <w:shd w:val="clear" w:color="auto" w:fill="auto"/>
            <w:tcMar>
              <w:top w:w="40" w:type="dxa"/>
              <w:left w:w="20" w:type="dxa"/>
              <w:bottom w:w="40" w:type="dxa"/>
              <w:right w:w="20" w:type="dxa"/>
            </w:tcMar>
          </w:tcPr>
          <w:p w14:paraId="1D02721E" w14:textId="77777777" w:rsidR="004421F6" w:rsidRDefault="00F15622">
            <w:pPr>
              <w:textAlignment w:val="top"/>
            </w:pPr>
            <w:r>
              <w:rPr>
                <w:rFonts w:ascii="Arial" w:eastAsia="宋体" w:hAnsi="Arial" w:cs="Arial"/>
                <w:color w:val="000000"/>
                <w:sz w:val="17"/>
                <w:szCs w:val="17"/>
              </w:rPr>
              <w:t>By:</w:t>
            </w:r>
          </w:p>
        </w:tc>
        <w:tc>
          <w:tcPr>
            <w:tcW w:w="0" w:type="auto"/>
            <w:gridSpan w:val="3"/>
            <w:tcBorders>
              <w:top w:val="single" w:sz="8" w:space="0" w:color="808080"/>
            </w:tcBorders>
            <w:shd w:val="clear" w:color="auto" w:fill="auto"/>
            <w:tcMar>
              <w:left w:w="20" w:type="dxa"/>
              <w:right w:w="20" w:type="dxa"/>
            </w:tcMar>
            <w:vAlign w:val="bottom"/>
          </w:tcPr>
          <w:p w14:paraId="1D02721F" w14:textId="77777777" w:rsidR="004421F6" w:rsidRDefault="004421F6">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1D027220" w14:textId="77777777" w:rsidR="004421F6" w:rsidRDefault="00F15622">
            <w:pPr>
              <w:textAlignment w:val="bottom"/>
            </w:pPr>
            <w:r>
              <w:rPr>
                <w:rFonts w:ascii="Arial" w:eastAsia="宋体" w:hAnsi="Arial" w:cs="Arial"/>
                <w:color w:val="000000"/>
                <w:sz w:val="17"/>
                <w:szCs w:val="17"/>
              </w:rPr>
              <w:t>/s/ MATTHEW FRIEND</w:t>
            </w:r>
          </w:p>
          <w:p w14:paraId="1D027221" w14:textId="77777777" w:rsidR="004421F6" w:rsidRDefault="00F15622">
            <w:pPr>
              <w:textAlignment w:val="bottom"/>
            </w:pPr>
            <w:r>
              <w:rPr>
                <w:rFonts w:ascii="Arial" w:eastAsia="宋体" w:hAnsi="Arial" w:cs="Arial"/>
                <w:b/>
                <w:bCs/>
                <w:color w:val="000000"/>
                <w:sz w:val="17"/>
                <w:szCs w:val="17"/>
              </w:rPr>
              <w:t>Matthew Friend</w:t>
            </w:r>
          </w:p>
          <w:p w14:paraId="1D027222" w14:textId="77777777" w:rsidR="004421F6" w:rsidRDefault="00F15622">
            <w:pPr>
              <w:textAlignment w:val="bottom"/>
            </w:pPr>
            <w:r>
              <w:rPr>
                <w:rFonts w:ascii="Arial" w:eastAsia="宋体" w:hAnsi="Arial" w:cs="Arial"/>
                <w:color w:val="000000"/>
                <w:sz w:val="17"/>
                <w:szCs w:val="17"/>
              </w:rPr>
              <w:t>Chief Financial Officer and Authorized Officer</w:t>
            </w:r>
          </w:p>
        </w:tc>
        <w:tc>
          <w:tcPr>
            <w:tcW w:w="0" w:type="auto"/>
            <w:shd w:val="clear" w:color="auto" w:fill="auto"/>
          </w:tcPr>
          <w:p w14:paraId="1D027223" w14:textId="77777777" w:rsidR="004421F6" w:rsidRDefault="004421F6">
            <w:pPr>
              <w:rPr>
                <w:rFonts w:ascii="宋体"/>
              </w:rPr>
            </w:pPr>
          </w:p>
        </w:tc>
        <w:tc>
          <w:tcPr>
            <w:tcW w:w="0" w:type="auto"/>
            <w:shd w:val="clear" w:color="auto" w:fill="auto"/>
          </w:tcPr>
          <w:p w14:paraId="1D027224" w14:textId="77777777" w:rsidR="004421F6" w:rsidRDefault="004421F6">
            <w:pPr>
              <w:rPr>
                <w:rFonts w:ascii="宋体"/>
              </w:rPr>
            </w:pPr>
          </w:p>
        </w:tc>
        <w:tc>
          <w:tcPr>
            <w:tcW w:w="0" w:type="auto"/>
            <w:shd w:val="clear" w:color="auto" w:fill="auto"/>
          </w:tcPr>
          <w:p w14:paraId="1D027225" w14:textId="77777777" w:rsidR="004421F6" w:rsidRDefault="004421F6">
            <w:pPr>
              <w:rPr>
                <w:rFonts w:ascii="宋体"/>
              </w:rPr>
            </w:pPr>
          </w:p>
        </w:tc>
        <w:tc>
          <w:tcPr>
            <w:tcW w:w="0" w:type="auto"/>
            <w:shd w:val="clear" w:color="auto" w:fill="auto"/>
          </w:tcPr>
          <w:p w14:paraId="1D027226" w14:textId="77777777" w:rsidR="004421F6" w:rsidRDefault="004421F6">
            <w:pPr>
              <w:rPr>
                <w:rFonts w:ascii="宋体"/>
              </w:rPr>
            </w:pPr>
          </w:p>
        </w:tc>
        <w:tc>
          <w:tcPr>
            <w:tcW w:w="0" w:type="auto"/>
            <w:shd w:val="clear" w:color="auto" w:fill="auto"/>
          </w:tcPr>
          <w:p w14:paraId="1D027227" w14:textId="77777777" w:rsidR="004421F6" w:rsidRDefault="004421F6">
            <w:pPr>
              <w:rPr>
                <w:rFonts w:ascii="宋体"/>
              </w:rPr>
            </w:pPr>
          </w:p>
        </w:tc>
        <w:tc>
          <w:tcPr>
            <w:tcW w:w="0" w:type="auto"/>
            <w:shd w:val="clear" w:color="auto" w:fill="auto"/>
          </w:tcPr>
          <w:p w14:paraId="1D027228" w14:textId="77777777" w:rsidR="004421F6" w:rsidRDefault="004421F6">
            <w:pPr>
              <w:rPr>
                <w:rFonts w:ascii="宋体"/>
              </w:rPr>
            </w:pPr>
          </w:p>
        </w:tc>
      </w:tr>
      <w:tr w:rsidR="004421F6" w14:paraId="1D027233" w14:textId="77777777">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1D02722A" w14:textId="77777777" w:rsidR="004421F6" w:rsidRDefault="00F15622">
            <w:pPr>
              <w:textAlignment w:val="bottom"/>
            </w:pPr>
            <w:r>
              <w:rPr>
                <w:rFonts w:ascii="Arial" w:eastAsia="宋体" w:hAnsi="Arial" w:cs="Arial"/>
                <w:color w:val="000000"/>
                <w:sz w:val="17"/>
                <w:szCs w:val="17"/>
              </w:rPr>
              <w:t>Date:</w:t>
            </w:r>
          </w:p>
        </w:tc>
        <w:tc>
          <w:tcPr>
            <w:tcW w:w="0" w:type="auto"/>
            <w:gridSpan w:val="3"/>
            <w:tcBorders>
              <w:bottom w:val="single" w:sz="8" w:space="0" w:color="808080"/>
            </w:tcBorders>
            <w:shd w:val="clear" w:color="auto" w:fill="auto"/>
            <w:tcMar>
              <w:left w:w="20" w:type="dxa"/>
              <w:right w:w="20" w:type="dxa"/>
            </w:tcMar>
            <w:vAlign w:val="bottom"/>
          </w:tcPr>
          <w:p w14:paraId="1D02722B" w14:textId="77777777" w:rsidR="004421F6" w:rsidRDefault="004421F6">
            <w:pPr>
              <w:rPr>
                <w:rFonts w:ascii="宋体"/>
              </w:rPr>
            </w:pP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1D02722C" w14:textId="77777777" w:rsidR="004421F6" w:rsidRDefault="00F15622">
            <w:pPr>
              <w:textAlignment w:val="bottom"/>
            </w:pPr>
            <w:r>
              <w:rPr>
                <w:rFonts w:ascii="Arial" w:eastAsia="宋体" w:hAnsi="Arial" w:cs="Arial"/>
                <w:color w:val="000000"/>
                <w:sz w:val="17"/>
                <w:szCs w:val="17"/>
              </w:rPr>
              <w:t>October 8, 2020</w:t>
            </w:r>
          </w:p>
        </w:tc>
        <w:tc>
          <w:tcPr>
            <w:tcW w:w="0" w:type="auto"/>
            <w:shd w:val="clear" w:color="auto" w:fill="auto"/>
          </w:tcPr>
          <w:p w14:paraId="1D02722D" w14:textId="77777777" w:rsidR="004421F6" w:rsidRDefault="004421F6">
            <w:pPr>
              <w:rPr>
                <w:rFonts w:ascii="宋体"/>
              </w:rPr>
            </w:pPr>
          </w:p>
        </w:tc>
        <w:tc>
          <w:tcPr>
            <w:tcW w:w="0" w:type="auto"/>
            <w:shd w:val="clear" w:color="auto" w:fill="auto"/>
          </w:tcPr>
          <w:p w14:paraId="1D02722E" w14:textId="77777777" w:rsidR="004421F6" w:rsidRDefault="004421F6">
            <w:pPr>
              <w:rPr>
                <w:rFonts w:ascii="宋体"/>
              </w:rPr>
            </w:pPr>
          </w:p>
        </w:tc>
        <w:tc>
          <w:tcPr>
            <w:tcW w:w="0" w:type="auto"/>
            <w:shd w:val="clear" w:color="auto" w:fill="auto"/>
          </w:tcPr>
          <w:p w14:paraId="1D02722F" w14:textId="77777777" w:rsidR="004421F6" w:rsidRDefault="004421F6">
            <w:pPr>
              <w:rPr>
                <w:rFonts w:ascii="宋体"/>
              </w:rPr>
            </w:pPr>
          </w:p>
        </w:tc>
        <w:tc>
          <w:tcPr>
            <w:tcW w:w="0" w:type="auto"/>
            <w:shd w:val="clear" w:color="auto" w:fill="auto"/>
          </w:tcPr>
          <w:p w14:paraId="1D027230" w14:textId="77777777" w:rsidR="004421F6" w:rsidRDefault="004421F6">
            <w:pPr>
              <w:rPr>
                <w:rFonts w:ascii="宋体"/>
              </w:rPr>
            </w:pPr>
          </w:p>
        </w:tc>
        <w:tc>
          <w:tcPr>
            <w:tcW w:w="0" w:type="auto"/>
            <w:shd w:val="clear" w:color="auto" w:fill="auto"/>
          </w:tcPr>
          <w:p w14:paraId="1D027231" w14:textId="77777777" w:rsidR="004421F6" w:rsidRDefault="004421F6">
            <w:pPr>
              <w:rPr>
                <w:rFonts w:ascii="宋体"/>
              </w:rPr>
            </w:pPr>
          </w:p>
        </w:tc>
        <w:tc>
          <w:tcPr>
            <w:tcW w:w="0" w:type="auto"/>
            <w:shd w:val="clear" w:color="auto" w:fill="auto"/>
          </w:tcPr>
          <w:p w14:paraId="1D027232" w14:textId="77777777" w:rsidR="004421F6" w:rsidRDefault="004421F6">
            <w:pPr>
              <w:rPr>
                <w:rFonts w:ascii="宋体"/>
              </w:rPr>
            </w:pPr>
          </w:p>
        </w:tc>
      </w:tr>
    </w:tbl>
    <w:p w14:paraId="1D027234" w14:textId="77777777" w:rsidR="004421F6" w:rsidRDefault="00F15622">
      <w:pPr>
        <w:spacing w:before="120" w:after="120"/>
      </w:pPr>
      <w:r>
        <w:rPr>
          <w:rFonts w:ascii="Arial" w:eastAsia="宋体" w:hAnsi="Arial" w:cs="Arial"/>
          <w:color w:val="E87722"/>
          <w:sz w:val="17"/>
          <w:szCs w:val="17"/>
        </w:rPr>
        <w:t>42</w:t>
      </w:r>
      <w:r>
        <w:rPr>
          <w:rFonts w:ascii="sans-serif" w:eastAsia="sans-serif" w:hAnsi="sans-serif" w:cs="sans-serif"/>
          <w:color w:val="000000"/>
          <w:sz w:val="17"/>
          <w:szCs w:val="17"/>
        </w:rPr>
        <w:t xml:space="preserve"> </w:t>
      </w:r>
    </w:p>
    <w:p w14:paraId="1D027235" w14:textId="77777777" w:rsidR="004421F6" w:rsidRDefault="00F1562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D0272A5" wp14:editId="1D0272A6">
                <wp:extent cx="635" cy="0"/>
                <wp:effectExtent l="0" t="0" r="0" b="0"/>
                <wp:docPr id="49" name="矩形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6egNY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21F6" w14:paraId="1D027237" w14:textId="77777777">
        <w:trPr>
          <w:tblCellSpacing w:w="15" w:type="dxa"/>
        </w:trPr>
        <w:tc>
          <w:tcPr>
            <w:tcW w:w="0" w:type="auto"/>
            <w:shd w:val="clear" w:color="auto" w:fill="auto"/>
            <w:vAlign w:val="center"/>
          </w:tcPr>
          <w:p w14:paraId="1D027236" w14:textId="77777777" w:rsidR="004421F6" w:rsidRDefault="004421F6">
            <w:pPr>
              <w:rPr>
                <w:rFonts w:ascii="宋体"/>
              </w:rPr>
            </w:pPr>
          </w:p>
        </w:tc>
      </w:tr>
    </w:tbl>
    <w:p w14:paraId="1D027238" w14:textId="77777777" w:rsidR="004421F6" w:rsidRDefault="004421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21F6" w14:paraId="1D02723A" w14:textId="77777777">
        <w:trPr>
          <w:tblCellSpacing w:w="15" w:type="dxa"/>
        </w:trPr>
        <w:tc>
          <w:tcPr>
            <w:tcW w:w="0" w:type="auto"/>
            <w:shd w:val="clear" w:color="auto" w:fill="auto"/>
            <w:vAlign w:val="center"/>
          </w:tcPr>
          <w:p w14:paraId="1D027239" w14:textId="77777777" w:rsidR="004421F6" w:rsidRDefault="004421F6">
            <w:pPr>
              <w:rPr>
                <w:rFonts w:ascii="宋体"/>
              </w:rPr>
            </w:pPr>
          </w:p>
        </w:tc>
      </w:tr>
    </w:tbl>
    <w:p w14:paraId="1D02723B" w14:textId="77777777" w:rsidR="004421F6" w:rsidRDefault="004421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21F6" w14:paraId="1D02723D" w14:textId="77777777">
        <w:trPr>
          <w:tblCellSpacing w:w="15" w:type="dxa"/>
        </w:trPr>
        <w:tc>
          <w:tcPr>
            <w:tcW w:w="0" w:type="auto"/>
            <w:shd w:val="clear" w:color="auto" w:fill="auto"/>
            <w:vAlign w:val="center"/>
          </w:tcPr>
          <w:p w14:paraId="1D02723C" w14:textId="77777777" w:rsidR="004421F6" w:rsidRDefault="004421F6">
            <w:pPr>
              <w:rPr>
                <w:rFonts w:ascii="宋体"/>
              </w:rPr>
            </w:pPr>
          </w:p>
        </w:tc>
      </w:tr>
    </w:tbl>
    <w:p w14:paraId="1D02723E" w14:textId="77777777" w:rsidR="004421F6" w:rsidRDefault="004421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21F6" w14:paraId="1D027240" w14:textId="77777777">
        <w:trPr>
          <w:tblCellSpacing w:w="15" w:type="dxa"/>
        </w:trPr>
        <w:tc>
          <w:tcPr>
            <w:tcW w:w="0" w:type="auto"/>
            <w:shd w:val="clear" w:color="auto" w:fill="auto"/>
            <w:vAlign w:val="center"/>
          </w:tcPr>
          <w:p w14:paraId="1D02723F" w14:textId="77777777" w:rsidR="004421F6" w:rsidRDefault="004421F6">
            <w:pPr>
              <w:rPr>
                <w:rFonts w:ascii="宋体"/>
              </w:rPr>
            </w:pPr>
          </w:p>
        </w:tc>
      </w:tr>
    </w:tbl>
    <w:p w14:paraId="1D027241" w14:textId="77777777" w:rsidR="004421F6" w:rsidRDefault="00F15622">
      <w:r>
        <w:rPr>
          <w:rFonts w:ascii="宋体" w:eastAsia="宋体" w:hAnsi="宋体" w:cs="宋体"/>
        </w:rPr>
        <w:t xml:space="preserve">Previous Next </w:t>
      </w:r>
    </w:p>
    <w:p w14:paraId="1D027242" w14:textId="77777777" w:rsidR="004421F6" w:rsidRDefault="00F15622">
      <w:pPr>
        <w:pStyle w:val="a3"/>
      </w:pPr>
      <w:r>
        <w:t>Settings</w:t>
      </w:r>
    </w:p>
    <w:p w14:paraId="1D027243" w14:textId="77777777" w:rsidR="004421F6" w:rsidRDefault="00F15622">
      <w:pPr>
        <w:pStyle w:val="Style4"/>
      </w:pPr>
      <w:r>
        <w:t>窗体顶端</w:t>
      </w:r>
    </w:p>
    <w:p w14:paraId="1D027244" w14:textId="77777777" w:rsidR="004421F6" w:rsidRDefault="00F15622">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D0272A7" wp14:editId="1D0272A8">
                <wp:extent cx="635" cy="0"/>
                <wp:effectExtent l="0" t="0" r="0" b="0"/>
                <wp:docPr id="46" name="矩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HNKu4U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1D027245" w14:textId="77777777" w:rsidR="004421F6" w:rsidRDefault="00F15622">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D0272A9" wp14:editId="1D0272AA">
                <wp:extent cx="635" cy="0"/>
                <wp:effectExtent l="0" t="0" r="0" b="0"/>
                <wp:docPr id="44" name="矩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JsXZQECAAAaBAAADgAAAGRycy9l&#10;Mm9Eb2MueG1srVNLbhsxDN0X6B0E7etx3CR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ecObA08b8/fv35/ZORg9QZAtYUdB/uYuaH4daL78icv+7BdeoDBtKY9ijHVk+C8wH3ads2&#10;2pxOhNm2qL87qq+2iQlyXr69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SbF2U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1D027246" w14:textId="77777777" w:rsidR="004421F6" w:rsidRDefault="00F15622">
      <w:r>
        <w:pict w14:anchorId="1D0272AB">
          <v:rect id="_x0000_i1068" style="width:415.3pt;height:1.5pt" o:hralign="center" o:hrstd="t" o:hr="t" fillcolor="#a0a0a0" stroked="f"/>
        </w:pict>
      </w:r>
    </w:p>
    <w:p w14:paraId="1D027247" w14:textId="77777777" w:rsidR="004421F6" w:rsidRDefault="00F15622">
      <w:r>
        <w:rPr>
          <w:rFonts w:ascii="宋体" w:eastAsia="宋体" w:hAnsi="宋体" w:cs="宋体"/>
        </w:rPr>
        <w:t xml:space="preserve">Tagged Data </w:t>
      </w:r>
    </w:p>
    <w:p w14:paraId="1D027248" w14:textId="77777777" w:rsidR="004421F6" w:rsidRDefault="00F15622">
      <w:r>
        <w:rPr>
          <w:rFonts w:ascii="monospace" w:eastAsia="monospace" w:hAnsi="monospace" w:cs="monospace"/>
          <w:noProof/>
        </w:rPr>
        <mc:AlternateContent>
          <mc:Choice Requires="wps">
            <w:drawing>
              <wp:inline distT="0" distB="0" distL="114300" distR="114300" wp14:anchorId="1D0272AC" wp14:editId="1D0272AD">
                <wp:extent cx="635" cy="0"/>
                <wp:effectExtent l="0" t="0" r="0" b="0"/>
                <wp:docPr id="48" name="矩形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lXVuS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V1bksBAgAAGgQAAA4AAAAAAAAA&#10;AQAgAAAAMwEAAGRycy9lMm9Eb2MueG1sUEsFBgAAAAAGAAYAWQEAAKYFAAAAAA==&#10;">
                <v:path/>
                <v:fill on="f" focussize="0,0"/>
                <v:stroke/>
                <v:imagedata o:title=""/>
                <o:lock v:ext="edit" aspectratio="t"/>
                <w10:wrap type="none"/>
                <w10:anchorlock/>
              </v:rect>
            </w:pict>
          </mc:Fallback>
        </mc:AlternateContent>
      </w:r>
    </w:p>
    <w:p w14:paraId="1D027249" w14:textId="77777777" w:rsidR="004421F6" w:rsidRDefault="00F15622">
      <w:r>
        <w:rPr>
          <w:rFonts w:ascii="宋体" w:eastAsia="宋体" w:hAnsi="宋体" w:cs="宋体"/>
        </w:rPr>
        <w:t>Save</w:t>
      </w:r>
    </w:p>
    <w:p w14:paraId="1D02724A" w14:textId="77777777" w:rsidR="004421F6" w:rsidRDefault="00F15622">
      <w:r>
        <w:rPr>
          <w:rFonts w:ascii="宋体" w:eastAsia="宋体" w:hAnsi="宋体" w:cs="宋体"/>
        </w:rPr>
        <w:t>Reset</w:t>
      </w:r>
    </w:p>
    <w:p w14:paraId="1D02724B" w14:textId="77777777" w:rsidR="004421F6" w:rsidRDefault="00F15622">
      <w:r>
        <w:pict w14:anchorId="1D0272AE">
          <v:rect id="_x0000_i1069" style="width:415.3pt;height:1.5pt" o:hralign="center" o:hrstd="t" o:hr="t" fillcolor="#a0a0a0" stroked="f"/>
        </w:pict>
      </w:r>
    </w:p>
    <w:p w14:paraId="1D02724C" w14:textId="77777777" w:rsidR="004421F6" w:rsidRDefault="00F15622">
      <w:r>
        <w:rPr>
          <w:rFonts w:ascii="宋体" w:eastAsia="宋体" w:hAnsi="宋体" w:cs="宋体"/>
        </w:rPr>
        <w:t xml:space="preserve">Search Results </w:t>
      </w:r>
    </w:p>
    <w:p w14:paraId="1D02724D" w14:textId="77777777" w:rsidR="004421F6" w:rsidRDefault="00F15622">
      <w:r>
        <w:rPr>
          <w:rFonts w:ascii="monospace" w:eastAsia="monospace" w:hAnsi="monospace" w:cs="monospace"/>
          <w:noProof/>
        </w:rPr>
        <mc:AlternateContent>
          <mc:Choice Requires="wps">
            <w:drawing>
              <wp:inline distT="0" distB="0" distL="114300" distR="114300" wp14:anchorId="1D0272AF" wp14:editId="1D0272B0">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path/>
                <v:fill on="f" focussize="0,0"/>
                <v:stroke/>
                <v:imagedata o:title=""/>
                <o:lock v:ext="edit" aspectratio="t"/>
                <w10:wrap type="none"/>
                <w10:anchorlock/>
              </v:rect>
            </w:pict>
          </mc:Fallback>
        </mc:AlternateContent>
      </w:r>
    </w:p>
    <w:p w14:paraId="1D02724E" w14:textId="77777777" w:rsidR="004421F6" w:rsidRDefault="00F15622">
      <w:r>
        <w:rPr>
          <w:rFonts w:ascii="宋体" w:eastAsia="宋体" w:hAnsi="宋体" w:cs="宋体"/>
        </w:rPr>
        <w:t>Save</w:t>
      </w:r>
    </w:p>
    <w:p w14:paraId="1D02724F" w14:textId="77777777" w:rsidR="004421F6" w:rsidRDefault="00F15622">
      <w:r>
        <w:rPr>
          <w:rFonts w:ascii="宋体" w:eastAsia="宋体" w:hAnsi="宋体" w:cs="宋体"/>
        </w:rPr>
        <w:t>Reset</w:t>
      </w:r>
    </w:p>
    <w:p w14:paraId="1D027250" w14:textId="77777777" w:rsidR="004421F6" w:rsidRDefault="00F15622">
      <w:r>
        <w:pict w14:anchorId="1D0272B1">
          <v:rect id="_x0000_i1070" style="width:415.3pt;height:1.5pt" o:hralign="center" o:hrstd="t" o:hr="t" fillcolor="#a0a0a0" stroked="f"/>
        </w:pict>
      </w:r>
    </w:p>
    <w:p w14:paraId="1D027251" w14:textId="77777777" w:rsidR="004421F6" w:rsidRDefault="00F15622">
      <w:r>
        <w:rPr>
          <w:rFonts w:ascii="宋体" w:eastAsia="宋体" w:hAnsi="宋体" w:cs="宋体"/>
        </w:rPr>
        <w:t xml:space="preserve">Selected Fact </w:t>
      </w:r>
    </w:p>
    <w:p w14:paraId="1D027252" w14:textId="77777777" w:rsidR="004421F6" w:rsidRDefault="00F15622">
      <w:r>
        <w:rPr>
          <w:rFonts w:ascii="monospace" w:eastAsia="monospace" w:hAnsi="monospace" w:cs="monospace"/>
          <w:noProof/>
        </w:rPr>
        <mc:AlternateContent>
          <mc:Choice Requires="wps">
            <w:drawing>
              <wp:inline distT="0" distB="0" distL="114300" distR="114300" wp14:anchorId="1D0272B2" wp14:editId="1D0272B3">
                <wp:extent cx="635" cy="0"/>
                <wp:effectExtent l="0" t="0" r="0" b="0"/>
                <wp:docPr id="50" name="矩形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MsUcwA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idJHFia+J/vP3//+sHIQeoMAWsKug93MfPDcOvFAzLnr3twnfqAgTSmPcqx1ZPgfMBD2q6N&#10;NqcTYbYr6u9P6qtdYoKcl2/nnImjv4L6mBQipk/KW5aNhkcqWLSG7S2mXBbqY0iu4fyNNqYM1jg2&#10;NPz9fJ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mMsUcwACAAAaBAAADgAAAAAAAAAB&#10;ACAAAAAzAQAAZHJzL2Uyb0RvYy54bWxQSwUGAAAAAAYABgBZAQAApQUAAAAA&#10;">
                <v:path/>
                <v:fill on="f" focussize="0,0"/>
                <v:stroke/>
                <v:imagedata o:title=""/>
                <o:lock v:ext="edit" aspectratio="t"/>
                <w10:wrap type="none"/>
                <w10:anchorlock/>
              </v:rect>
            </w:pict>
          </mc:Fallback>
        </mc:AlternateContent>
      </w:r>
    </w:p>
    <w:p w14:paraId="1D027253" w14:textId="77777777" w:rsidR="004421F6" w:rsidRDefault="00F15622">
      <w:r>
        <w:rPr>
          <w:rFonts w:ascii="宋体" w:eastAsia="宋体" w:hAnsi="宋体" w:cs="宋体"/>
        </w:rPr>
        <w:t>Save</w:t>
      </w:r>
    </w:p>
    <w:p w14:paraId="1D027254" w14:textId="77777777" w:rsidR="004421F6" w:rsidRDefault="00F15622">
      <w:r>
        <w:rPr>
          <w:rFonts w:ascii="宋体" w:eastAsia="宋体" w:hAnsi="宋体" w:cs="宋体"/>
        </w:rPr>
        <w:t>Reset</w:t>
      </w:r>
    </w:p>
    <w:p w14:paraId="1D027255" w14:textId="77777777" w:rsidR="004421F6" w:rsidRDefault="00F15622">
      <w:r>
        <w:pict w14:anchorId="1D0272B4">
          <v:rect id="_x0000_i1071" style="width:415.3pt;height:1.5pt" o:hralign="center" o:hrstd="t" o:hr="t" fillcolor="#a0a0a0" stroked="f"/>
        </w:pict>
      </w:r>
    </w:p>
    <w:p w14:paraId="1D027256" w14:textId="77777777" w:rsidR="004421F6" w:rsidRDefault="00F15622">
      <w:r>
        <w:rPr>
          <w:rFonts w:ascii="宋体" w:eastAsia="宋体" w:hAnsi="宋体" w:cs="宋体"/>
        </w:rPr>
        <w:t xml:space="preserve">Tag Shading (hover) </w:t>
      </w:r>
    </w:p>
    <w:p w14:paraId="1D027257" w14:textId="77777777" w:rsidR="004421F6" w:rsidRDefault="00F15622">
      <w:r>
        <w:rPr>
          <w:rFonts w:ascii="monospace" w:eastAsia="monospace" w:hAnsi="monospace" w:cs="monospace"/>
          <w:noProof/>
        </w:rPr>
        <mc:AlternateContent>
          <mc:Choice Requires="wps">
            <w:drawing>
              <wp:inline distT="0" distB="0" distL="114300" distR="114300" wp14:anchorId="1D0272B5" wp14:editId="1D0272B6">
                <wp:extent cx="635" cy="0"/>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3D5+A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zvnzIGlif/7+fvvn1+MHKTOELCmoLtwGzM/DDde/EDm/FUPrlMfMZDGtEc5tnoUnA+4T9u2&#10;0eZ0Isy2Rf3dUX21TUyQ8+ItdSA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b3D5+AACAAAaBAAADgAAAAAAAAAB&#10;ACAAAAAzAQAAZHJzL2Uyb0RvYy54bWxQSwUGAAAAAAYABgBZAQAApQUAAAAA&#10;">
                <v:path/>
                <v:fill on="f" focussize="0,0"/>
                <v:stroke/>
                <v:imagedata o:title=""/>
                <o:lock v:ext="edit" aspectratio="t"/>
                <w10:wrap type="none"/>
                <w10:anchorlock/>
              </v:rect>
            </w:pict>
          </mc:Fallback>
        </mc:AlternateContent>
      </w:r>
    </w:p>
    <w:p w14:paraId="1D027258" w14:textId="77777777" w:rsidR="004421F6" w:rsidRDefault="00F15622">
      <w:r>
        <w:rPr>
          <w:rFonts w:ascii="宋体" w:eastAsia="宋体" w:hAnsi="宋体" w:cs="宋体"/>
        </w:rPr>
        <w:t>Save</w:t>
      </w:r>
    </w:p>
    <w:p w14:paraId="1D027259" w14:textId="77777777" w:rsidR="004421F6" w:rsidRDefault="00F15622">
      <w:r>
        <w:rPr>
          <w:rFonts w:ascii="宋体" w:eastAsia="宋体" w:hAnsi="宋体" w:cs="宋体"/>
        </w:rPr>
        <w:t>Reset</w:t>
      </w:r>
    </w:p>
    <w:p w14:paraId="1D02725A" w14:textId="77777777" w:rsidR="004421F6" w:rsidRDefault="00F15622">
      <w:pPr>
        <w:pStyle w:val="Style5"/>
      </w:pPr>
      <w:r>
        <w:t>窗体底端</w:t>
      </w:r>
    </w:p>
    <w:p w14:paraId="1D02725B" w14:textId="77777777" w:rsidR="004421F6" w:rsidRDefault="00F1562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D0272B7" wp14:editId="1D0272B8">
                <wp:extent cx="635" cy="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wR9Ag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b8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cEfQI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21F6" w14:paraId="1D02725D" w14:textId="77777777">
        <w:trPr>
          <w:tblCellSpacing w:w="15" w:type="dxa"/>
        </w:trPr>
        <w:tc>
          <w:tcPr>
            <w:tcW w:w="0" w:type="auto"/>
            <w:shd w:val="clear" w:color="auto" w:fill="auto"/>
            <w:vAlign w:val="center"/>
          </w:tcPr>
          <w:p w14:paraId="1D02725C" w14:textId="77777777" w:rsidR="004421F6" w:rsidRDefault="004421F6">
            <w:pPr>
              <w:rPr>
                <w:rFonts w:ascii="宋体"/>
              </w:rPr>
            </w:pPr>
          </w:p>
        </w:tc>
      </w:tr>
    </w:tbl>
    <w:p w14:paraId="1D02725E" w14:textId="77777777" w:rsidR="004421F6" w:rsidRDefault="004421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21F6" w14:paraId="1D027260" w14:textId="77777777">
        <w:trPr>
          <w:tblCellSpacing w:w="15" w:type="dxa"/>
        </w:trPr>
        <w:tc>
          <w:tcPr>
            <w:tcW w:w="0" w:type="auto"/>
            <w:shd w:val="clear" w:color="auto" w:fill="auto"/>
            <w:vAlign w:val="center"/>
          </w:tcPr>
          <w:p w14:paraId="1D02725F" w14:textId="77777777" w:rsidR="004421F6" w:rsidRDefault="004421F6">
            <w:pPr>
              <w:rPr>
                <w:rFonts w:ascii="宋体"/>
              </w:rPr>
            </w:pPr>
          </w:p>
        </w:tc>
      </w:tr>
    </w:tbl>
    <w:p w14:paraId="1D027261" w14:textId="77777777" w:rsidR="004421F6" w:rsidRDefault="004421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21F6" w14:paraId="1D027263" w14:textId="77777777">
        <w:trPr>
          <w:tblCellSpacing w:w="15" w:type="dxa"/>
        </w:trPr>
        <w:tc>
          <w:tcPr>
            <w:tcW w:w="0" w:type="auto"/>
            <w:shd w:val="clear" w:color="auto" w:fill="auto"/>
            <w:vAlign w:val="center"/>
          </w:tcPr>
          <w:p w14:paraId="1D027262" w14:textId="77777777" w:rsidR="004421F6" w:rsidRDefault="004421F6">
            <w:pPr>
              <w:rPr>
                <w:rFonts w:ascii="宋体"/>
              </w:rPr>
            </w:pPr>
          </w:p>
        </w:tc>
      </w:tr>
    </w:tbl>
    <w:p w14:paraId="1D027264" w14:textId="77777777" w:rsidR="004421F6" w:rsidRDefault="004421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21F6" w14:paraId="1D027266" w14:textId="77777777">
        <w:trPr>
          <w:tblCellSpacing w:w="15" w:type="dxa"/>
        </w:trPr>
        <w:tc>
          <w:tcPr>
            <w:tcW w:w="0" w:type="auto"/>
            <w:shd w:val="clear" w:color="auto" w:fill="auto"/>
            <w:vAlign w:val="center"/>
          </w:tcPr>
          <w:p w14:paraId="1D027265" w14:textId="77777777" w:rsidR="004421F6" w:rsidRDefault="004421F6">
            <w:pPr>
              <w:rPr>
                <w:rFonts w:ascii="宋体"/>
              </w:rPr>
            </w:pPr>
          </w:p>
        </w:tc>
      </w:tr>
    </w:tbl>
    <w:p w14:paraId="1D027267" w14:textId="77777777" w:rsidR="004421F6" w:rsidRDefault="00F15622">
      <w:r>
        <w:rPr>
          <w:rFonts w:ascii="宋体" w:eastAsia="宋体" w:hAnsi="宋体" w:cs="宋体"/>
        </w:rPr>
        <w:t xml:space="preserve">Previous Next </w:t>
      </w:r>
    </w:p>
    <w:p w14:paraId="1D027268" w14:textId="77777777" w:rsidR="004421F6" w:rsidRDefault="00F15622">
      <w:pPr>
        <w:pStyle w:val="a3"/>
      </w:pPr>
      <w:r>
        <w:t xml:space="preserve">Nested Facts / </w:t>
      </w:r>
    </w:p>
    <w:p w14:paraId="1D027269" w14:textId="77777777" w:rsidR="004421F6" w:rsidRDefault="00F15622">
      <w:r>
        <w:rPr>
          <w:rFonts w:ascii="宋体" w:eastAsia="宋体" w:hAnsi="宋体" w:cs="宋体"/>
        </w:rPr>
        <w:t xml:space="preserve">Previous Next </w:t>
      </w:r>
    </w:p>
    <w:p w14:paraId="1D02726A" w14:textId="77777777" w:rsidR="004421F6" w:rsidRDefault="00F1562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D0272B9" wp14:editId="1D0272BA">
                <wp:extent cx="635" cy="0"/>
                <wp:effectExtent l="0" t="0" r="0" b="0"/>
                <wp:docPr id="47" name="矩形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uKFVGA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21F6" w14:paraId="1D02726C" w14:textId="77777777">
        <w:trPr>
          <w:tblCellSpacing w:w="15" w:type="dxa"/>
        </w:trPr>
        <w:tc>
          <w:tcPr>
            <w:tcW w:w="0" w:type="auto"/>
            <w:shd w:val="clear" w:color="auto" w:fill="auto"/>
            <w:vAlign w:val="center"/>
          </w:tcPr>
          <w:p w14:paraId="1D02726B" w14:textId="77777777" w:rsidR="004421F6" w:rsidRDefault="004421F6">
            <w:pPr>
              <w:rPr>
                <w:rFonts w:ascii="宋体"/>
              </w:rPr>
            </w:pPr>
          </w:p>
        </w:tc>
      </w:tr>
    </w:tbl>
    <w:p w14:paraId="1D02726D" w14:textId="77777777" w:rsidR="004421F6" w:rsidRDefault="004421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21F6" w14:paraId="1D02726F" w14:textId="77777777">
        <w:trPr>
          <w:tblCellSpacing w:w="15" w:type="dxa"/>
        </w:trPr>
        <w:tc>
          <w:tcPr>
            <w:tcW w:w="0" w:type="auto"/>
            <w:shd w:val="clear" w:color="auto" w:fill="auto"/>
            <w:vAlign w:val="center"/>
          </w:tcPr>
          <w:p w14:paraId="1D02726E" w14:textId="77777777" w:rsidR="004421F6" w:rsidRDefault="004421F6">
            <w:pPr>
              <w:rPr>
                <w:rFonts w:ascii="宋体"/>
              </w:rPr>
            </w:pPr>
          </w:p>
        </w:tc>
      </w:tr>
    </w:tbl>
    <w:p w14:paraId="1D027270" w14:textId="77777777" w:rsidR="004421F6" w:rsidRDefault="004421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21F6" w14:paraId="1D027272" w14:textId="77777777">
        <w:trPr>
          <w:tblCellSpacing w:w="15" w:type="dxa"/>
        </w:trPr>
        <w:tc>
          <w:tcPr>
            <w:tcW w:w="0" w:type="auto"/>
            <w:shd w:val="clear" w:color="auto" w:fill="auto"/>
            <w:vAlign w:val="center"/>
          </w:tcPr>
          <w:p w14:paraId="1D027271" w14:textId="77777777" w:rsidR="004421F6" w:rsidRDefault="004421F6">
            <w:pPr>
              <w:rPr>
                <w:rFonts w:ascii="宋体"/>
              </w:rPr>
            </w:pPr>
          </w:p>
        </w:tc>
      </w:tr>
    </w:tbl>
    <w:p w14:paraId="1D027273" w14:textId="77777777" w:rsidR="004421F6" w:rsidRDefault="004421F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21F6" w14:paraId="1D027275" w14:textId="77777777">
        <w:trPr>
          <w:tblCellSpacing w:w="15" w:type="dxa"/>
        </w:trPr>
        <w:tc>
          <w:tcPr>
            <w:tcW w:w="0" w:type="auto"/>
            <w:shd w:val="clear" w:color="auto" w:fill="auto"/>
            <w:vAlign w:val="center"/>
          </w:tcPr>
          <w:p w14:paraId="1D027274" w14:textId="77777777" w:rsidR="004421F6" w:rsidRDefault="004421F6">
            <w:pPr>
              <w:rPr>
                <w:rFonts w:ascii="宋体"/>
              </w:rPr>
            </w:pPr>
          </w:p>
        </w:tc>
      </w:tr>
    </w:tbl>
    <w:p w14:paraId="1D027276" w14:textId="77777777" w:rsidR="004421F6" w:rsidRDefault="00F15622">
      <w:r>
        <w:rPr>
          <w:rFonts w:ascii="宋体" w:eastAsia="宋体" w:hAnsi="宋体" w:cs="宋体"/>
        </w:rPr>
        <w:t xml:space="preserve">Previous Next </w:t>
      </w:r>
    </w:p>
    <w:p w14:paraId="1D027277" w14:textId="77777777" w:rsidR="004421F6" w:rsidRDefault="004421F6"/>
    <w:sectPr w:rsidR="004421F6">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2929C" w14:textId="77777777" w:rsidR="00F15622" w:rsidRDefault="00F15622" w:rsidP="00F15622">
      <w:r>
        <w:separator/>
      </w:r>
    </w:p>
  </w:endnote>
  <w:endnote w:type="continuationSeparator" w:id="0">
    <w:p w14:paraId="4BFD9439" w14:textId="77777777" w:rsidR="00F15622" w:rsidRDefault="00F15622" w:rsidP="00F15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72446" w14:textId="77777777" w:rsidR="00F15622" w:rsidRDefault="00F15622" w:rsidP="00F15622">
      <w:r>
        <w:separator/>
      </w:r>
    </w:p>
  </w:footnote>
  <w:footnote w:type="continuationSeparator" w:id="0">
    <w:p w14:paraId="2CC9B241" w14:textId="77777777" w:rsidR="00F15622" w:rsidRDefault="00F15622" w:rsidP="00F156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BF7021B"/>
    <w:rsid w:val="004421F6"/>
    <w:rsid w:val="00F15622"/>
    <w:rsid w:val="6BF70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24CB8"/>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eastAsiaTheme="minorEastAsia" w:hAnsiTheme="minorEastAsia"/>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F1562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F15622"/>
    <w:rPr>
      <w:rFonts w:asciiTheme="minorEastAsia" w:eastAsiaTheme="minorEastAsia" w:hAnsiTheme="minorEastAsia"/>
      <w:sz w:val="18"/>
      <w:szCs w:val="18"/>
    </w:rPr>
  </w:style>
  <w:style w:type="paragraph" w:styleId="a8">
    <w:name w:val="footer"/>
    <w:basedOn w:val="a"/>
    <w:link w:val="a9"/>
    <w:rsid w:val="00F15622"/>
    <w:pPr>
      <w:tabs>
        <w:tab w:val="center" w:pos="4153"/>
        <w:tab w:val="right" w:pos="8306"/>
      </w:tabs>
      <w:snapToGrid w:val="0"/>
    </w:pPr>
    <w:rPr>
      <w:sz w:val="18"/>
      <w:szCs w:val="18"/>
    </w:rPr>
  </w:style>
  <w:style w:type="character" w:customStyle="1" w:styleId="a9">
    <w:name w:val="页脚 字符"/>
    <w:basedOn w:val="a0"/>
    <w:link w:val="a8"/>
    <w:rsid w:val="00F15622"/>
    <w:rPr>
      <w:rFonts w:asciiTheme="minorEastAsia" w:eastAsiaTheme="minorEastAsia" w:hAnsi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320187/000032018720000061/nke-20200831.htm" TargetMode="External"/><Relationship Id="rId117" Type="http://schemas.openxmlformats.org/officeDocument/2006/relationships/hyperlink" Target="https://www.sec.gov/Archives/edgar/data/320187/000032018720000029/nkeexhibit31.htm" TargetMode="External"/><Relationship Id="rId21" Type="http://schemas.openxmlformats.org/officeDocument/2006/relationships/hyperlink" Target="https://www.sec.gov/ix?doc=/Archives/edgar/data/0000320187/000032018720000061/nke-20200831.htm" TargetMode="External"/><Relationship Id="rId42" Type="http://schemas.openxmlformats.org/officeDocument/2006/relationships/hyperlink" Target="https://www.sec.gov/ix?doc=/Archives/edgar/data/0000320187/000032018720000061/nke-20200831.htm" TargetMode="External"/><Relationship Id="rId47" Type="http://schemas.openxmlformats.org/officeDocument/2006/relationships/hyperlink" Target="https://www.sec.gov/ix?doc=/Archives/edgar/data/0000320187/000032018720000061/nke-20200831.htm" TargetMode="External"/><Relationship Id="rId63" Type="http://schemas.openxmlformats.org/officeDocument/2006/relationships/hyperlink" Target="https://www.sec.gov/ix?doc=/Archives/edgar/data/0000320187/000032018720000061/nke-20200831.htm" TargetMode="External"/><Relationship Id="rId68" Type="http://schemas.openxmlformats.org/officeDocument/2006/relationships/hyperlink" Target="https://www.sec.gov/ix?doc=/Archives/edgar/data/0000320187/000032018720000061/nke-20200831.htm" TargetMode="External"/><Relationship Id="rId84" Type="http://schemas.openxmlformats.org/officeDocument/2006/relationships/hyperlink" Target="https://www.sec.gov/ix?doc=/Archives/edgar/data/0000320187/000032018720000061/nke-20200831.htm" TargetMode="External"/><Relationship Id="rId89" Type="http://schemas.openxmlformats.org/officeDocument/2006/relationships/hyperlink" Target="https://www.sec.gov/ix?doc=/Archives/edgar/data/0000320187/000032018720000061/nke-20200831.htm" TargetMode="External"/><Relationship Id="rId112" Type="http://schemas.openxmlformats.org/officeDocument/2006/relationships/hyperlink" Target="http://www.sec.gov/Archives/edgar/data/320187/000032018716000242/nke-11302015xexhibit31.htm" TargetMode="External"/><Relationship Id="rId16" Type="http://schemas.openxmlformats.org/officeDocument/2006/relationships/hyperlink" Target="https://www.sec.gov/ix?doc=/Archives/edgar/data/0000320187/000032018720000061/nke-20200831.htm" TargetMode="External"/><Relationship Id="rId107" Type="http://schemas.openxmlformats.org/officeDocument/2006/relationships/hyperlink" Target="https://www.sec.gov/ix?doc=/Archives/edgar/data/0000320187/000032018720000061/nke-20200831.htm" TargetMode="External"/><Relationship Id="rId11" Type="http://schemas.openxmlformats.org/officeDocument/2006/relationships/hyperlink" Target="https://www.sec.gov/ix?doc=/Archives/edgar/data/0000320187/000032018720000061/nke-20200831.htm" TargetMode="External"/><Relationship Id="rId32" Type="http://schemas.openxmlformats.org/officeDocument/2006/relationships/hyperlink" Target="https://www.sec.gov/ix?doc=/Archives/edgar/data/0000320187/000032018720000061/nke-20200831.htm" TargetMode="External"/><Relationship Id="rId37" Type="http://schemas.openxmlformats.org/officeDocument/2006/relationships/hyperlink" Target="https://www.sec.gov/ix?doc=/Archives/edgar/data/0000320187/000032018720000061/nke-20200831.htm" TargetMode="External"/><Relationship Id="rId53" Type="http://schemas.openxmlformats.org/officeDocument/2006/relationships/hyperlink" Target="https://www.sec.gov/ix?doc=/Archives/edgar/data/0000320187/000032018720000061/nke-20200831.htm" TargetMode="External"/><Relationship Id="rId58" Type="http://schemas.openxmlformats.org/officeDocument/2006/relationships/hyperlink" Target="https://www.sec.gov/ix?doc=/Archives/edgar/data/0000320187/000032018720000061/nke-20200831.htm" TargetMode="External"/><Relationship Id="rId74" Type="http://schemas.openxmlformats.org/officeDocument/2006/relationships/hyperlink" Target="https://www.sec.gov/ix?doc=/Archives/edgar/data/0000320187/000032018720000061/nke-20200831.htm" TargetMode="External"/><Relationship Id="rId79" Type="http://schemas.openxmlformats.org/officeDocument/2006/relationships/hyperlink" Target="https://www.sec.gov/ix?doc=/Archives/edgar/data/0000320187/000032018720000061/nke-20200831.htm" TargetMode="External"/><Relationship Id="rId102" Type="http://schemas.openxmlformats.org/officeDocument/2006/relationships/hyperlink" Target="https://www.sec.gov/ix?doc=/Archives/edgar/data/0000320187/000032018720000061/nke-20200831.htm" TargetMode="External"/><Relationship Id="rId123" Type="http://schemas.openxmlformats.org/officeDocument/2006/relationships/hyperlink" Target="https://www.sec.gov/Archives/edgar/data/0000320187/000032018720000061/nke-8312020xexhibit322.htm" TargetMode="External"/><Relationship Id="rId5" Type="http://schemas.openxmlformats.org/officeDocument/2006/relationships/endnotes" Target="endnotes.xml"/><Relationship Id="rId90" Type="http://schemas.openxmlformats.org/officeDocument/2006/relationships/hyperlink" Target="https://www.sec.gov/ix?doc=/Archives/edgar/data/0000320187/000032018720000061/nke-20200831.htm" TargetMode="External"/><Relationship Id="rId95" Type="http://schemas.openxmlformats.org/officeDocument/2006/relationships/hyperlink" Target="https://www.sec.gov/ix?doc=/Archives/edgar/data/0000320187/000032018720000061/nke-20200831.htm" TargetMode="External"/><Relationship Id="rId22" Type="http://schemas.openxmlformats.org/officeDocument/2006/relationships/hyperlink" Target="https://www.sec.gov/ix?doc=/Archives/edgar/data/0000320187/000032018720000061/nke-20200831.htm" TargetMode="External"/><Relationship Id="rId27" Type="http://schemas.openxmlformats.org/officeDocument/2006/relationships/hyperlink" Target="https://www.sec.gov/ix?doc=/Archives/edgar/data/0000320187/000032018720000061/nke-20200831.htm" TargetMode="External"/><Relationship Id="rId43" Type="http://schemas.openxmlformats.org/officeDocument/2006/relationships/hyperlink" Target="https://www.sec.gov/ix?doc=/Archives/edgar/data/0000320187/000032018720000061/nke-20200831.htm" TargetMode="External"/><Relationship Id="rId48" Type="http://schemas.openxmlformats.org/officeDocument/2006/relationships/hyperlink" Target="https://www.sec.gov/ix?doc=/Archives/edgar/data/0000320187/000032018720000061/nke-20200831.htm" TargetMode="External"/><Relationship Id="rId64" Type="http://schemas.openxmlformats.org/officeDocument/2006/relationships/hyperlink" Target="https://www.sec.gov/ix?doc=/Archives/edgar/data/0000320187/000032018720000061/nke-20200831.htm" TargetMode="External"/><Relationship Id="rId69" Type="http://schemas.openxmlformats.org/officeDocument/2006/relationships/hyperlink" Target="https://www.sec.gov/ix?doc=/Archives/edgar/data/0000320187/000032018720000061/nke-20200831.htm" TargetMode="External"/><Relationship Id="rId113" Type="http://schemas.openxmlformats.org/officeDocument/2006/relationships/hyperlink" Target="https://www.sec.gov/Archives/edgar/data/320187/000032018720000029/nkeexhibit31.htm" TargetMode="External"/><Relationship Id="rId118" Type="http://schemas.openxmlformats.org/officeDocument/2006/relationships/hyperlink" Target="http://www.sec.gov/Archives/edgar/data/320187/000032018716000242/nke-11302015xexhibit31.htm" TargetMode="External"/><Relationship Id="rId80" Type="http://schemas.openxmlformats.org/officeDocument/2006/relationships/hyperlink" Target="https://www.sec.gov/ix?doc=/Archives/edgar/data/0000320187/000032018720000061/nke-20200831.htm" TargetMode="External"/><Relationship Id="rId85" Type="http://schemas.openxmlformats.org/officeDocument/2006/relationships/hyperlink" Target="https://www.sec.gov/ix?doc=/Archives/edgar/data/0000320187/000032018720000061/nke-20200831.htm" TargetMode="External"/><Relationship Id="rId12" Type="http://schemas.openxmlformats.org/officeDocument/2006/relationships/hyperlink" Target="https://www.sec.gov/ix?doc=/Archives/edgar/data/0000320187/000032018720000061/nke-20200831.htm" TargetMode="External"/><Relationship Id="rId17" Type="http://schemas.openxmlformats.org/officeDocument/2006/relationships/hyperlink" Target="https://www.sec.gov/ix?doc=/Archives/edgar/data/0000320187/000032018720000061/nke-20200831.htm" TargetMode="External"/><Relationship Id="rId33" Type="http://schemas.openxmlformats.org/officeDocument/2006/relationships/hyperlink" Target="https://www.sec.gov/ix?doc=/Archives/edgar/data/0000320187/000032018720000061/nke-20200831.htm" TargetMode="External"/><Relationship Id="rId38" Type="http://schemas.openxmlformats.org/officeDocument/2006/relationships/hyperlink" Target="https://www.sec.gov/ix?doc=/Archives/edgar/data/0000320187/000032018720000061/nke-20200831.htm" TargetMode="External"/><Relationship Id="rId59" Type="http://schemas.openxmlformats.org/officeDocument/2006/relationships/hyperlink" Target="https://www.sec.gov/ix?doc=/Archives/edgar/data/0000320187/000032018720000061/nke-20200831.htm" TargetMode="External"/><Relationship Id="rId103" Type="http://schemas.openxmlformats.org/officeDocument/2006/relationships/hyperlink" Target="https://www.sec.gov/ix?doc=/Archives/edgar/data/0000320187/000032018720000061/nke-20200831.htm" TargetMode="External"/><Relationship Id="rId108" Type="http://schemas.openxmlformats.org/officeDocument/2006/relationships/hyperlink" Target="https://www.sec.gov/ix?doc=/Archives/edgar/data/0000320187/000032018720000061/nke-20200831.htm" TargetMode="External"/><Relationship Id="rId124" Type="http://schemas.openxmlformats.org/officeDocument/2006/relationships/hyperlink" Target="https://www.sec.gov/ix?doc=/Archives/edgar/data/0000320187/000032018720000061/nke-20200831.htm" TargetMode="External"/><Relationship Id="rId54" Type="http://schemas.openxmlformats.org/officeDocument/2006/relationships/hyperlink" Target="https://www.sec.gov/ix?doc=/Archives/edgar/data/0000320187/000032018720000061/nke-20200831.htm" TargetMode="External"/><Relationship Id="rId70" Type="http://schemas.openxmlformats.org/officeDocument/2006/relationships/hyperlink" Target="https://www.sec.gov/ix?doc=/Archives/edgar/data/0000320187/000032018720000061/nke-20200831.htm" TargetMode="External"/><Relationship Id="rId75" Type="http://schemas.openxmlformats.org/officeDocument/2006/relationships/hyperlink" Target="https://www.sec.gov/ix?doc=/Archives/edgar/data/0000320187/000032018720000061/nke-20200831.htm" TargetMode="External"/><Relationship Id="rId91" Type="http://schemas.openxmlformats.org/officeDocument/2006/relationships/hyperlink" Target="https://www.sec.gov/ix?doc=/Archives/edgar/data/0000320187/000032018720000061/nke-20200831.htm" TargetMode="External"/><Relationship Id="rId96" Type="http://schemas.openxmlformats.org/officeDocument/2006/relationships/hyperlink" Target="https://www.sec.gov/ix?doc=/Archives/edgar/data/0000320187/000032018720000061/nke-20200831.htm" TargetMode="External"/><Relationship Id="rId1" Type="http://schemas.openxmlformats.org/officeDocument/2006/relationships/styles" Target="styles.xml"/><Relationship Id="rId23" Type="http://schemas.openxmlformats.org/officeDocument/2006/relationships/hyperlink" Target="https://www.sec.gov/ix?doc=/Archives/edgar/data/0000320187/000032018720000061/nke-20200831.htm" TargetMode="External"/><Relationship Id="rId28" Type="http://schemas.openxmlformats.org/officeDocument/2006/relationships/hyperlink" Target="https://www.sec.gov/ix?doc=/Archives/edgar/data/0000320187/000032018720000061/nke-20200831.htm" TargetMode="External"/><Relationship Id="rId49" Type="http://schemas.openxmlformats.org/officeDocument/2006/relationships/hyperlink" Target="https://www.sec.gov/ix?doc=/Archives/edgar/data/0000320187/000032018720000061/nke-20200831.htm" TargetMode="External"/><Relationship Id="rId114" Type="http://schemas.openxmlformats.org/officeDocument/2006/relationships/hyperlink" Target="https://www.sec.gov/Archives/edgar/data/320187/000032018720000029/nkeexhibit31.htm" TargetMode="External"/><Relationship Id="rId119" Type="http://schemas.openxmlformats.org/officeDocument/2006/relationships/hyperlink" Target="https://www.sec.gov/Archives/edgar/data/320187/000032018720000029/nkeexhibit31.htm" TargetMode="External"/><Relationship Id="rId44" Type="http://schemas.openxmlformats.org/officeDocument/2006/relationships/hyperlink" Target="https://www.sec.gov/ix?doc=/Archives/edgar/data/0000320187/000032018720000061/nke-20200831.htm" TargetMode="External"/><Relationship Id="rId60" Type="http://schemas.openxmlformats.org/officeDocument/2006/relationships/hyperlink" Target="https://www.sec.gov/ix?doc=/Archives/edgar/data/0000320187/000032018720000061/nke-20200831.htm" TargetMode="External"/><Relationship Id="rId65" Type="http://schemas.openxmlformats.org/officeDocument/2006/relationships/hyperlink" Target="https://www.sec.gov/ix?doc=/Archives/edgar/data/0000320187/000032018720000061/nke-20200831.htm" TargetMode="External"/><Relationship Id="rId81" Type="http://schemas.openxmlformats.org/officeDocument/2006/relationships/hyperlink" Target="https://www.sec.gov/ix?doc=/Archives/edgar/data/0000320187/000032018720000061/nke-20200831.htm" TargetMode="External"/><Relationship Id="rId86" Type="http://schemas.openxmlformats.org/officeDocument/2006/relationships/hyperlink" Target="https://www.sec.gov/ix?doc=/Archives/edgar/data/0000320187/000032018720000061/nke-20200831.htm" TargetMode="External"/><Relationship Id="rId13" Type="http://schemas.openxmlformats.org/officeDocument/2006/relationships/hyperlink" Target="https://www.sec.gov/ix?doc=/Archives/edgar/data/0000320187/000032018720000061/nke-20200831.htm" TargetMode="External"/><Relationship Id="rId18" Type="http://schemas.openxmlformats.org/officeDocument/2006/relationships/hyperlink" Target="https://www.sec.gov/ix?doc=/Archives/edgar/data/0000320187/000032018720000061/nke-20200831.htm" TargetMode="External"/><Relationship Id="rId39" Type="http://schemas.openxmlformats.org/officeDocument/2006/relationships/hyperlink" Target="https://www.sec.gov/ix?doc=/Archives/edgar/data/0000320187/000032018720000061/nke-20200831.htm" TargetMode="External"/><Relationship Id="rId109" Type="http://schemas.openxmlformats.org/officeDocument/2006/relationships/hyperlink" Target="https://www.sec.gov/ix?doc=/Archives/edgar/data/0000320187/000032018720000061/nke-20200831.htm" TargetMode="External"/><Relationship Id="rId34" Type="http://schemas.openxmlformats.org/officeDocument/2006/relationships/hyperlink" Target="https://www.sec.gov/ix?doc=/Archives/edgar/data/0000320187/000032018720000061/nke-20200831.htm" TargetMode="External"/><Relationship Id="rId50" Type="http://schemas.openxmlformats.org/officeDocument/2006/relationships/hyperlink" Target="https://www.sec.gov/ix?doc=/Archives/edgar/data/0000320187/000032018720000061/nke-20200831.htm" TargetMode="External"/><Relationship Id="rId55" Type="http://schemas.openxmlformats.org/officeDocument/2006/relationships/hyperlink" Target="https://www.sec.gov/ix?doc=/Archives/edgar/data/0000320187/000032018720000061/nke-20200831.htm" TargetMode="External"/><Relationship Id="rId76" Type="http://schemas.openxmlformats.org/officeDocument/2006/relationships/hyperlink" Target="https://www.sec.gov/ix?doc=/Archives/edgar/data/0000320187/000032018720000061/nke-20200831.htm" TargetMode="External"/><Relationship Id="rId97" Type="http://schemas.openxmlformats.org/officeDocument/2006/relationships/hyperlink" Target="https://www.sec.gov/ix?doc=/Archives/edgar/data/0000320187/000032018720000061/nke-20200831.htm" TargetMode="External"/><Relationship Id="rId104" Type="http://schemas.openxmlformats.org/officeDocument/2006/relationships/hyperlink" Target="https://www.sec.gov/ix?doc=/Archives/edgar/data/0000320187/000032018720000061/nke-20200831.htm" TargetMode="External"/><Relationship Id="rId120" Type="http://schemas.openxmlformats.org/officeDocument/2006/relationships/hyperlink" Target="https://www.sec.gov/Archives/edgar/data/0000320187/000032018720000061/nke-8312020xexhibit311.htm" TargetMode="External"/><Relationship Id="rId125" Type="http://schemas.openxmlformats.org/officeDocument/2006/relationships/fontTable" Target="fontTable.xml"/><Relationship Id="rId7" Type="http://schemas.openxmlformats.org/officeDocument/2006/relationships/hyperlink" Target="https://www.sec.gov/ix?doc=/Archives/edgar/data/0000320187/000032018720000061/nke-20200831.htm" TargetMode="External"/><Relationship Id="rId71" Type="http://schemas.openxmlformats.org/officeDocument/2006/relationships/hyperlink" Target="https://www.sec.gov/ix?doc=/Archives/edgar/data/0000320187/000032018720000061/nke-20200831.htm" TargetMode="External"/><Relationship Id="rId92" Type="http://schemas.openxmlformats.org/officeDocument/2006/relationships/hyperlink" Target="https://www.sec.gov/ix?doc=/Archives/edgar/data/0000320187/000032018720000061/nke-20200831.htm" TargetMode="External"/><Relationship Id="rId2" Type="http://schemas.openxmlformats.org/officeDocument/2006/relationships/settings" Target="settings.xml"/><Relationship Id="rId29" Type="http://schemas.openxmlformats.org/officeDocument/2006/relationships/hyperlink" Target="https://www.sec.gov/ix?doc=/Archives/edgar/data/0000320187/000032018720000061/nke-20200831.htm" TargetMode="External"/><Relationship Id="rId24" Type="http://schemas.openxmlformats.org/officeDocument/2006/relationships/hyperlink" Target="https://www.sec.gov/ix?doc=/Archives/edgar/data/0000320187/000032018720000061/nke-20200831.htm" TargetMode="External"/><Relationship Id="rId40" Type="http://schemas.openxmlformats.org/officeDocument/2006/relationships/hyperlink" Target="https://www.sec.gov/ix?doc=/Archives/edgar/data/0000320187/000032018720000061/nke-20200831.htm" TargetMode="External"/><Relationship Id="rId45" Type="http://schemas.openxmlformats.org/officeDocument/2006/relationships/hyperlink" Target="https://www.sec.gov/ix?doc=/Archives/edgar/data/0000320187/000032018720000061/nke-20200831.htm" TargetMode="External"/><Relationship Id="rId66" Type="http://schemas.openxmlformats.org/officeDocument/2006/relationships/hyperlink" Target="https://www.sec.gov/ix?doc=/Archives/edgar/data/0000320187/000032018720000061/nke-20200831.htm" TargetMode="External"/><Relationship Id="rId87" Type="http://schemas.openxmlformats.org/officeDocument/2006/relationships/hyperlink" Target="https://www.sec.gov/ix?doc=/Archives/edgar/data/0000320187/000032018720000061/nke-20200831.htm" TargetMode="External"/><Relationship Id="rId110" Type="http://schemas.openxmlformats.org/officeDocument/2006/relationships/hyperlink" Target="https://www.sec.gov/ix?doc=/Archives/edgar/data/0000320187/000032018720000061/nke-20200831.htm" TargetMode="External"/><Relationship Id="rId115" Type="http://schemas.openxmlformats.org/officeDocument/2006/relationships/hyperlink" Target="https://www.sec.gov/Archives/edgar/data/320187/000032018720000029/nkeexhibit31.htm" TargetMode="External"/><Relationship Id="rId61" Type="http://schemas.openxmlformats.org/officeDocument/2006/relationships/hyperlink" Target="https://www.sec.gov/ix?doc=/Archives/edgar/data/0000320187/000032018720000061/nke-20200831.htm" TargetMode="External"/><Relationship Id="rId82" Type="http://schemas.openxmlformats.org/officeDocument/2006/relationships/hyperlink" Target="https://www.sec.gov/ix?doc=/Archives/edgar/data/0000320187/000032018720000061/nke-20200831.htm" TargetMode="External"/><Relationship Id="rId19" Type="http://schemas.openxmlformats.org/officeDocument/2006/relationships/hyperlink" Target="https://www.sec.gov/ix?doc=/Archives/edgar/data/0000320187/000032018720000061/nke-20200831.htm" TargetMode="External"/><Relationship Id="rId14" Type="http://schemas.openxmlformats.org/officeDocument/2006/relationships/hyperlink" Target="https://www.sec.gov/ix?doc=/Archives/edgar/data/0000320187/000032018720000061/nke-20200831.htm" TargetMode="External"/><Relationship Id="rId30" Type="http://schemas.openxmlformats.org/officeDocument/2006/relationships/hyperlink" Target="https://www.sec.gov/ix?doc=/Archives/edgar/data/0000320187/000032018720000061/nke-20200831.htm" TargetMode="External"/><Relationship Id="rId35" Type="http://schemas.openxmlformats.org/officeDocument/2006/relationships/hyperlink" Target="https://www.sec.gov/ix?doc=/Archives/edgar/data/0000320187/000032018720000061/nke-20200831.htm" TargetMode="External"/><Relationship Id="rId56" Type="http://schemas.openxmlformats.org/officeDocument/2006/relationships/hyperlink" Target="https://www.sec.gov/ix?doc=/Archives/edgar/data/0000320187/000032018720000061/nke-20200831.htm" TargetMode="External"/><Relationship Id="rId77" Type="http://schemas.openxmlformats.org/officeDocument/2006/relationships/hyperlink" Target="https://www.sec.gov/ix?doc=/Archives/edgar/data/0000320187/000032018720000061/nke-20200831.htm" TargetMode="External"/><Relationship Id="rId100" Type="http://schemas.openxmlformats.org/officeDocument/2006/relationships/hyperlink" Target="https://www.sec.gov/ix?doc=/Archives/edgar/data/0000320187/000032018720000061/nke-20200831.htm" TargetMode="External"/><Relationship Id="rId105" Type="http://schemas.openxmlformats.org/officeDocument/2006/relationships/hyperlink" Target="https://www.sec.gov/ix?doc=/Archives/edgar/data/0000320187/000032018720000061/nke-20200831.htm" TargetMode="External"/><Relationship Id="rId126" Type="http://schemas.openxmlformats.org/officeDocument/2006/relationships/theme" Target="theme/theme1.xml"/><Relationship Id="rId8" Type="http://schemas.openxmlformats.org/officeDocument/2006/relationships/hyperlink" Target="https://www.sec.gov/ix?doc=/Archives/edgar/data/0000320187/000032018720000061/nke-20200831.htm" TargetMode="External"/><Relationship Id="rId51" Type="http://schemas.openxmlformats.org/officeDocument/2006/relationships/hyperlink" Target="https://www.sec.gov/ix?doc=/Archives/edgar/data/0000320187/000032018720000061/nke-20200831.htm" TargetMode="External"/><Relationship Id="rId72" Type="http://schemas.openxmlformats.org/officeDocument/2006/relationships/hyperlink" Target="https://www.sec.gov/ix?doc=/Archives/edgar/data/0000320187/000032018720000061/nke-20200831.htm" TargetMode="External"/><Relationship Id="rId93" Type="http://schemas.openxmlformats.org/officeDocument/2006/relationships/hyperlink" Target="https://www.sec.gov/ix?doc=/Archives/edgar/data/0000320187/000032018720000061/nke-20200831.htm" TargetMode="External"/><Relationship Id="rId98" Type="http://schemas.openxmlformats.org/officeDocument/2006/relationships/hyperlink" Target="https://www.sec.gov/ix?doc=/Archives/edgar/data/0000320187/000032018720000061/nke-20200831.htm" TargetMode="External"/><Relationship Id="rId121" Type="http://schemas.openxmlformats.org/officeDocument/2006/relationships/hyperlink" Target="https://www.sec.gov/Archives/edgar/data/0000320187/000032018720000061/nke-8312020xexhibit312.htm" TargetMode="External"/><Relationship Id="rId3" Type="http://schemas.openxmlformats.org/officeDocument/2006/relationships/webSettings" Target="webSettings.xml"/><Relationship Id="rId25" Type="http://schemas.openxmlformats.org/officeDocument/2006/relationships/hyperlink" Target="https://www.sec.gov/ix?doc=/Archives/edgar/data/0000320187/000032018720000061/nke-20200831.htm" TargetMode="External"/><Relationship Id="rId46" Type="http://schemas.openxmlformats.org/officeDocument/2006/relationships/hyperlink" Target="https://www.sec.gov/ix?doc=/Archives/edgar/data/0000320187/000032018720000061/nke-20200831.htm" TargetMode="External"/><Relationship Id="rId67" Type="http://schemas.openxmlformats.org/officeDocument/2006/relationships/hyperlink" Target="https://www.sec.gov/ix?doc=/Archives/edgar/data/0000320187/000032018720000061/nke-20200831.htm" TargetMode="External"/><Relationship Id="rId116" Type="http://schemas.openxmlformats.org/officeDocument/2006/relationships/hyperlink" Target="https://www.sec.gov/Archives/edgar/data/320187/000032018720000029/nkeexhibit31.htm" TargetMode="External"/><Relationship Id="rId20" Type="http://schemas.openxmlformats.org/officeDocument/2006/relationships/hyperlink" Target="https://www.sec.gov/ix?doc=/Archives/edgar/data/0000320187/000032018720000061/nke-20200831.htm" TargetMode="External"/><Relationship Id="rId41" Type="http://schemas.openxmlformats.org/officeDocument/2006/relationships/hyperlink" Target="https://www.sec.gov/ix?doc=/Archives/edgar/data/0000320187/000032018720000061/nke-20200831.htm" TargetMode="External"/><Relationship Id="rId62" Type="http://schemas.openxmlformats.org/officeDocument/2006/relationships/hyperlink" Target="https://www.sec.gov/ix?doc=/Archives/edgar/data/0000320187/000032018720000061/nke-20200831.htm" TargetMode="External"/><Relationship Id="rId83" Type="http://schemas.openxmlformats.org/officeDocument/2006/relationships/hyperlink" Target="https://www.sec.gov/ix?doc=/Archives/edgar/data/0000320187/000032018720000061/nke-20200831.htm" TargetMode="External"/><Relationship Id="rId88" Type="http://schemas.openxmlformats.org/officeDocument/2006/relationships/hyperlink" Target="https://www.sec.gov/ix?doc=/Archives/edgar/data/0000320187/000032018720000061/nke-20200831.htm" TargetMode="External"/><Relationship Id="rId111" Type="http://schemas.openxmlformats.org/officeDocument/2006/relationships/hyperlink" Target="https://www.sec.gov/ix?doc=/Archives/edgar/data/0000320187/000032018720000061/nke-20200831.htm" TargetMode="External"/><Relationship Id="rId15" Type="http://schemas.openxmlformats.org/officeDocument/2006/relationships/hyperlink" Target="https://www.sec.gov/ix?doc=/Archives/edgar/data/0000320187/000032018720000061/nke-20200831.htm" TargetMode="External"/><Relationship Id="rId36" Type="http://schemas.openxmlformats.org/officeDocument/2006/relationships/hyperlink" Target="https://www.sec.gov/ix?doc=/Archives/edgar/data/0000320187/000032018720000061/nke-20200831.htm" TargetMode="External"/><Relationship Id="rId57" Type="http://schemas.openxmlformats.org/officeDocument/2006/relationships/hyperlink" Target="https://www.sec.gov/ix?doc=/Archives/edgar/data/0000320187/000032018720000061/nke-20200831.htm" TargetMode="External"/><Relationship Id="rId106" Type="http://schemas.openxmlformats.org/officeDocument/2006/relationships/hyperlink" Target="https://www.sec.gov/ix?doc=/Archives/edgar/data/0000320187/000032018720000061/nke-20200831.htm" TargetMode="External"/><Relationship Id="rId10" Type="http://schemas.openxmlformats.org/officeDocument/2006/relationships/hyperlink" Target="https://www.sec.gov/ix?doc=/Archives/edgar/data/0000320187/000032018720000061/nke-20200831.htm" TargetMode="External"/><Relationship Id="rId31" Type="http://schemas.openxmlformats.org/officeDocument/2006/relationships/hyperlink" Target="https://www.sec.gov/ix?doc=/Archives/edgar/data/0000320187/000032018720000061/nke-20200831.htm" TargetMode="External"/><Relationship Id="rId52" Type="http://schemas.openxmlformats.org/officeDocument/2006/relationships/hyperlink" Target="https://www.sec.gov/ix?doc=/Archives/edgar/data/0000320187/000032018720000061/nke-20200831.htm" TargetMode="External"/><Relationship Id="rId73" Type="http://schemas.openxmlformats.org/officeDocument/2006/relationships/hyperlink" Target="https://www.sec.gov/ix?doc=/Archives/edgar/data/0000320187/000032018720000061/nke-20200831.htm" TargetMode="External"/><Relationship Id="rId78" Type="http://schemas.openxmlformats.org/officeDocument/2006/relationships/hyperlink" Target="https://www.sec.gov/ix?doc=/Archives/edgar/data/0000320187/000032018720000061/nke-20200831.htm" TargetMode="External"/><Relationship Id="rId94" Type="http://schemas.openxmlformats.org/officeDocument/2006/relationships/hyperlink" Target="https://www.sec.gov/ix?doc=/Archives/edgar/data/0000320187/000032018720000061/nke-20200831.htm" TargetMode="External"/><Relationship Id="rId99" Type="http://schemas.openxmlformats.org/officeDocument/2006/relationships/hyperlink" Target="https://www.sec.gov/ix?doc=/Archives/edgar/data/0000320187/000032018720000061/nke-20200831.htm" TargetMode="External"/><Relationship Id="rId101" Type="http://schemas.openxmlformats.org/officeDocument/2006/relationships/hyperlink" Target="https://www.sec.gov/ix?doc=/Archives/edgar/data/0000320187/000032018720000061/nke-20200831.htm" TargetMode="External"/><Relationship Id="rId122" Type="http://schemas.openxmlformats.org/officeDocument/2006/relationships/hyperlink" Target="https://www.sec.gov/Archives/edgar/data/0000320187/000032018720000061/nke-8312020xexhibit321.htm" TargetMode="External"/><Relationship Id="rId4" Type="http://schemas.openxmlformats.org/officeDocument/2006/relationships/footnotes" Target="footnotes.xml"/><Relationship Id="rId9" Type="http://schemas.openxmlformats.org/officeDocument/2006/relationships/hyperlink" Target="https://www.sec.gov/ix?doc=/Archives/edgar/data/0000320187/000032018720000061/nke-202008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27092</Words>
  <Characters>154430</Characters>
  <Application>Microsoft Office Word</Application>
  <DocSecurity>0</DocSecurity>
  <Lines>1286</Lines>
  <Paragraphs>362</Paragraphs>
  <ScaleCrop>false</ScaleCrop>
  <Company/>
  <LinksUpToDate>false</LinksUpToDate>
  <CharactersWithSpaces>181160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2023-02-11T21:58:00Z</dcterms:created>
  <dcterms:modified xsi:type="dcterms:W3CDTF">2023-02-13T11:25:00Z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3E81FB4D9700163EE89EE7639518BED9</vt:lpwstr>
  </property>
</Properties>
</file>